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2478BE" w:rsidRPr="002478B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478BE" w:rsidRDefault="000A03B2" w:rsidP="00DE264A">
            <w:pPr>
              <w:tabs>
                <w:tab w:val="left" w:pos="-108"/>
              </w:tabs>
              <w:ind w:left="-108"/>
              <w:jc w:val="left"/>
              <w:rPr>
                <w:rFonts w:cs="Arial"/>
                <w:b/>
                <w:bCs/>
                <w:i/>
                <w:iCs/>
                <w:sz w:val="12"/>
                <w:szCs w:val="12"/>
                <w:lang w:eastAsia="it-IT"/>
              </w:rPr>
            </w:pPr>
            <w:r w:rsidRPr="002478BE">
              <w:rPr>
                <w:rFonts w:ascii="AdvP6960" w:hAnsi="AdvP6960" w:cs="AdvP6960"/>
                <w:noProof/>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478BE">
              <w:rPr>
                <w:rFonts w:ascii="AdvP6960" w:hAnsi="AdvP6960" w:cs="AdvP6960"/>
                <w:szCs w:val="18"/>
                <w:lang w:eastAsia="it-IT"/>
              </w:rPr>
              <w:t xml:space="preserve"> </w:t>
            </w:r>
            <w:r w:rsidRPr="002478BE">
              <w:rPr>
                <w:rFonts w:cs="Arial"/>
                <w:b/>
                <w:bCs/>
                <w:i/>
                <w:iCs/>
                <w:sz w:val="24"/>
                <w:szCs w:val="24"/>
                <w:lang w:eastAsia="it-IT"/>
              </w:rPr>
              <w:t>CHEMICAL ENGINEERING TRANSACTIONS</w:t>
            </w:r>
            <w:r w:rsidRPr="002478BE">
              <w:rPr>
                <w:sz w:val="24"/>
                <w:szCs w:val="24"/>
                <w:lang w:eastAsia="it-IT"/>
              </w:rPr>
              <w:t xml:space="preserve"> </w:t>
            </w:r>
            <w:r w:rsidRPr="002478BE">
              <w:rPr>
                <w:rFonts w:cs="Arial"/>
                <w:b/>
                <w:bCs/>
                <w:i/>
                <w:iCs/>
                <w:sz w:val="27"/>
                <w:szCs w:val="27"/>
                <w:lang w:eastAsia="it-IT"/>
              </w:rPr>
              <w:br/>
            </w:r>
          </w:p>
          <w:p w14:paraId="4B780582" w14:textId="740002EE" w:rsidR="000A03B2" w:rsidRPr="002478BE" w:rsidRDefault="00A76EFC" w:rsidP="00B57E6F">
            <w:pPr>
              <w:tabs>
                <w:tab w:val="left" w:pos="-108"/>
              </w:tabs>
              <w:ind w:left="-108"/>
              <w:rPr>
                <w:rFonts w:cs="Arial"/>
                <w:b/>
                <w:bCs/>
                <w:i/>
                <w:iCs/>
                <w:sz w:val="22"/>
                <w:szCs w:val="22"/>
                <w:lang w:eastAsia="it-IT"/>
              </w:rPr>
            </w:pPr>
            <w:r w:rsidRPr="002478BE">
              <w:rPr>
                <w:rFonts w:cs="Arial"/>
                <w:b/>
                <w:bCs/>
                <w:i/>
                <w:iCs/>
                <w:sz w:val="22"/>
                <w:szCs w:val="22"/>
                <w:lang w:eastAsia="it-IT"/>
              </w:rPr>
              <w:t xml:space="preserve">VOL. </w:t>
            </w:r>
            <w:r w:rsidR="00D46B7E" w:rsidRPr="002478BE">
              <w:rPr>
                <w:rFonts w:cs="Arial"/>
                <w:b/>
                <w:bCs/>
                <w:i/>
                <w:iCs/>
                <w:sz w:val="22"/>
                <w:szCs w:val="22"/>
                <w:lang w:eastAsia="it-IT"/>
              </w:rPr>
              <w:t>9</w:t>
            </w:r>
            <w:r w:rsidR="00B57E6F" w:rsidRPr="002478BE">
              <w:rPr>
                <w:rFonts w:cs="Arial"/>
                <w:b/>
                <w:bCs/>
                <w:i/>
                <w:iCs/>
                <w:sz w:val="22"/>
                <w:szCs w:val="22"/>
                <w:lang w:eastAsia="it-IT"/>
              </w:rPr>
              <w:t>1</w:t>
            </w:r>
            <w:r w:rsidR="007B48F9" w:rsidRPr="002478BE">
              <w:rPr>
                <w:rFonts w:cs="Arial"/>
                <w:b/>
                <w:bCs/>
                <w:i/>
                <w:iCs/>
                <w:sz w:val="22"/>
                <w:szCs w:val="22"/>
                <w:lang w:eastAsia="it-IT"/>
              </w:rPr>
              <w:t>,</w:t>
            </w:r>
            <w:r w:rsidR="00FA5F5F" w:rsidRPr="002478BE">
              <w:rPr>
                <w:rFonts w:cs="Arial"/>
                <w:b/>
                <w:bCs/>
                <w:i/>
                <w:iCs/>
                <w:sz w:val="22"/>
                <w:szCs w:val="22"/>
                <w:lang w:eastAsia="it-IT"/>
              </w:rPr>
              <w:t xml:space="preserve"> 20</w:t>
            </w:r>
            <w:r w:rsidR="00DF5072" w:rsidRPr="002478BE">
              <w:rPr>
                <w:rFonts w:cs="Arial"/>
                <w:b/>
                <w:bCs/>
                <w:i/>
                <w:iCs/>
                <w:sz w:val="22"/>
                <w:szCs w:val="22"/>
                <w:lang w:eastAsia="it-IT"/>
              </w:rPr>
              <w:t>2</w:t>
            </w:r>
            <w:r w:rsidR="007B48F9" w:rsidRPr="002478BE">
              <w:rPr>
                <w:rFonts w:cs="Arial"/>
                <w:b/>
                <w:bCs/>
                <w:i/>
                <w:iCs/>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2478BE" w:rsidRDefault="000A03B2" w:rsidP="00CD5FE2">
            <w:pPr>
              <w:spacing w:line="140" w:lineRule="atLeast"/>
              <w:jc w:val="right"/>
              <w:rPr>
                <w:rFonts w:cs="Arial"/>
                <w:sz w:val="14"/>
                <w:szCs w:val="14"/>
              </w:rPr>
            </w:pPr>
            <w:r w:rsidRPr="002478BE">
              <w:rPr>
                <w:rFonts w:cs="Arial"/>
                <w:sz w:val="14"/>
                <w:szCs w:val="14"/>
              </w:rPr>
              <w:t>A publication of</w:t>
            </w:r>
          </w:p>
          <w:p w14:paraId="599E5441" w14:textId="77777777" w:rsidR="000A03B2" w:rsidRPr="002478BE" w:rsidRDefault="000A03B2" w:rsidP="00CD5FE2">
            <w:pPr>
              <w:jc w:val="right"/>
            </w:pPr>
            <w:r w:rsidRPr="002478BE">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2478BE" w:rsidRPr="002478BE" w14:paraId="380FA3CD" w14:textId="77777777" w:rsidTr="00DE264A">
        <w:trPr>
          <w:trHeight w:val="567"/>
          <w:jc w:val="center"/>
        </w:trPr>
        <w:tc>
          <w:tcPr>
            <w:tcW w:w="6946" w:type="dxa"/>
            <w:vMerge/>
            <w:tcBorders>
              <w:right w:val="single" w:sz="4" w:space="0" w:color="auto"/>
            </w:tcBorders>
          </w:tcPr>
          <w:p w14:paraId="39E5E4C1" w14:textId="77777777" w:rsidR="000A03B2" w:rsidRPr="002478B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2478BE" w:rsidRDefault="000A03B2" w:rsidP="00CD5FE2">
            <w:pPr>
              <w:spacing w:line="140" w:lineRule="atLeast"/>
              <w:jc w:val="right"/>
              <w:rPr>
                <w:rFonts w:cs="Arial"/>
                <w:sz w:val="14"/>
                <w:szCs w:val="14"/>
              </w:rPr>
            </w:pPr>
            <w:r w:rsidRPr="002478BE">
              <w:rPr>
                <w:rFonts w:cs="Arial"/>
                <w:sz w:val="14"/>
                <w:szCs w:val="14"/>
              </w:rPr>
              <w:t>The Italian Association</w:t>
            </w:r>
          </w:p>
          <w:p w14:paraId="7522B1D2" w14:textId="77777777" w:rsidR="000A03B2" w:rsidRPr="002478BE" w:rsidRDefault="000A03B2" w:rsidP="00CD5FE2">
            <w:pPr>
              <w:spacing w:line="140" w:lineRule="atLeast"/>
              <w:jc w:val="right"/>
              <w:rPr>
                <w:rFonts w:cs="Arial"/>
                <w:sz w:val="14"/>
                <w:szCs w:val="14"/>
              </w:rPr>
            </w:pPr>
            <w:r w:rsidRPr="002478BE">
              <w:rPr>
                <w:rFonts w:cs="Arial"/>
                <w:sz w:val="14"/>
                <w:szCs w:val="14"/>
              </w:rPr>
              <w:t>of Chemical Engineering</w:t>
            </w:r>
          </w:p>
          <w:p w14:paraId="4F0CC5DE" w14:textId="47FDB2FC" w:rsidR="000A03B2" w:rsidRPr="002478BE" w:rsidRDefault="000D0268" w:rsidP="00CD5FE2">
            <w:pPr>
              <w:spacing w:line="140" w:lineRule="atLeast"/>
              <w:jc w:val="right"/>
              <w:rPr>
                <w:rFonts w:cs="Arial"/>
                <w:sz w:val="13"/>
                <w:szCs w:val="13"/>
              </w:rPr>
            </w:pPr>
            <w:r w:rsidRPr="002478BE">
              <w:rPr>
                <w:rFonts w:cs="Arial"/>
                <w:sz w:val="13"/>
                <w:szCs w:val="13"/>
              </w:rPr>
              <w:t>Online at www.cetjournal.it</w:t>
            </w:r>
          </w:p>
        </w:tc>
      </w:tr>
      <w:tr w:rsidR="002478BE" w:rsidRPr="002478BE" w14:paraId="2D1B7169" w14:textId="77777777" w:rsidTr="00DE264A">
        <w:trPr>
          <w:trHeight w:val="68"/>
          <w:jc w:val="center"/>
        </w:trPr>
        <w:tc>
          <w:tcPr>
            <w:tcW w:w="8789" w:type="dxa"/>
            <w:gridSpan w:val="2"/>
          </w:tcPr>
          <w:p w14:paraId="4B0BB442" w14:textId="4EADF2C2" w:rsidR="00300E56" w:rsidRPr="002478BE" w:rsidRDefault="00300E56" w:rsidP="00B57E6F">
            <w:pPr>
              <w:ind w:left="-107"/>
              <w:outlineLvl w:val="2"/>
              <w:rPr>
                <w:rFonts w:ascii="Tahoma" w:hAnsi="Tahoma" w:cs="Tahoma"/>
                <w:bCs/>
                <w:sz w:val="14"/>
                <w:szCs w:val="14"/>
                <w:lang w:eastAsia="it-IT"/>
              </w:rPr>
            </w:pPr>
            <w:r w:rsidRPr="002478BE">
              <w:rPr>
                <w:rFonts w:ascii="Tahoma" w:hAnsi="Tahoma" w:cs="Tahoma"/>
                <w:iCs/>
                <w:sz w:val="14"/>
                <w:szCs w:val="14"/>
                <w:lang w:eastAsia="it-IT"/>
              </w:rPr>
              <w:t>Guest Editors:</w:t>
            </w:r>
            <w:r w:rsidR="00904C62" w:rsidRPr="002478BE">
              <w:rPr>
                <w:rFonts w:ascii="Tahoma" w:hAnsi="Tahoma" w:cs="Tahoma"/>
                <w:iCs/>
                <w:sz w:val="14"/>
                <w:szCs w:val="14"/>
                <w:lang w:eastAsia="it-IT"/>
              </w:rPr>
              <w:t xml:space="preserve"> </w:t>
            </w:r>
            <w:r w:rsidR="00B57E6F" w:rsidRPr="002478BE">
              <w:rPr>
                <w:rFonts w:ascii="Tahoma" w:hAnsi="Tahoma" w:cs="Tahoma"/>
                <w:sz w:val="14"/>
                <w:szCs w:val="14"/>
                <w:shd w:val="clear" w:color="auto" w:fill="FFFFFF"/>
              </w:rPr>
              <w:t xml:space="preserve">Valerio Cozzani, </w:t>
            </w:r>
            <w:r w:rsidR="001331DF" w:rsidRPr="002478BE">
              <w:rPr>
                <w:rFonts w:ascii="Tahoma" w:hAnsi="Tahoma" w:cs="Tahoma"/>
                <w:sz w:val="14"/>
                <w:szCs w:val="14"/>
                <w:shd w:val="clear" w:color="auto" w:fill="FFFFFF"/>
              </w:rPr>
              <w:t>Bruno Fabiano</w:t>
            </w:r>
            <w:r w:rsidR="00B57E6F" w:rsidRPr="002478BE">
              <w:rPr>
                <w:rFonts w:ascii="Tahoma" w:hAnsi="Tahoma" w:cs="Tahoma"/>
                <w:sz w:val="14"/>
                <w:szCs w:val="14"/>
                <w:shd w:val="clear" w:color="auto" w:fill="FFFFFF"/>
              </w:rPr>
              <w:t xml:space="preserve">, </w:t>
            </w:r>
            <w:r w:rsidR="00B57E6F" w:rsidRPr="002478BE">
              <w:rPr>
                <w:rFonts w:ascii="Tahoma" w:hAnsi="Tahoma" w:cs="Tahoma"/>
                <w:bCs/>
                <w:sz w:val="14"/>
                <w:szCs w:val="14"/>
                <w:lang w:eastAsia="it-IT"/>
              </w:rPr>
              <w:t>Genserik Reniers</w:t>
            </w:r>
          </w:p>
          <w:p w14:paraId="1B0F1814" w14:textId="08709475" w:rsidR="000A03B2" w:rsidRPr="002478BE" w:rsidRDefault="00FA5F5F" w:rsidP="00B57E6F">
            <w:pPr>
              <w:tabs>
                <w:tab w:val="left" w:pos="-108"/>
              </w:tabs>
              <w:spacing w:line="140" w:lineRule="atLeast"/>
              <w:ind w:left="-107"/>
              <w:jc w:val="left"/>
            </w:pPr>
            <w:r w:rsidRPr="002478BE">
              <w:rPr>
                <w:rFonts w:ascii="Tahoma" w:hAnsi="Tahoma" w:cs="Tahoma"/>
                <w:iCs/>
                <w:sz w:val="14"/>
                <w:szCs w:val="14"/>
                <w:lang w:eastAsia="it-IT"/>
              </w:rPr>
              <w:t>Copyright © 20</w:t>
            </w:r>
            <w:r w:rsidR="00DF5072" w:rsidRPr="002478BE">
              <w:rPr>
                <w:rFonts w:ascii="Tahoma" w:hAnsi="Tahoma" w:cs="Tahoma"/>
                <w:iCs/>
                <w:sz w:val="14"/>
                <w:szCs w:val="14"/>
                <w:lang w:eastAsia="it-IT"/>
              </w:rPr>
              <w:t>2</w:t>
            </w:r>
            <w:r w:rsidR="00E72EAD" w:rsidRPr="002478BE">
              <w:rPr>
                <w:rFonts w:ascii="Tahoma" w:hAnsi="Tahoma" w:cs="Tahoma"/>
                <w:iCs/>
                <w:sz w:val="14"/>
                <w:szCs w:val="14"/>
                <w:lang w:eastAsia="it-IT"/>
              </w:rPr>
              <w:t>2</w:t>
            </w:r>
            <w:r w:rsidR="00904C62" w:rsidRPr="002478BE">
              <w:rPr>
                <w:rFonts w:ascii="Tahoma" w:hAnsi="Tahoma" w:cs="Tahoma"/>
                <w:iCs/>
                <w:sz w:val="14"/>
                <w:szCs w:val="14"/>
                <w:lang w:eastAsia="it-IT"/>
              </w:rPr>
              <w:t>, AIDIC Servizi S.r.l.</w:t>
            </w:r>
            <w:r w:rsidR="00300E56" w:rsidRPr="002478BE">
              <w:rPr>
                <w:rFonts w:ascii="Tahoma" w:hAnsi="Tahoma" w:cs="Tahoma"/>
                <w:iCs/>
                <w:sz w:val="14"/>
                <w:szCs w:val="14"/>
                <w:lang w:eastAsia="it-IT"/>
              </w:rPr>
              <w:br/>
            </w:r>
            <w:r w:rsidR="00300E56" w:rsidRPr="002478BE">
              <w:rPr>
                <w:rFonts w:ascii="Tahoma" w:hAnsi="Tahoma" w:cs="Tahoma"/>
                <w:b/>
                <w:iCs/>
                <w:sz w:val="14"/>
                <w:szCs w:val="14"/>
                <w:lang w:eastAsia="it-IT"/>
              </w:rPr>
              <w:t>ISBN</w:t>
            </w:r>
            <w:r w:rsidR="00300E56" w:rsidRPr="002478BE">
              <w:rPr>
                <w:rFonts w:ascii="Tahoma" w:hAnsi="Tahoma" w:cs="Tahoma"/>
                <w:iCs/>
                <w:sz w:val="14"/>
                <w:szCs w:val="14"/>
                <w:lang w:eastAsia="it-IT"/>
              </w:rPr>
              <w:t xml:space="preserve"> </w:t>
            </w:r>
            <w:r w:rsidR="008D32B9" w:rsidRPr="002478BE">
              <w:rPr>
                <w:rFonts w:ascii="Tahoma" w:hAnsi="Tahoma" w:cs="Tahoma"/>
                <w:sz w:val="14"/>
                <w:szCs w:val="14"/>
              </w:rPr>
              <w:t>978-88-95608</w:t>
            </w:r>
            <w:r w:rsidR="00D46B7E" w:rsidRPr="002478BE">
              <w:rPr>
                <w:rFonts w:ascii="Tahoma" w:hAnsi="Tahoma" w:cs="Tahoma"/>
                <w:sz w:val="14"/>
                <w:szCs w:val="14"/>
              </w:rPr>
              <w:t>-8</w:t>
            </w:r>
            <w:r w:rsidR="00B57E6F" w:rsidRPr="002478BE">
              <w:rPr>
                <w:rFonts w:ascii="Tahoma" w:hAnsi="Tahoma" w:cs="Tahoma"/>
                <w:sz w:val="14"/>
                <w:szCs w:val="14"/>
              </w:rPr>
              <w:t>9</w:t>
            </w:r>
            <w:r w:rsidR="00D46B7E" w:rsidRPr="002478BE">
              <w:rPr>
                <w:rFonts w:ascii="Tahoma" w:hAnsi="Tahoma" w:cs="Tahoma"/>
                <w:sz w:val="14"/>
                <w:szCs w:val="14"/>
              </w:rPr>
              <w:t>-</w:t>
            </w:r>
            <w:r w:rsidR="00B57E6F" w:rsidRPr="002478BE">
              <w:rPr>
                <w:rFonts w:ascii="Tahoma" w:hAnsi="Tahoma" w:cs="Tahoma"/>
                <w:sz w:val="14"/>
                <w:szCs w:val="14"/>
              </w:rPr>
              <w:t>1</w:t>
            </w:r>
            <w:r w:rsidR="007B48F9" w:rsidRPr="002478BE">
              <w:rPr>
                <w:rFonts w:ascii="Tahoma" w:hAnsi="Tahoma" w:cs="Tahoma"/>
                <w:iCs/>
                <w:sz w:val="14"/>
                <w:szCs w:val="14"/>
                <w:lang w:eastAsia="it-IT"/>
              </w:rPr>
              <w:t>;</w:t>
            </w:r>
            <w:r w:rsidR="00300E56" w:rsidRPr="002478BE">
              <w:rPr>
                <w:rFonts w:ascii="Tahoma" w:hAnsi="Tahoma" w:cs="Tahoma"/>
                <w:iCs/>
                <w:sz w:val="14"/>
                <w:szCs w:val="14"/>
                <w:lang w:eastAsia="it-IT"/>
              </w:rPr>
              <w:t xml:space="preserve"> </w:t>
            </w:r>
            <w:r w:rsidR="00300E56" w:rsidRPr="002478BE">
              <w:rPr>
                <w:rFonts w:ascii="Tahoma" w:hAnsi="Tahoma" w:cs="Tahoma"/>
                <w:b/>
                <w:iCs/>
                <w:sz w:val="14"/>
                <w:szCs w:val="14"/>
                <w:lang w:eastAsia="it-IT"/>
              </w:rPr>
              <w:t>ISSN</w:t>
            </w:r>
            <w:r w:rsidR="00300E56" w:rsidRPr="002478BE">
              <w:rPr>
                <w:rFonts w:ascii="Tahoma" w:hAnsi="Tahoma" w:cs="Tahoma"/>
                <w:iCs/>
                <w:sz w:val="14"/>
                <w:szCs w:val="14"/>
                <w:lang w:eastAsia="it-IT"/>
              </w:rPr>
              <w:t xml:space="preserve"> 2283-9216</w:t>
            </w:r>
          </w:p>
        </w:tc>
      </w:tr>
    </w:tbl>
    <w:p w14:paraId="10DAA130" w14:textId="77777777" w:rsidR="000A03B2" w:rsidRPr="002478BE" w:rsidRDefault="000A03B2" w:rsidP="000A03B2">
      <w:pPr>
        <w:pStyle w:val="CETAuthors"/>
        <w:sectPr w:rsidR="000A03B2" w:rsidRPr="002478BE" w:rsidSect="00CD5FE2">
          <w:footerReference w:type="even" r:id="rId10"/>
          <w:footerReference w:type="default" r:id="rId11"/>
          <w:type w:val="continuous"/>
          <w:pgSz w:w="11906" w:h="16838" w:code="9"/>
          <w:pgMar w:top="1701" w:right="1418" w:bottom="1701" w:left="1701" w:header="1701" w:footer="0" w:gutter="0"/>
          <w:cols w:space="708"/>
          <w:titlePg/>
          <w:docGrid w:linePitch="360"/>
        </w:sectPr>
      </w:pPr>
    </w:p>
    <w:p w14:paraId="2E667253" w14:textId="34DB8086" w:rsidR="00E978D0" w:rsidRPr="002478BE" w:rsidRDefault="002F643B" w:rsidP="00E978D0">
      <w:pPr>
        <w:pStyle w:val="CETTitle"/>
      </w:pPr>
      <w:r w:rsidRPr="002478BE">
        <w:t xml:space="preserve">Resilience assessment of </w:t>
      </w:r>
      <w:r w:rsidRPr="002478BE">
        <w:rPr>
          <w:rFonts w:hint="eastAsia"/>
        </w:rPr>
        <w:t>c</w:t>
      </w:r>
      <w:r w:rsidRPr="002478BE">
        <w:t xml:space="preserve">hemical process systems under </w:t>
      </w:r>
      <w:r w:rsidR="002A1C3F">
        <w:t>uncertain</w:t>
      </w:r>
      <w:r w:rsidRPr="002478BE">
        <w:t xml:space="preserve"> disruptions </w:t>
      </w:r>
      <w:r w:rsidRPr="002478BE">
        <w:rPr>
          <w:rFonts w:hint="eastAsia"/>
        </w:rPr>
        <w:t xml:space="preserve">based on </w:t>
      </w:r>
      <w:r w:rsidRPr="002478BE">
        <w:t>Catastrophe</w:t>
      </w:r>
      <w:r w:rsidRPr="002478BE">
        <w:rPr>
          <w:rFonts w:hint="eastAsia"/>
        </w:rPr>
        <w:t xml:space="preserve"> </w:t>
      </w:r>
      <w:r w:rsidRPr="002478BE">
        <w:t>Theory (CT) and Dynamic Bayesian Network (DBN)</w:t>
      </w:r>
    </w:p>
    <w:p w14:paraId="0488FED2" w14:textId="31FE1B00" w:rsidR="00B57E6F" w:rsidRPr="002478BE" w:rsidRDefault="002F643B" w:rsidP="00B57E6F">
      <w:pPr>
        <w:pStyle w:val="CETAuthors"/>
      </w:pPr>
      <w:r w:rsidRPr="002478BE">
        <w:t>H</w:t>
      </w:r>
      <w:r w:rsidRPr="002478BE">
        <w:rPr>
          <w:rFonts w:hint="eastAsia"/>
        </w:rPr>
        <w:t>ao</w:t>
      </w:r>
      <w:r w:rsidRPr="002478BE">
        <w:t xml:space="preserve"> Sun</w:t>
      </w:r>
      <w:r w:rsidR="00B57E6F" w:rsidRPr="002478BE">
        <w:rPr>
          <w:vertAlign w:val="superscript"/>
        </w:rPr>
        <w:t>a</w:t>
      </w:r>
      <w:r w:rsidRPr="002478BE">
        <w:rPr>
          <w:vertAlign w:val="superscript"/>
        </w:rPr>
        <w:t>,b</w:t>
      </w:r>
      <w:r w:rsidR="00B57E6F" w:rsidRPr="002478BE">
        <w:t xml:space="preserve">, </w:t>
      </w:r>
      <w:r w:rsidRPr="002478BE">
        <w:t>Haiqing Wang</w:t>
      </w:r>
      <w:r w:rsidRPr="002478BE">
        <w:rPr>
          <w:vertAlign w:val="superscript"/>
        </w:rPr>
        <w:t>a</w:t>
      </w:r>
      <w:r w:rsidR="00B57E6F" w:rsidRPr="002478BE">
        <w:rPr>
          <w:vertAlign w:val="superscript"/>
        </w:rPr>
        <w:t>,</w:t>
      </w:r>
      <w:r w:rsidR="00B57E6F" w:rsidRPr="002478BE">
        <w:t xml:space="preserve">*, </w:t>
      </w:r>
      <w:r w:rsidRPr="002478BE">
        <w:t>Ming Yang</w:t>
      </w:r>
      <w:r w:rsidRPr="002478BE">
        <w:rPr>
          <w:vertAlign w:val="superscript"/>
        </w:rPr>
        <w:t>b,</w:t>
      </w:r>
      <w:r w:rsidRPr="002478BE">
        <w:t>*</w:t>
      </w:r>
      <w:r w:rsidR="00772C61">
        <w:t xml:space="preserve">, </w:t>
      </w:r>
      <w:r w:rsidR="00772C61" w:rsidRPr="002478BE">
        <w:t>Genserik Reniers</w:t>
      </w:r>
      <w:r w:rsidR="00772C61" w:rsidRPr="002478BE">
        <w:rPr>
          <w:vertAlign w:val="superscript"/>
        </w:rPr>
        <w:t>b,c,d</w:t>
      </w:r>
    </w:p>
    <w:p w14:paraId="6B2D21B3" w14:textId="3AD4559E" w:rsidR="00B57E6F" w:rsidRPr="002478BE" w:rsidRDefault="00B57E6F" w:rsidP="00B57E6F">
      <w:pPr>
        <w:pStyle w:val="CETAddress"/>
      </w:pPr>
      <w:r w:rsidRPr="002478BE">
        <w:rPr>
          <w:vertAlign w:val="superscript"/>
        </w:rPr>
        <w:t>a</w:t>
      </w:r>
      <w:r w:rsidR="002F643B" w:rsidRPr="002478BE">
        <w:t>College of Mechanical and Electronic Engineering, China University of Petroleum (East China), Qingdao, China</w:t>
      </w:r>
    </w:p>
    <w:p w14:paraId="3D72B0B0" w14:textId="59AEB92D" w:rsidR="00B57E6F" w:rsidRPr="002478BE" w:rsidRDefault="00B57E6F" w:rsidP="00B57E6F">
      <w:pPr>
        <w:pStyle w:val="CETAddress"/>
      </w:pPr>
      <w:r w:rsidRPr="002478BE">
        <w:rPr>
          <w:vertAlign w:val="superscript"/>
        </w:rPr>
        <w:t>b</w:t>
      </w:r>
      <w:r w:rsidR="002F643B" w:rsidRPr="002478BE">
        <w:t xml:space="preserve">Safety and Security Science Section, Department of Values, Technology, and Innovation, Faculty of Technology, Policy, and Management, </w:t>
      </w:r>
      <w:bookmarkStart w:id="0" w:name="OLE_LINK26"/>
      <w:r w:rsidR="002F643B" w:rsidRPr="002478BE">
        <w:t>Delft University of Technology</w:t>
      </w:r>
      <w:bookmarkEnd w:id="0"/>
      <w:r w:rsidR="002F643B" w:rsidRPr="002478BE">
        <w:t>, The Netherlands</w:t>
      </w:r>
    </w:p>
    <w:p w14:paraId="1F02E7A4" w14:textId="1D6EBA74" w:rsidR="00352007" w:rsidRPr="00FE6317" w:rsidRDefault="00352007" w:rsidP="00B57E6F">
      <w:pPr>
        <w:pStyle w:val="CETAddress"/>
        <w:rPr>
          <w:rFonts w:cs="Arial"/>
          <w:szCs w:val="16"/>
        </w:rPr>
      </w:pPr>
      <w:r w:rsidRPr="008458A9">
        <w:rPr>
          <w:rFonts w:cs="Arial"/>
          <w:szCs w:val="16"/>
          <w:vertAlign w:val="superscript"/>
        </w:rPr>
        <w:t>c</w:t>
      </w:r>
      <w:r w:rsidRPr="00FE6317">
        <w:rPr>
          <w:rFonts w:cs="Arial"/>
          <w:szCs w:val="16"/>
        </w:rPr>
        <w:t>Faculty of Applied Economics, Antwerp Research Group on Safety and Security (ARGoSS), Universiteit Antwerpen, 2000, Antwerp, Belgium.</w:t>
      </w:r>
    </w:p>
    <w:p w14:paraId="1D456C6B" w14:textId="412A4B2C" w:rsidR="00352007" w:rsidRPr="0013380B" w:rsidRDefault="00352007" w:rsidP="00B57E6F">
      <w:pPr>
        <w:pStyle w:val="CETAddress"/>
        <w:rPr>
          <w:rFonts w:cs="Arial"/>
          <w:szCs w:val="16"/>
        </w:rPr>
      </w:pPr>
      <w:r w:rsidRPr="0013380B">
        <w:rPr>
          <w:rFonts w:cs="Arial"/>
          <w:szCs w:val="16"/>
          <w:vertAlign w:val="superscript"/>
        </w:rPr>
        <w:t>d</w:t>
      </w:r>
      <w:r w:rsidRPr="00FE6317">
        <w:rPr>
          <w:rFonts w:cs="Arial"/>
          <w:szCs w:val="16"/>
        </w:rPr>
        <w:t xml:space="preserve"> CEDON, KULeuven, 1000 Brussels, Belgium</w:t>
      </w:r>
    </w:p>
    <w:p w14:paraId="73F1267A" w14:textId="44DEC96F" w:rsidR="00B57E6F" w:rsidRPr="002478BE" w:rsidRDefault="00906A57" w:rsidP="00B57E6F">
      <w:pPr>
        <w:pStyle w:val="CETemail"/>
      </w:pPr>
      <w:hyperlink r:id="rId12" w:history="1">
        <w:r w:rsidR="00352007" w:rsidRPr="002478BE">
          <w:t>wanghaiqing@upc.edu.cn</w:t>
        </w:r>
      </w:hyperlink>
      <w:r w:rsidR="00352007" w:rsidRPr="002478BE">
        <w:t>; m.yang-1@tudelft.nl</w:t>
      </w:r>
    </w:p>
    <w:p w14:paraId="37A61FCE" w14:textId="761E44C2" w:rsidR="00DA24C6" w:rsidRPr="002478BE" w:rsidRDefault="008B26A2" w:rsidP="00352007">
      <w:pPr>
        <w:pStyle w:val="CETBodytext"/>
        <w:rPr>
          <w:lang w:val="en-GB"/>
        </w:rPr>
      </w:pPr>
      <w:bookmarkStart w:id="1" w:name="OLE_LINK8"/>
      <w:r w:rsidRPr="002478BE">
        <w:rPr>
          <w:lang w:val="en-GB"/>
        </w:rPr>
        <w:t>Due to the r</w:t>
      </w:r>
      <w:r w:rsidR="00AA7A45">
        <w:rPr>
          <w:lang w:val="en-GB"/>
        </w:rPr>
        <w:t>a</w:t>
      </w:r>
      <w:r w:rsidRPr="002478BE">
        <w:rPr>
          <w:lang w:val="en-GB"/>
        </w:rPr>
        <w:t xml:space="preserve">pid development of technology, process </w:t>
      </w:r>
      <w:r w:rsidR="00352007" w:rsidRPr="002478BE">
        <w:rPr>
          <w:lang w:val="en-GB"/>
        </w:rPr>
        <w:t>system</w:t>
      </w:r>
      <w:r w:rsidRPr="002478BE">
        <w:rPr>
          <w:lang w:val="en-GB"/>
        </w:rPr>
        <w:t>s become</w:t>
      </w:r>
      <w:r w:rsidR="00352007" w:rsidRPr="002478BE">
        <w:rPr>
          <w:lang w:val="en-GB"/>
        </w:rPr>
        <w:t xml:space="preserve"> </w:t>
      </w:r>
      <w:bookmarkStart w:id="2" w:name="OLE_LINK2"/>
      <w:bookmarkStart w:id="3" w:name="OLE_LINK3"/>
      <w:r w:rsidR="00986EF5">
        <w:rPr>
          <w:lang w:val="en-GB"/>
        </w:rPr>
        <w:t xml:space="preserve">dynamic, automated, and complex, </w:t>
      </w:r>
      <w:r w:rsidR="00AA7A45">
        <w:rPr>
          <w:lang w:val="en-GB"/>
        </w:rPr>
        <w:t>resulting</w:t>
      </w:r>
      <w:r w:rsidR="00352007" w:rsidRPr="002478BE">
        <w:rPr>
          <w:lang w:val="en-GB"/>
        </w:rPr>
        <w:t xml:space="preserve"> in the strong interdependence and interaction among components</w:t>
      </w:r>
      <w:r w:rsidR="00986EF5">
        <w:rPr>
          <w:lang w:val="en-GB"/>
        </w:rPr>
        <w:t xml:space="preserve"> and</w:t>
      </w:r>
      <w:r w:rsidR="00352007" w:rsidRPr="002478BE">
        <w:rPr>
          <w:lang w:val="en-GB"/>
        </w:rPr>
        <w:t xml:space="preserve"> ensuring system safety by conventional </w:t>
      </w:r>
      <w:r w:rsidR="00986EF5" w:rsidRPr="00986EF5">
        <w:rPr>
          <w:rFonts w:hint="eastAsia"/>
          <w:lang w:val="en-GB"/>
        </w:rPr>
        <w:t>method</w:t>
      </w:r>
      <w:r w:rsidR="00986EF5">
        <w:rPr>
          <w:lang w:val="en-GB"/>
        </w:rPr>
        <w:t xml:space="preserve">s </w:t>
      </w:r>
      <w:r w:rsidR="00352007" w:rsidRPr="002478BE">
        <w:rPr>
          <w:lang w:val="en-GB"/>
        </w:rPr>
        <w:t>a challenge.</w:t>
      </w:r>
      <w:bookmarkEnd w:id="2"/>
      <w:bookmarkEnd w:id="3"/>
      <w:r w:rsidR="00352007" w:rsidRPr="002478BE">
        <w:rPr>
          <w:lang w:val="en-GB"/>
        </w:rPr>
        <w:t xml:space="preserve"> </w:t>
      </w:r>
      <w:r w:rsidR="00AA7A45">
        <w:rPr>
          <w:lang w:val="en-GB"/>
        </w:rPr>
        <w:t>Compared</w:t>
      </w:r>
      <w:r w:rsidR="00352007" w:rsidRPr="002478BE">
        <w:rPr>
          <w:lang w:val="en-GB"/>
        </w:rPr>
        <w:t xml:space="preserve"> with traditional risk assessment methods, resilience assessment is a more appropriate method for ensuring the safety of process systems under uncertain disruptions. Resilience refers to </w:t>
      </w:r>
      <w:r w:rsidR="00AA7A45">
        <w:rPr>
          <w:lang w:val="en-GB"/>
        </w:rPr>
        <w:t>absorbing and adapting</w:t>
      </w:r>
      <w:r w:rsidR="00352007" w:rsidRPr="002478BE">
        <w:rPr>
          <w:lang w:val="en-GB"/>
        </w:rPr>
        <w:t xml:space="preserve"> to changing conditions and </w:t>
      </w:r>
      <w:r w:rsidR="00AA7A45">
        <w:rPr>
          <w:lang w:val="en-GB"/>
        </w:rPr>
        <w:t>recovering</w:t>
      </w:r>
      <w:r w:rsidR="00352007" w:rsidRPr="002478BE">
        <w:rPr>
          <w:lang w:val="en-GB"/>
        </w:rPr>
        <w:t xml:space="preserve"> from disruptions. This paper presents a comprehensive assessment model that combines </w:t>
      </w:r>
      <w:bookmarkStart w:id="4" w:name="OLE_LINK67"/>
      <w:bookmarkStart w:id="5" w:name="OLE_LINK73"/>
      <w:r w:rsidR="00352007" w:rsidRPr="002478BE">
        <w:rPr>
          <w:lang w:val="en-GB"/>
        </w:rPr>
        <w:t>the catastrophe theory (CT) with the dynamic Bayesian network (DBN)</w:t>
      </w:r>
      <w:bookmarkEnd w:id="4"/>
      <w:bookmarkEnd w:id="5"/>
      <w:r w:rsidR="00352007" w:rsidRPr="002478BE">
        <w:rPr>
          <w:lang w:val="en-GB"/>
        </w:rPr>
        <w:t xml:space="preserve"> to measure dynamic resilience. Firstly, the CT is employed to quantify the intensity of disruptions. Subsequently, the </w:t>
      </w:r>
      <w:r w:rsidR="00986EF5">
        <w:rPr>
          <w:lang w:val="en-GB"/>
        </w:rPr>
        <w:t>performance response function (PRF)</w:t>
      </w:r>
      <w:r w:rsidR="00352007" w:rsidRPr="002478BE">
        <w:rPr>
          <w:lang w:val="en-GB"/>
        </w:rPr>
        <w:t xml:space="preserve"> of the system </w:t>
      </w:r>
      <w:r w:rsidR="00064224">
        <w:rPr>
          <w:lang w:val="en-GB"/>
        </w:rPr>
        <w:t>is</w:t>
      </w:r>
      <w:r w:rsidR="00352007" w:rsidRPr="002478BE">
        <w:rPr>
          <w:lang w:val="en-GB"/>
        </w:rPr>
        <w:t xml:space="preserve"> determined by DBN. A </w:t>
      </w:r>
      <w:r w:rsidR="00986EF5">
        <w:rPr>
          <w:lang w:val="en-GB"/>
        </w:rPr>
        <w:t>resilience metric</w:t>
      </w:r>
      <w:r w:rsidR="00352007" w:rsidRPr="002478BE">
        <w:rPr>
          <w:lang w:val="en-GB"/>
        </w:rPr>
        <w:t xml:space="preserve"> is then </w:t>
      </w:r>
      <w:r w:rsidR="00986EF5">
        <w:rPr>
          <w:lang w:val="en-GB"/>
        </w:rPr>
        <w:t>introduced</w:t>
      </w:r>
      <w:r w:rsidR="00352007" w:rsidRPr="002478BE">
        <w:rPr>
          <w:lang w:val="en-GB"/>
        </w:rPr>
        <w:t xml:space="preserve"> to measure system resilience under </w:t>
      </w:r>
      <w:r w:rsidR="00986EF5">
        <w:rPr>
          <w:lang w:val="en-GB"/>
        </w:rPr>
        <w:t>uncertain</w:t>
      </w:r>
      <w:r w:rsidR="00352007" w:rsidRPr="002478BE">
        <w:rPr>
          <w:lang w:val="en-GB"/>
        </w:rPr>
        <w:t xml:space="preserve"> disruptions. The method is demonstrated through a release prevention barrier system.</w:t>
      </w:r>
      <w:bookmarkStart w:id="6" w:name="_Hlk495475023"/>
      <w:bookmarkEnd w:id="1"/>
      <w:r w:rsidR="00F63A70" w:rsidRPr="002478BE">
        <w:t xml:space="preserve"> </w:t>
      </w:r>
      <w:bookmarkEnd w:id="6"/>
    </w:p>
    <w:p w14:paraId="476B2F2E" w14:textId="77777777" w:rsidR="00600535" w:rsidRPr="002478BE" w:rsidRDefault="00600535" w:rsidP="00600535">
      <w:pPr>
        <w:pStyle w:val="CETHeading1"/>
        <w:rPr>
          <w:lang w:val="en-GB"/>
        </w:rPr>
      </w:pPr>
      <w:r w:rsidRPr="002478BE">
        <w:rPr>
          <w:lang w:val="en-GB"/>
        </w:rPr>
        <w:t>Introduction</w:t>
      </w:r>
    </w:p>
    <w:p w14:paraId="3074F7AE" w14:textId="2AB4BA04" w:rsidR="00EB5EFE" w:rsidRPr="002478BE" w:rsidRDefault="007D2F26" w:rsidP="007D2F26">
      <w:pPr>
        <w:pStyle w:val="ListParagraph"/>
        <w:ind w:left="0"/>
        <w:rPr>
          <w:rFonts w:eastAsia="FangSong" w:cs="Arial"/>
          <w:szCs w:val="18"/>
        </w:rPr>
      </w:pPr>
      <w:r w:rsidRPr="002478BE">
        <w:rPr>
          <w:rFonts w:cs="Arial"/>
          <w:szCs w:val="18"/>
        </w:rPr>
        <w:t xml:space="preserve">To ensure the safety of chemical process systems, </w:t>
      </w:r>
      <w:r w:rsidRPr="002478BE">
        <w:rPr>
          <w:rFonts w:eastAsia="FangSong" w:cs="Arial"/>
          <w:szCs w:val="18"/>
        </w:rPr>
        <w:t>r</w:t>
      </w:r>
      <w:r w:rsidR="00EB5EFE" w:rsidRPr="002478BE">
        <w:rPr>
          <w:rFonts w:eastAsia="FangSong" w:cs="Arial"/>
          <w:szCs w:val="18"/>
        </w:rPr>
        <w:t xml:space="preserve">esearchers have </w:t>
      </w:r>
      <w:r w:rsidRPr="002478BE">
        <w:rPr>
          <w:rFonts w:eastAsia="FangSong" w:cs="Arial"/>
          <w:szCs w:val="18"/>
        </w:rPr>
        <w:t>proposed</w:t>
      </w:r>
      <w:r w:rsidR="00B12859">
        <w:rPr>
          <w:rFonts w:eastAsia="FangSong" w:cs="Arial"/>
          <w:szCs w:val="18"/>
        </w:rPr>
        <w:t xml:space="preserve"> many kinds of</w:t>
      </w:r>
      <w:r w:rsidR="00EB5EFE" w:rsidRPr="002478BE">
        <w:rPr>
          <w:rFonts w:eastAsia="FangSong" w:cs="Arial"/>
          <w:szCs w:val="18"/>
        </w:rPr>
        <w:t xml:space="preserve"> </w:t>
      </w:r>
      <w:r w:rsidRPr="002478BE">
        <w:rPr>
          <w:rFonts w:eastAsia="FangSong" w:cs="Arial"/>
          <w:szCs w:val="18"/>
        </w:rPr>
        <w:t xml:space="preserve">models and methods to </w:t>
      </w:r>
      <w:r w:rsidR="00064224">
        <w:rPr>
          <w:rFonts w:eastAsia="FangSong" w:cs="Arial"/>
          <w:szCs w:val="18"/>
        </w:rPr>
        <w:t>analyze</w:t>
      </w:r>
      <w:r w:rsidRPr="002478BE">
        <w:rPr>
          <w:rFonts w:eastAsia="FangSong" w:cs="Arial"/>
          <w:szCs w:val="18"/>
        </w:rPr>
        <w:t xml:space="preserve"> and quantify systems risk</w:t>
      </w:r>
      <w:r w:rsidR="00EB5EFE" w:rsidRPr="002478BE">
        <w:rPr>
          <w:rFonts w:eastAsia="FangSong" w:cs="Arial"/>
          <w:szCs w:val="18"/>
        </w:rPr>
        <w:t xml:space="preserve"> to </w:t>
      </w:r>
      <w:r w:rsidR="00EB5EFE" w:rsidRPr="002478BE">
        <w:rPr>
          <w:rFonts w:cs="Arial"/>
          <w:szCs w:val="18"/>
        </w:rPr>
        <w:t>prevent and predict disruptions</w:t>
      </w:r>
      <w:r w:rsidR="00B12859">
        <w:rPr>
          <w:rFonts w:cs="Arial"/>
          <w:szCs w:val="18"/>
        </w:rPr>
        <w:t xml:space="preserve"> and accidents</w:t>
      </w:r>
      <w:r w:rsidR="00EB5EFE" w:rsidRPr="002478BE">
        <w:rPr>
          <w:rFonts w:eastAsia="FangSong" w:cs="Arial"/>
          <w:szCs w:val="18"/>
        </w:rPr>
        <w:t xml:space="preserve"> (Ji et al., 2021). Chen et al. (2019) developed a Dynamic Vulnerability Assessment Graph (DVAG)-based approach to integrate safety and security to reduce the risk of intentional damages. Casciano et al. (2019) proposed an algorithm to classify chemical industrial clusters based on risks and enhance the efficiency of reducing risk. Landucci et al. (2017) came up with a Bayesian Network (BN)-based method to quantify attack likelihood to quantify the security risk of the system. Liu et al. (2021) presented a DBN-based dynamic risk assessment approach to evaluate the risk of the process for operations. Yang (2020) defined the concept of safety entropy and combined it with the Functional Resonance Analysis Method (FRAM) to evaluate </w:t>
      </w:r>
      <w:r w:rsidR="00292A86">
        <w:rPr>
          <w:rFonts w:eastAsia="FangSong" w:cs="Arial"/>
          <w:szCs w:val="18"/>
        </w:rPr>
        <w:t xml:space="preserve">the </w:t>
      </w:r>
      <w:r w:rsidR="00EB5EFE" w:rsidRPr="002478BE">
        <w:rPr>
          <w:rFonts w:eastAsia="FangSong" w:cs="Arial"/>
          <w:szCs w:val="18"/>
        </w:rPr>
        <w:t>safety of a process system.</w:t>
      </w:r>
      <w:r w:rsidR="00B12859">
        <w:rPr>
          <w:rFonts w:eastAsia="FangSong" w:cs="Arial"/>
          <w:szCs w:val="18"/>
        </w:rPr>
        <w:t xml:space="preserve"> </w:t>
      </w:r>
      <w:r w:rsidR="00EB5EFE" w:rsidRPr="002478BE">
        <w:rPr>
          <w:rFonts w:eastAsia="FangSong" w:cs="Arial"/>
          <w:szCs w:val="18"/>
        </w:rPr>
        <w:t>The works described above show the significant progress on risk assessment in process systems. However,</w:t>
      </w:r>
      <w:r w:rsidR="00EB5EFE" w:rsidRPr="002478BE">
        <w:rPr>
          <w:rFonts w:cs="Arial"/>
          <w:sz w:val="11"/>
          <w:szCs w:val="13"/>
        </w:rPr>
        <w:t xml:space="preserve"> </w:t>
      </w:r>
      <w:r w:rsidR="00EB5EFE" w:rsidRPr="002478BE">
        <w:rPr>
          <w:rFonts w:eastAsia="FangSong" w:cs="Arial"/>
          <w:szCs w:val="18"/>
        </w:rPr>
        <w:t xml:space="preserve">recurring accidents </w:t>
      </w:r>
      <w:r w:rsidR="00CE70F8" w:rsidRPr="002478BE">
        <w:rPr>
          <w:rFonts w:eastAsia="FangSong" w:cs="Arial"/>
          <w:szCs w:val="18"/>
        </w:rPr>
        <w:t>show</w:t>
      </w:r>
      <w:r w:rsidR="00EB5EFE" w:rsidRPr="002478BE">
        <w:rPr>
          <w:rFonts w:eastAsia="FangSong" w:cs="Arial"/>
          <w:szCs w:val="18"/>
        </w:rPr>
        <w:t xml:space="preserve"> that </w:t>
      </w:r>
      <w:r w:rsidR="00CE70F8" w:rsidRPr="002478BE">
        <w:rPr>
          <w:rFonts w:eastAsia="FangSong" w:cs="Arial"/>
          <w:szCs w:val="18"/>
        </w:rPr>
        <w:t>only performing</w:t>
      </w:r>
      <w:r w:rsidR="00EB5EFE" w:rsidRPr="002478BE">
        <w:rPr>
          <w:rFonts w:eastAsia="FangSong" w:cs="Arial"/>
          <w:szCs w:val="18"/>
        </w:rPr>
        <w:t xml:space="preserve"> </w:t>
      </w:r>
      <w:r w:rsidR="00292A86">
        <w:rPr>
          <w:rFonts w:eastAsia="FangSong" w:cs="Arial"/>
          <w:szCs w:val="18"/>
        </w:rPr>
        <w:t xml:space="preserve">a </w:t>
      </w:r>
      <w:r w:rsidR="00CE70F8" w:rsidRPr="002478BE">
        <w:rPr>
          <w:rFonts w:eastAsia="FangSong" w:cs="Arial"/>
          <w:szCs w:val="18"/>
        </w:rPr>
        <w:t>conventional</w:t>
      </w:r>
      <w:r w:rsidR="00EB5EFE" w:rsidRPr="002478BE">
        <w:rPr>
          <w:rFonts w:eastAsia="FangSong" w:cs="Arial"/>
          <w:szCs w:val="18"/>
        </w:rPr>
        <w:t xml:space="preserve"> risk assessment is </w:t>
      </w:r>
      <w:r w:rsidR="005C494C">
        <w:rPr>
          <w:rFonts w:eastAsia="FangSong" w:cs="Arial"/>
          <w:szCs w:val="18"/>
        </w:rPr>
        <w:t>insufficient</w:t>
      </w:r>
      <w:r w:rsidR="00EB5EFE" w:rsidRPr="002478BE">
        <w:rPr>
          <w:rFonts w:eastAsia="FangSong" w:cs="Arial"/>
          <w:szCs w:val="18"/>
        </w:rPr>
        <w:t xml:space="preserve"> to ensure system safety in the </w:t>
      </w:r>
      <w:r w:rsidR="00CE70F8" w:rsidRPr="002478BE">
        <w:rPr>
          <w:rFonts w:eastAsia="FangSong" w:cs="Arial"/>
          <w:szCs w:val="18"/>
        </w:rPr>
        <w:t>changing</w:t>
      </w:r>
      <w:r w:rsidR="00EB5EFE" w:rsidRPr="002478BE">
        <w:rPr>
          <w:rFonts w:eastAsia="FangSong" w:cs="Arial"/>
          <w:szCs w:val="18"/>
        </w:rPr>
        <w:t xml:space="preserve"> environment. </w:t>
      </w:r>
      <w:r w:rsidR="00CE70F8" w:rsidRPr="002478BE">
        <w:rPr>
          <w:rFonts w:eastAsia="FangSong" w:cs="Arial"/>
          <w:szCs w:val="18"/>
        </w:rPr>
        <w:t>Hence</w:t>
      </w:r>
      <w:r w:rsidR="00EB5EFE" w:rsidRPr="002478BE">
        <w:rPr>
          <w:rFonts w:eastAsia="FangSong" w:cs="Arial"/>
          <w:szCs w:val="18"/>
        </w:rPr>
        <w:t xml:space="preserve">, </w:t>
      </w:r>
      <w:r w:rsidR="00CE70F8" w:rsidRPr="002478BE">
        <w:rPr>
          <w:rFonts w:eastAsia="FangSong" w:cs="Arial"/>
          <w:szCs w:val="18"/>
        </w:rPr>
        <w:t>making</w:t>
      </w:r>
      <w:r w:rsidR="00EB5EFE" w:rsidRPr="002478BE">
        <w:rPr>
          <w:rFonts w:eastAsia="FangSong" w:cs="Arial"/>
          <w:szCs w:val="18"/>
        </w:rPr>
        <w:t xml:space="preserve"> a </w:t>
      </w:r>
      <w:r w:rsidR="00CE70F8" w:rsidRPr="002478BE">
        <w:rPr>
          <w:rFonts w:eastAsia="FangSong" w:cs="Arial"/>
          <w:szCs w:val="18"/>
        </w:rPr>
        <w:t xml:space="preserve">system more </w:t>
      </w:r>
      <w:r w:rsidR="00EB5EFE" w:rsidRPr="002478BE">
        <w:rPr>
          <w:rFonts w:eastAsia="FangSong" w:cs="Arial"/>
          <w:szCs w:val="18"/>
        </w:rPr>
        <w:t xml:space="preserve">resilient is ideal </w:t>
      </w:r>
      <w:r w:rsidR="005C494C">
        <w:rPr>
          <w:rFonts w:eastAsia="FangSong" w:cs="Arial"/>
          <w:szCs w:val="18"/>
        </w:rPr>
        <w:t>for dealing</w:t>
      </w:r>
      <w:r w:rsidR="00CE70F8" w:rsidRPr="002478BE">
        <w:rPr>
          <w:rFonts w:eastAsia="FangSong" w:cs="Arial"/>
          <w:szCs w:val="18"/>
        </w:rPr>
        <w:t xml:space="preserve"> with</w:t>
      </w:r>
      <w:r w:rsidR="00EB5EFE" w:rsidRPr="002478BE">
        <w:rPr>
          <w:rFonts w:eastAsia="FangSong" w:cs="Arial"/>
          <w:szCs w:val="18"/>
        </w:rPr>
        <w:t xml:space="preserve"> uncertain disruptions (</w:t>
      </w:r>
      <w:r w:rsidR="009806D4">
        <w:rPr>
          <w:rFonts w:eastAsia="FangSong" w:cs="Arial"/>
          <w:szCs w:val="18"/>
        </w:rPr>
        <w:t>Sun et al., 2021</w:t>
      </w:r>
      <w:r w:rsidR="00EB5EFE" w:rsidRPr="002478BE">
        <w:rPr>
          <w:rFonts w:eastAsia="FangSong" w:cs="Arial"/>
          <w:szCs w:val="18"/>
        </w:rPr>
        <w:t>).</w:t>
      </w:r>
    </w:p>
    <w:p w14:paraId="39ED7762" w14:textId="790F2D24" w:rsidR="00E7638F" w:rsidRDefault="005C494C" w:rsidP="007D2F26">
      <w:pPr>
        <w:pStyle w:val="ListParagraph"/>
        <w:ind w:left="0"/>
        <w:rPr>
          <w:rFonts w:cs="Arial"/>
          <w:szCs w:val="18"/>
        </w:rPr>
      </w:pPr>
      <w:r>
        <w:rPr>
          <w:rFonts w:cs="Arial"/>
          <w:szCs w:val="18"/>
        </w:rPr>
        <w:t>Compared</w:t>
      </w:r>
      <w:r w:rsidR="00EB5EFE" w:rsidRPr="002478BE">
        <w:rPr>
          <w:rFonts w:cs="Arial"/>
          <w:szCs w:val="18"/>
        </w:rPr>
        <w:t xml:space="preserve"> with conventional safety management, which focuses on identifying and reducing hazards in a system, resilience thinking believes that the time, position, and type of disruptions are difficult to predict. Thus, practitioners should </w:t>
      </w:r>
      <w:r>
        <w:rPr>
          <w:rFonts w:cs="Arial"/>
          <w:szCs w:val="18"/>
        </w:rPr>
        <w:t>focus on</w:t>
      </w:r>
      <w:r w:rsidR="00EB5EFE" w:rsidRPr="002478BE">
        <w:rPr>
          <w:rFonts w:cs="Arial"/>
          <w:szCs w:val="18"/>
        </w:rPr>
        <w:t xml:space="preserve"> enhancing system resilience to respond to uncertain disruptions rather than only discovering and eliminating dangers. Moreover, resilience assessment is wider than safety management</w:t>
      </w:r>
      <w:r w:rsidR="00EB5EFE" w:rsidRPr="002478BE">
        <w:rPr>
          <w:rFonts w:cs="Arial"/>
          <w:sz w:val="11"/>
          <w:szCs w:val="13"/>
        </w:rPr>
        <w:t xml:space="preserve"> </w:t>
      </w:r>
      <w:r w:rsidR="00EB5EFE" w:rsidRPr="002478BE">
        <w:rPr>
          <w:rFonts w:cs="Arial"/>
          <w:szCs w:val="18"/>
        </w:rPr>
        <w:t xml:space="preserve">because it can </w:t>
      </w:r>
      <w:r>
        <w:rPr>
          <w:rFonts w:cs="Arial"/>
          <w:szCs w:val="18"/>
        </w:rPr>
        <w:t>identify system hazards and</w:t>
      </w:r>
      <w:r w:rsidR="00EB5EFE" w:rsidRPr="002478BE">
        <w:rPr>
          <w:rFonts w:cs="Arial"/>
          <w:szCs w:val="18"/>
        </w:rPr>
        <w:t xml:space="preserve"> quantify the system's ability of absorption, adaptation, and restoration after uncertain disruptions. As a novel paradigm, resilience has </w:t>
      </w:r>
      <w:r>
        <w:rPr>
          <w:rFonts w:cs="Arial"/>
          <w:szCs w:val="18"/>
        </w:rPr>
        <w:t xml:space="preserve">been </w:t>
      </w:r>
      <w:r w:rsidR="00EB5EFE" w:rsidRPr="002478BE">
        <w:rPr>
          <w:rFonts w:cs="Arial"/>
          <w:szCs w:val="18"/>
        </w:rPr>
        <w:t xml:space="preserve">drawn </w:t>
      </w:r>
      <w:r w:rsidR="00DA70E0">
        <w:rPr>
          <w:rFonts w:cs="Arial"/>
          <w:szCs w:val="18"/>
        </w:rPr>
        <w:t>into</w:t>
      </w:r>
      <w:r>
        <w:rPr>
          <w:rFonts w:cs="Arial"/>
          <w:szCs w:val="18"/>
        </w:rPr>
        <w:t xml:space="preserve"> consideration by</w:t>
      </w:r>
      <w:r w:rsidR="00EB5EFE" w:rsidRPr="002478BE">
        <w:rPr>
          <w:rFonts w:cs="Arial"/>
          <w:szCs w:val="18"/>
        </w:rPr>
        <w:t xml:space="preserve"> </w:t>
      </w:r>
      <w:r w:rsidR="00EB5EFE" w:rsidRPr="002478BE">
        <w:rPr>
          <w:rFonts w:cs="Arial"/>
          <w:szCs w:val="18"/>
        </w:rPr>
        <w:lastRenderedPageBreak/>
        <w:t>researchers.</w:t>
      </w:r>
      <w:r w:rsidR="00EB5EFE" w:rsidRPr="002478BE">
        <w:rPr>
          <w:rFonts w:cs="Arial"/>
          <w:sz w:val="11"/>
          <w:szCs w:val="13"/>
        </w:rPr>
        <w:t xml:space="preserve"> </w:t>
      </w:r>
      <w:r w:rsidR="002C3D7A" w:rsidRPr="002478BE">
        <w:rPr>
          <w:rFonts w:cs="Arial"/>
          <w:szCs w:val="18"/>
        </w:rPr>
        <w:t>Tong</w:t>
      </w:r>
      <w:r w:rsidR="00EB5EFE" w:rsidRPr="002478BE">
        <w:rPr>
          <w:rFonts w:cs="Arial"/>
          <w:szCs w:val="18"/>
        </w:rPr>
        <w:t xml:space="preserve"> et al. (2020) </w:t>
      </w:r>
      <w:r w:rsidR="002C3D7A" w:rsidRPr="002478BE">
        <w:rPr>
          <w:rFonts w:cs="Arial"/>
          <w:szCs w:val="18"/>
        </w:rPr>
        <w:t>developed</w:t>
      </w:r>
      <w:r w:rsidR="00EB5EFE" w:rsidRPr="002478BE">
        <w:rPr>
          <w:rFonts w:cs="Arial"/>
          <w:szCs w:val="18"/>
        </w:rPr>
        <w:t xml:space="preserve"> </w:t>
      </w:r>
      <w:r w:rsidR="002C3D7A" w:rsidRPr="002478BE">
        <w:rPr>
          <w:rFonts w:cs="Arial"/>
          <w:szCs w:val="18"/>
        </w:rPr>
        <w:t>a comprehensive</w:t>
      </w:r>
      <w:r w:rsidR="00EB5EFE" w:rsidRPr="002478BE">
        <w:rPr>
          <w:rFonts w:cs="Arial"/>
          <w:szCs w:val="18"/>
        </w:rPr>
        <w:t xml:space="preserve"> method </w:t>
      </w:r>
      <w:r>
        <w:rPr>
          <w:rFonts w:cs="Arial"/>
          <w:szCs w:val="18"/>
        </w:rPr>
        <w:t>based on</w:t>
      </w:r>
      <w:r w:rsidR="002C3D7A" w:rsidRPr="002478BE">
        <w:rPr>
          <w:rFonts w:cs="Arial"/>
          <w:szCs w:val="18"/>
        </w:rPr>
        <w:t xml:space="preserve"> DBN </w:t>
      </w:r>
      <w:r w:rsidR="00EB5EFE" w:rsidRPr="002478BE">
        <w:rPr>
          <w:rFonts w:cs="Arial"/>
          <w:szCs w:val="18"/>
        </w:rPr>
        <w:t xml:space="preserve">to </w:t>
      </w:r>
      <w:r w:rsidR="002C3D7A" w:rsidRPr="002478BE">
        <w:rPr>
          <w:rFonts w:cs="Arial"/>
          <w:szCs w:val="18"/>
        </w:rPr>
        <w:t>quantify</w:t>
      </w:r>
      <w:r w:rsidR="00EB5EFE" w:rsidRPr="002478BE">
        <w:rPr>
          <w:rFonts w:cs="Arial"/>
          <w:szCs w:val="18"/>
        </w:rPr>
        <w:t xml:space="preserve"> </w:t>
      </w:r>
      <w:r w:rsidR="002C3D7A" w:rsidRPr="002478BE">
        <w:rPr>
          <w:rFonts w:cs="Arial"/>
          <w:szCs w:val="18"/>
        </w:rPr>
        <w:t xml:space="preserve">the process </w:t>
      </w:r>
      <w:r w:rsidR="00EB5EFE" w:rsidRPr="002478BE">
        <w:rPr>
          <w:rFonts w:cs="Arial"/>
          <w:szCs w:val="18"/>
        </w:rPr>
        <w:t>system</w:t>
      </w:r>
      <w:r w:rsidR="002C3D7A" w:rsidRPr="002478BE">
        <w:rPr>
          <w:rFonts w:cs="Arial"/>
          <w:szCs w:val="18"/>
        </w:rPr>
        <w:t xml:space="preserve"> resilience</w:t>
      </w:r>
      <w:r w:rsidR="00EB5EFE" w:rsidRPr="002478BE">
        <w:rPr>
          <w:rFonts w:cs="Arial"/>
          <w:szCs w:val="18"/>
        </w:rPr>
        <w:t xml:space="preserve">. </w:t>
      </w:r>
      <w:r w:rsidR="009806D4">
        <w:rPr>
          <w:rFonts w:cs="Arial"/>
          <w:szCs w:val="18"/>
        </w:rPr>
        <w:t>Sun et al. (2021</w:t>
      </w:r>
      <w:r w:rsidR="00EB5EFE" w:rsidRPr="002478BE">
        <w:rPr>
          <w:rFonts w:cs="Arial"/>
          <w:szCs w:val="18"/>
        </w:rPr>
        <w:t xml:space="preserve">) introduced a novel approach based on DBN to assess the resilience of safety </w:t>
      </w:r>
      <w:r w:rsidR="00DA70E0">
        <w:rPr>
          <w:rFonts w:cs="Arial"/>
          <w:szCs w:val="18"/>
        </w:rPr>
        <w:t>barriers</w:t>
      </w:r>
      <w:r w:rsidR="00EB5EFE" w:rsidRPr="002478BE">
        <w:rPr>
          <w:rFonts w:cs="Arial"/>
          <w:szCs w:val="18"/>
        </w:rPr>
        <w:t xml:space="preserve"> for the process</w:t>
      </w:r>
      <w:r w:rsidR="0085791C">
        <w:rPr>
          <w:rFonts w:cs="Arial"/>
          <w:szCs w:val="18"/>
        </w:rPr>
        <w:t>ing</w:t>
      </w:r>
      <w:r w:rsidR="00EB5EFE" w:rsidRPr="002478BE">
        <w:rPr>
          <w:rFonts w:cs="Arial"/>
          <w:szCs w:val="18"/>
        </w:rPr>
        <w:t xml:space="preserve"> system. </w:t>
      </w:r>
      <w:r w:rsidR="002C3D7A" w:rsidRPr="002478BE">
        <w:rPr>
          <w:rFonts w:cs="Arial"/>
          <w:szCs w:val="18"/>
        </w:rPr>
        <w:t>Zhang et al.</w:t>
      </w:r>
      <w:r w:rsidR="00EB5EFE" w:rsidRPr="002478BE">
        <w:rPr>
          <w:rFonts w:cs="Arial"/>
          <w:szCs w:val="18"/>
        </w:rPr>
        <w:t xml:space="preserve"> (</w:t>
      </w:r>
      <w:r w:rsidR="002C3D7A" w:rsidRPr="002478BE">
        <w:rPr>
          <w:rFonts w:cs="Arial"/>
          <w:szCs w:val="18"/>
        </w:rPr>
        <w:t>2021</w:t>
      </w:r>
      <w:r w:rsidR="00EB5EFE" w:rsidRPr="002478BE">
        <w:rPr>
          <w:rFonts w:cs="Arial"/>
          <w:szCs w:val="18"/>
        </w:rPr>
        <w:t xml:space="preserve">) </w:t>
      </w:r>
      <w:r w:rsidR="002C3D7A" w:rsidRPr="002478BE">
        <w:rPr>
          <w:rFonts w:cs="Arial"/>
          <w:szCs w:val="18"/>
        </w:rPr>
        <w:t>used DBN</w:t>
      </w:r>
      <w:r w:rsidR="00EB5EFE" w:rsidRPr="002478BE">
        <w:rPr>
          <w:rFonts w:cs="Arial"/>
          <w:szCs w:val="18"/>
        </w:rPr>
        <w:t xml:space="preserve"> </w:t>
      </w:r>
      <w:r w:rsidR="002C3D7A" w:rsidRPr="002478BE">
        <w:rPr>
          <w:rFonts w:cs="Arial"/>
          <w:szCs w:val="18"/>
        </w:rPr>
        <w:t>to measure the dynamic resilience of</w:t>
      </w:r>
      <w:r w:rsidR="00EB5EFE" w:rsidRPr="002478BE">
        <w:rPr>
          <w:rFonts w:cs="Arial"/>
          <w:szCs w:val="18"/>
        </w:rPr>
        <w:t xml:space="preserve"> an engineering system after a disruptive event. Cai et al. (</w:t>
      </w:r>
      <w:r w:rsidR="002C3D7A" w:rsidRPr="002478BE">
        <w:rPr>
          <w:rFonts w:cs="Arial"/>
          <w:szCs w:val="18"/>
        </w:rPr>
        <w:t>2021</w:t>
      </w:r>
      <w:r w:rsidR="00EB5EFE" w:rsidRPr="002478BE">
        <w:rPr>
          <w:rFonts w:cs="Arial"/>
          <w:szCs w:val="18"/>
        </w:rPr>
        <w:t xml:space="preserve">) presented a DBN-based method to </w:t>
      </w:r>
      <w:r w:rsidR="002C3D7A" w:rsidRPr="002478BE">
        <w:rPr>
          <w:rFonts w:cs="Arial"/>
          <w:szCs w:val="18"/>
        </w:rPr>
        <w:t>quantify</w:t>
      </w:r>
      <w:r w:rsidR="00EB5EFE" w:rsidRPr="002478BE">
        <w:rPr>
          <w:rFonts w:cs="Arial"/>
          <w:szCs w:val="18"/>
        </w:rPr>
        <w:t xml:space="preserve"> </w:t>
      </w:r>
      <w:r w:rsidR="002C3D7A" w:rsidRPr="002478BE">
        <w:rPr>
          <w:rFonts w:cs="Arial"/>
          <w:szCs w:val="18"/>
        </w:rPr>
        <w:t>the dynamic</w:t>
      </w:r>
      <w:r w:rsidR="00EB5EFE" w:rsidRPr="002478BE">
        <w:rPr>
          <w:rFonts w:cs="Arial"/>
          <w:szCs w:val="18"/>
        </w:rPr>
        <w:t xml:space="preserve"> resilience</w:t>
      </w:r>
      <w:r w:rsidR="002C3D7A" w:rsidRPr="002478BE">
        <w:rPr>
          <w:rFonts w:cs="Arial"/>
          <w:szCs w:val="18"/>
        </w:rPr>
        <w:t xml:space="preserve"> of an engineering system in the context of multi-disruptions</w:t>
      </w:r>
      <w:r w:rsidR="00EB5EFE" w:rsidRPr="002478BE">
        <w:rPr>
          <w:rFonts w:cs="Arial"/>
          <w:szCs w:val="18"/>
        </w:rPr>
        <w:t xml:space="preserve">. </w:t>
      </w:r>
      <w:r w:rsidR="00AF1380">
        <w:rPr>
          <w:rFonts w:cs="Arial"/>
          <w:szCs w:val="18"/>
        </w:rPr>
        <w:t xml:space="preserve">However, few </w:t>
      </w:r>
      <w:r w:rsidR="00DA70E0">
        <w:rPr>
          <w:rFonts w:cs="Arial"/>
          <w:szCs w:val="18"/>
        </w:rPr>
        <w:t>researchers</w:t>
      </w:r>
      <w:r w:rsidR="00AF1380">
        <w:rPr>
          <w:rFonts w:cs="Arial"/>
          <w:szCs w:val="18"/>
        </w:rPr>
        <w:t xml:space="preserve"> consider the influence of disruption intensity when quantifying system resilience.</w:t>
      </w:r>
      <w:r w:rsidR="00405681">
        <w:rPr>
          <w:rFonts w:cs="Arial"/>
          <w:szCs w:val="18"/>
        </w:rPr>
        <w:t xml:space="preserve"> </w:t>
      </w:r>
      <w:r w:rsidR="00EB5EFE" w:rsidRPr="00E7638F">
        <w:rPr>
          <w:rFonts w:cs="Arial"/>
          <w:szCs w:val="18"/>
        </w:rPr>
        <w:t xml:space="preserve">As a solution to make up for the </w:t>
      </w:r>
      <w:r w:rsidR="00405681" w:rsidRPr="00405681">
        <w:rPr>
          <w:rFonts w:cs="Arial" w:hint="eastAsia"/>
          <w:szCs w:val="18"/>
        </w:rPr>
        <w:t>problem</w:t>
      </w:r>
      <w:r w:rsidR="00EB5EFE" w:rsidRPr="00E7638F">
        <w:rPr>
          <w:rFonts w:cs="Arial"/>
          <w:szCs w:val="18"/>
        </w:rPr>
        <w:t xml:space="preserve">, the present study aims to </w:t>
      </w:r>
      <w:r w:rsidR="00DA70E0">
        <w:rPr>
          <w:rFonts w:cs="Arial"/>
          <w:szCs w:val="18"/>
        </w:rPr>
        <w:t>develop</w:t>
      </w:r>
      <w:r w:rsidR="00EB5EFE" w:rsidRPr="00E7638F">
        <w:rPr>
          <w:rFonts w:cs="Arial"/>
          <w:szCs w:val="18"/>
        </w:rPr>
        <w:t xml:space="preserve"> a comprehensive approach, which combines CT</w:t>
      </w:r>
      <w:r w:rsidR="0085791C">
        <w:rPr>
          <w:rFonts w:cs="Arial"/>
          <w:szCs w:val="18"/>
        </w:rPr>
        <w:t xml:space="preserve"> </w:t>
      </w:r>
      <w:r w:rsidR="00EB5EFE" w:rsidRPr="00E7638F">
        <w:rPr>
          <w:rFonts w:cs="Arial"/>
          <w:szCs w:val="18"/>
        </w:rPr>
        <w:t xml:space="preserve">with DBN, to measure system resilience and ensure system safety under uncertain disruptions. Firstly, an evaluation index system is developed to </w:t>
      </w:r>
      <w:r w:rsidR="00DA70E0">
        <w:rPr>
          <w:rFonts w:cs="Arial"/>
          <w:szCs w:val="18"/>
        </w:rPr>
        <w:t>analyze</w:t>
      </w:r>
      <w:r w:rsidR="00EB5EFE" w:rsidRPr="00E7638F">
        <w:rPr>
          <w:rFonts w:cs="Arial"/>
          <w:szCs w:val="18"/>
        </w:rPr>
        <w:t xml:space="preserve"> the potential disruptions. CT is then utilized to quantify the comprehensive intensity of disruptions to determine the failure probability of components under the disruption. After that, the DBN model is employed to determine the performance change of </w:t>
      </w:r>
      <w:r w:rsidR="00DA70E0">
        <w:rPr>
          <w:rFonts w:cs="Arial"/>
          <w:szCs w:val="18"/>
        </w:rPr>
        <w:t xml:space="preserve">the </w:t>
      </w:r>
      <w:r w:rsidR="00EB5EFE" w:rsidRPr="00E7638F">
        <w:rPr>
          <w:rFonts w:cs="Arial"/>
          <w:szCs w:val="18"/>
        </w:rPr>
        <w:t xml:space="preserve">system after </w:t>
      </w:r>
      <w:r w:rsidR="00DA70E0">
        <w:rPr>
          <w:rFonts w:cs="Arial"/>
          <w:szCs w:val="18"/>
        </w:rPr>
        <w:t xml:space="preserve">a </w:t>
      </w:r>
      <w:r w:rsidR="00EB5EFE" w:rsidRPr="00E7638F">
        <w:rPr>
          <w:rFonts w:cs="Arial"/>
          <w:szCs w:val="18"/>
        </w:rPr>
        <w:t xml:space="preserve">disruption occurs. Finally, </w:t>
      </w:r>
      <w:r w:rsidR="00E7638F">
        <w:rPr>
          <w:rFonts w:cs="Arial"/>
          <w:szCs w:val="18"/>
        </w:rPr>
        <w:t xml:space="preserve">the PRF </w:t>
      </w:r>
      <w:r w:rsidR="00DA70E0">
        <w:rPr>
          <w:rFonts w:cs="Arial"/>
          <w:szCs w:val="18"/>
        </w:rPr>
        <w:t>quantifies</w:t>
      </w:r>
      <w:r w:rsidR="00EB5EFE" w:rsidRPr="00E7638F">
        <w:rPr>
          <w:rFonts w:cs="Arial"/>
          <w:szCs w:val="18"/>
        </w:rPr>
        <w:t xml:space="preserve"> the system resilience.</w:t>
      </w:r>
      <w:r w:rsidR="00EB5EFE" w:rsidRPr="002478BE">
        <w:rPr>
          <w:rFonts w:cs="Arial"/>
          <w:szCs w:val="18"/>
        </w:rPr>
        <w:t xml:space="preserve"> </w:t>
      </w:r>
      <w:r w:rsidR="00E7638F">
        <w:rPr>
          <w:rFonts w:cs="Arial"/>
          <w:szCs w:val="18"/>
        </w:rPr>
        <w:t xml:space="preserve">The proposed methodology </w:t>
      </w:r>
      <w:r w:rsidR="00DA70E0">
        <w:rPr>
          <w:rFonts w:cs="Arial"/>
          <w:szCs w:val="18"/>
        </w:rPr>
        <w:t>is</w:t>
      </w:r>
      <w:r w:rsidR="00E7638F">
        <w:rPr>
          <w:rFonts w:cs="Arial"/>
          <w:szCs w:val="18"/>
        </w:rPr>
        <w:t xml:space="preserve"> briefly presented in the next section.</w:t>
      </w:r>
    </w:p>
    <w:p w14:paraId="5741900F" w14:textId="77F7A60E" w:rsidR="00453E24" w:rsidRPr="002478BE" w:rsidRDefault="008B26A2" w:rsidP="00453E24">
      <w:pPr>
        <w:pStyle w:val="CETHeading1"/>
      </w:pPr>
      <w:r w:rsidRPr="002478BE">
        <w:t>The proposed methodology</w:t>
      </w:r>
    </w:p>
    <w:p w14:paraId="1B1F467E" w14:textId="1AC78A26" w:rsidR="008B26A2" w:rsidRPr="002478BE" w:rsidRDefault="008B26A2" w:rsidP="008B26A2">
      <w:pPr>
        <w:pStyle w:val="CETheadingx"/>
      </w:pPr>
      <w:bookmarkStart w:id="7" w:name="OLE_LINK28"/>
      <w:r w:rsidRPr="002478BE">
        <w:rPr>
          <w:rFonts w:hint="eastAsia"/>
        </w:rPr>
        <w:t>E</w:t>
      </w:r>
      <w:r w:rsidRPr="002478BE">
        <w:t>stablishment of evaluation system for the disruptions</w:t>
      </w:r>
    </w:p>
    <w:p w14:paraId="19E007D3" w14:textId="24C858C2" w:rsidR="008B26A2" w:rsidRPr="002478BE" w:rsidRDefault="008B26A2" w:rsidP="00276EF1">
      <w:pPr>
        <w:rPr>
          <w:rFonts w:cs="Arial"/>
          <w:szCs w:val="18"/>
        </w:rPr>
      </w:pPr>
      <w:r w:rsidRPr="002478BE">
        <w:rPr>
          <w:rFonts w:cs="Arial"/>
          <w:szCs w:val="18"/>
        </w:rPr>
        <w:t>Before determining the intensity of the disruption, the first task is to develop an evaluation index system to classify the disruptions and help to determine the intensity of disruptions. The evaluation index system comprises three main layers, goal layer, criteria layer, and alternative layer. In this study, the goal layer is the comprehensive intensity of disruptions. The criteria layer is different types of disruption, which can be determined by the environment, position, and system reports of the process</w:t>
      </w:r>
      <w:r w:rsidR="0085791C">
        <w:rPr>
          <w:rFonts w:cs="Arial"/>
          <w:szCs w:val="18"/>
        </w:rPr>
        <w:t>ing</w:t>
      </w:r>
      <w:r w:rsidRPr="002478BE">
        <w:rPr>
          <w:rFonts w:cs="Arial"/>
          <w:szCs w:val="18"/>
        </w:rPr>
        <w:t xml:space="preserve"> system. The alternative layer is elements of the diffe</w:t>
      </w:r>
      <w:r w:rsidR="0006157F">
        <w:rPr>
          <w:rFonts w:cs="Arial"/>
          <w:szCs w:val="18"/>
        </w:rPr>
        <w:t>rent types of disruption.</w:t>
      </w:r>
    </w:p>
    <w:p w14:paraId="4298D808" w14:textId="67DA32D7" w:rsidR="008B26A2" w:rsidRPr="002478BE" w:rsidRDefault="008B26A2" w:rsidP="008B26A2">
      <w:pPr>
        <w:pStyle w:val="CETheadingx"/>
      </w:pPr>
      <w:r w:rsidRPr="002478BE">
        <w:t>Catastrophe theory</w:t>
      </w:r>
    </w:p>
    <w:p w14:paraId="7CA49573" w14:textId="1AE55461" w:rsidR="008B26A2" w:rsidRPr="002478BE" w:rsidRDefault="008B26A2" w:rsidP="00276EF1">
      <w:pPr>
        <w:rPr>
          <w:rFonts w:cs="Arial"/>
          <w:szCs w:val="24"/>
        </w:rPr>
      </w:pPr>
      <w:bookmarkStart w:id="8" w:name="OLE_LINK31"/>
      <w:bookmarkStart w:id="9" w:name="OLE_LINK32"/>
      <w:bookmarkEnd w:id="7"/>
      <w:r w:rsidRPr="002478BE">
        <w:rPr>
          <w:rFonts w:cs="Arial"/>
          <w:szCs w:val="24"/>
        </w:rPr>
        <w:t xml:space="preserve">Catastrophe theory (CT) </w:t>
      </w:r>
      <w:r w:rsidR="00DA70E0">
        <w:rPr>
          <w:rFonts w:cs="Arial"/>
          <w:szCs w:val="24"/>
        </w:rPr>
        <w:t>was</w:t>
      </w:r>
      <w:r w:rsidRPr="002478BE">
        <w:rPr>
          <w:rFonts w:cs="Arial"/>
          <w:szCs w:val="24"/>
        </w:rPr>
        <w:t xml:space="preserve"> developed by Thom et al. (1973), </w:t>
      </w:r>
      <w:r w:rsidR="00DA70E0">
        <w:rPr>
          <w:rFonts w:cs="Arial"/>
          <w:szCs w:val="24"/>
        </w:rPr>
        <w:t>a mathematical theory describing</w:t>
      </w:r>
      <w:r w:rsidRPr="002478BE">
        <w:rPr>
          <w:rFonts w:cs="Arial"/>
          <w:szCs w:val="24"/>
        </w:rPr>
        <w:t xml:space="preserve"> the relationship between state variables and control variables in the system when external conditions change. CT </w:t>
      </w:r>
      <w:r w:rsidR="00DA70E0">
        <w:rPr>
          <w:rFonts w:cs="Arial"/>
          <w:szCs w:val="24"/>
        </w:rPr>
        <w:t>can</w:t>
      </w:r>
      <w:r w:rsidRPr="002478BE">
        <w:rPr>
          <w:rFonts w:cs="Arial"/>
          <w:szCs w:val="24"/>
        </w:rPr>
        <w:t xml:space="preserve"> be utilized to research catastrophic phenomena characterized by discontinuous variation. Besides, it can describe the dynamic process to prevent catastrophes. Compared with Analytical </w:t>
      </w:r>
      <w:r w:rsidR="00DA70E0">
        <w:rPr>
          <w:rFonts w:cs="Arial"/>
          <w:szCs w:val="24"/>
        </w:rPr>
        <w:t>Hierarchy</w:t>
      </w:r>
      <w:r w:rsidRPr="002478BE">
        <w:rPr>
          <w:rFonts w:cs="Arial"/>
          <w:szCs w:val="24"/>
        </w:rPr>
        <w:t xml:space="preserve"> Process (AHP) and Fuzzy Analytical </w:t>
      </w:r>
      <w:r w:rsidR="00DA70E0">
        <w:rPr>
          <w:rFonts w:cs="Arial"/>
          <w:szCs w:val="24"/>
        </w:rPr>
        <w:t>Hierarchy</w:t>
      </w:r>
      <w:r w:rsidRPr="002478BE">
        <w:rPr>
          <w:rFonts w:cs="Arial"/>
          <w:szCs w:val="24"/>
        </w:rPr>
        <w:t xml:space="preserve"> Process (FAHP), </w:t>
      </w:r>
      <w:bookmarkStart w:id="10" w:name="OLE_LINK48"/>
      <w:bookmarkStart w:id="11" w:name="OLE_LINK49"/>
      <w:r w:rsidRPr="002478BE">
        <w:rPr>
          <w:rFonts w:cs="Arial"/>
          <w:szCs w:val="24"/>
        </w:rPr>
        <w:t xml:space="preserve">CT can determine the evaluation results without assigning weights to indexes. </w:t>
      </w:r>
      <w:r w:rsidR="00922989">
        <w:rPr>
          <w:rFonts w:cs="Arial"/>
          <w:szCs w:val="24"/>
        </w:rPr>
        <w:t>Based on</w:t>
      </w:r>
      <w:r w:rsidRPr="002478BE">
        <w:rPr>
          <w:rFonts w:cs="Arial"/>
          <w:szCs w:val="24"/>
        </w:rPr>
        <w:t xml:space="preserve"> the mechanism of the normalized function, CT can ensure reasonable results.</w:t>
      </w:r>
    </w:p>
    <w:bookmarkEnd w:id="10"/>
    <w:bookmarkEnd w:id="11"/>
    <w:p w14:paraId="51066838" w14:textId="77777777" w:rsidR="008B26A2" w:rsidRPr="002478BE" w:rsidRDefault="008B26A2" w:rsidP="00276EF1">
      <w:pPr>
        <w:rPr>
          <w:rFonts w:ascii="Times New Roman" w:hAnsi="Times New Roman"/>
          <w:sz w:val="24"/>
          <w:szCs w:val="24"/>
        </w:rPr>
      </w:pPr>
      <w:r w:rsidRPr="002478BE">
        <w:rPr>
          <w:rFonts w:cs="Arial"/>
          <w:szCs w:val="24"/>
        </w:rPr>
        <w:t xml:space="preserve">Potential function </w:t>
      </w:r>
      <w:r w:rsidRPr="002478BE">
        <w:rPr>
          <w:rFonts w:cs="Arial"/>
          <w:i/>
          <w:szCs w:val="24"/>
        </w:rPr>
        <w:t>f</w:t>
      </w:r>
      <w:r w:rsidRPr="002478BE">
        <w:rPr>
          <w:rFonts w:cs="Arial"/>
          <w:szCs w:val="24"/>
        </w:rPr>
        <w:t>(</w:t>
      </w:r>
      <w:r w:rsidRPr="002478BE">
        <w:rPr>
          <w:rFonts w:cs="Arial"/>
          <w:i/>
          <w:szCs w:val="24"/>
        </w:rPr>
        <w:t>x</w:t>
      </w:r>
      <w:r w:rsidRPr="002478BE">
        <w:rPr>
          <w:rFonts w:cs="Arial"/>
          <w:i/>
          <w:szCs w:val="24"/>
          <w:vertAlign w:val="subscript"/>
        </w:rPr>
        <w:t>n</w:t>
      </w:r>
      <w:r w:rsidRPr="002478BE">
        <w:rPr>
          <w:rFonts w:cs="Arial"/>
          <w:szCs w:val="24"/>
        </w:rPr>
        <w:t xml:space="preserve">, </w:t>
      </w:r>
      <w:r w:rsidRPr="002478BE">
        <w:rPr>
          <w:rFonts w:cs="Arial"/>
          <w:i/>
          <w:szCs w:val="24"/>
        </w:rPr>
        <w:t>y</w:t>
      </w:r>
      <w:r w:rsidRPr="002478BE">
        <w:rPr>
          <w:rFonts w:cs="Arial"/>
          <w:i/>
          <w:szCs w:val="24"/>
          <w:vertAlign w:val="subscript"/>
        </w:rPr>
        <w:t>m</w:t>
      </w:r>
      <w:r w:rsidRPr="002478BE">
        <w:rPr>
          <w:rFonts w:cs="Arial"/>
          <w:szCs w:val="24"/>
        </w:rPr>
        <w:t xml:space="preserve">) is employed to describe the relationship between variables and system states, where </w:t>
      </w:r>
      <w:r w:rsidRPr="002478BE">
        <w:rPr>
          <w:rFonts w:cs="Arial"/>
          <w:i/>
          <w:szCs w:val="24"/>
        </w:rPr>
        <w:t>x</w:t>
      </w:r>
      <w:r w:rsidRPr="002478BE">
        <w:rPr>
          <w:rFonts w:cs="Arial"/>
          <w:i/>
          <w:szCs w:val="24"/>
          <w:vertAlign w:val="subscript"/>
        </w:rPr>
        <w:t>n</w:t>
      </w:r>
      <w:r w:rsidRPr="002478BE">
        <w:rPr>
          <w:rFonts w:cs="Arial"/>
          <w:szCs w:val="24"/>
        </w:rPr>
        <w:t xml:space="preserve"> illustrates the system state variables, </w:t>
      </w:r>
      <w:r w:rsidRPr="002478BE">
        <w:rPr>
          <w:rFonts w:cs="Arial"/>
          <w:i/>
          <w:szCs w:val="24"/>
        </w:rPr>
        <w:t>n</w:t>
      </w:r>
      <w:r w:rsidRPr="002478BE">
        <w:rPr>
          <w:rFonts w:cs="Arial"/>
          <w:szCs w:val="24"/>
        </w:rPr>
        <w:t xml:space="preserve"> is the number of state variables, </w:t>
      </w:r>
      <w:r w:rsidRPr="002478BE">
        <w:rPr>
          <w:rFonts w:cs="Arial"/>
          <w:i/>
          <w:szCs w:val="24"/>
        </w:rPr>
        <w:t>y</w:t>
      </w:r>
      <w:r w:rsidRPr="002478BE">
        <w:rPr>
          <w:rFonts w:cs="Arial"/>
          <w:i/>
          <w:szCs w:val="24"/>
          <w:vertAlign w:val="subscript"/>
        </w:rPr>
        <w:t>m</w:t>
      </w:r>
      <w:r w:rsidRPr="002478BE">
        <w:rPr>
          <w:rFonts w:cs="Arial"/>
          <w:szCs w:val="24"/>
        </w:rPr>
        <w:t xml:space="preserve"> indicates system control variables, </w:t>
      </w:r>
      <w:r w:rsidRPr="002478BE">
        <w:rPr>
          <w:rFonts w:cs="Arial"/>
          <w:i/>
          <w:szCs w:val="24"/>
        </w:rPr>
        <w:t>m</w:t>
      </w:r>
      <w:r w:rsidRPr="002478BE">
        <w:rPr>
          <w:rFonts w:cs="Arial"/>
          <w:szCs w:val="24"/>
        </w:rPr>
        <w:t xml:space="preserve"> represents the number of control variables. The term “potential” indicates the system has a trend capability, which </w:t>
      </w:r>
      <w:r w:rsidRPr="002478BE">
        <w:rPr>
          <w:rFonts w:cs="Arial"/>
          <w:szCs w:val="18"/>
        </w:rPr>
        <w:t>is determined by the interaction and relationship among the system variables and relative relationship with the external condition.</w:t>
      </w:r>
    </w:p>
    <w:p w14:paraId="7DD90787" w14:textId="3CE63ACD" w:rsidR="008B26A2" w:rsidRPr="002478BE" w:rsidRDefault="008B26A2" w:rsidP="00276EF1">
      <w:pPr>
        <w:rPr>
          <w:rFonts w:cs="Arial"/>
          <w:szCs w:val="24"/>
        </w:rPr>
      </w:pPr>
      <w:r w:rsidRPr="002478BE">
        <w:rPr>
          <w:rFonts w:cs="Arial"/>
          <w:szCs w:val="24"/>
        </w:rPr>
        <w:t xml:space="preserve">When </w:t>
      </w:r>
      <w:r w:rsidRPr="002478BE">
        <w:rPr>
          <w:rFonts w:cs="Arial"/>
          <w:i/>
          <w:szCs w:val="24"/>
        </w:rPr>
        <w:t>n</w:t>
      </w:r>
      <w:r w:rsidRPr="002478BE">
        <w:rPr>
          <w:rFonts w:cs="Arial"/>
          <w:szCs w:val="24"/>
        </w:rPr>
        <w:t xml:space="preserve"> and </w:t>
      </w:r>
      <w:r w:rsidRPr="002478BE">
        <w:rPr>
          <w:rFonts w:cs="Arial"/>
          <w:i/>
          <w:szCs w:val="24"/>
        </w:rPr>
        <w:t>m</w:t>
      </w:r>
      <w:r w:rsidRPr="002478BE">
        <w:rPr>
          <w:rFonts w:cs="Arial"/>
          <w:szCs w:val="24"/>
        </w:rPr>
        <w:t xml:space="preserve"> are equal to 1, which means there are one system state variable and one control variable, the model of CT is called fold catastrophe. The expression of the pot</w:t>
      </w:r>
      <w:r w:rsidR="003C00C7">
        <w:rPr>
          <w:rFonts w:cs="Arial"/>
          <w:szCs w:val="24"/>
        </w:rPr>
        <w:t>ential function is shown in Eq</w:t>
      </w:r>
      <w:r w:rsidRPr="002478BE">
        <w:rPr>
          <w:rFonts w:cs="Arial"/>
          <w:szCs w:val="24"/>
        </w:rPr>
        <w:t>(1)</w:t>
      </w:r>
      <w:r w:rsidR="00BF1D9B">
        <w:rPr>
          <w:rFonts w:cs="Arial"/>
          <w:szCs w:val="24"/>
        </w:rPr>
        <w:t>,</w:t>
      </w:r>
      <w:r w:rsidRPr="002478BE">
        <w:rPr>
          <w:rFonts w:cs="Arial"/>
          <w:szCs w:val="24"/>
        </w:rPr>
        <w:t xml:space="preserve"> and its normalized formula is expressed as</w:t>
      </w:r>
      <w:r w:rsidR="003C00C7">
        <w:rPr>
          <w:rFonts w:cs="Arial"/>
          <w:szCs w:val="24"/>
        </w:rPr>
        <w:t xml:space="preserve"> Eq</w:t>
      </w:r>
      <w:r w:rsidR="00432973">
        <w:rPr>
          <w:rFonts w:cs="Arial"/>
          <w:szCs w:val="24"/>
        </w:rPr>
        <w:t>(</w:t>
      </w:r>
      <w:r w:rsidRPr="002478BE">
        <w:rPr>
          <w:rFonts w:cs="Arial"/>
          <w:szCs w:val="24"/>
        </w:rPr>
        <w:t>2) (Thom et al., 1973).</w:t>
      </w:r>
    </w:p>
    <w:p w14:paraId="0A02C86C" w14:textId="661A53B6" w:rsidR="008B26A2" w:rsidRPr="002478BE" w:rsidRDefault="00906A57" w:rsidP="003C00C7">
      <w:pPr>
        <w:pStyle w:val="1"/>
        <w:jc w:val="left"/>
      </w:pPr>
      <w:r w:rsidRPr="002478BE">
        <w:rPr>
          <w:noProof/>
        </w:rPr>
        <w:object w:dxaOrig="1440" w:dyaOrig="360" w14:anchorId="22287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62pt;height:16.65pt;mso-width-percent:0;mso-height-percent:0;mso-width-percent:0;mso-height-percent:0" o:ole="">
            <v:imagedata r:id="rId13" o:title=""/>
          </v:shape>
          <o:OLEObject Type="Embed" ProgID="Equation.DSMT4" ShapeID="_x0000_i1035" DrawAspect="Content" ObjectID="_1707730700" r:id="rId14"/>
        </w:object>
      </w:r>
      <w:r w:rsidR="008B26A2" w:rsidRPr="002478BE">
        <w:tab/>
      </w:r>
      <w:r w:rsidR="003C00C7">
        <w:t xml:space="preserve">                                                                                                                                                  </w:t>
      </w:r>
      <w:r w:rsidR="008B26A2" w:rsidRPr="002478BE">
        <w:t>(1)</w:t>
      </w:r>
    </w:p>
    <w:p w14:paraId="27CF8CCF" w14:textId="22582677" w:rsidR="008B26A2" w:rsidRPr="002478BE" w:rsidRDefault="00906A57" w:rsidP="008B26A2">
      <w:pPr>
        <w:pStyle w:val="1"/>
      </w:pPr>
      <w:r w:rsidRPr="002478BE">
        <w:rPr>
          <w:noProof/>
        </w:rPr>
        <w:object w:dxaOrig="840" w:dyaOrig="380" w14:anchorId="05CC519F">
          <v:shape id="_x0000_i1034" type="#_x0000_t75" alt="" style="width:42pt;height:19.35pt;mso-width-percent:0;mso-height-percent:0;mso-width-percent:0;mso-height-percent:0" o:ole="">
            <v:imagedata r:id="rId15" o:title=""/>
          </v:shape>
          <o:OLEObject Type="Embed" ProgID="Equation.DSMT4" ShapeID="_x0000_i1034" DrawAspect="Content" ObjectID="_1707730701" r:id="rId16"/>
        </w:object>
      </w:r>
      <w:r w:rsidR="00432973">
        <w:tab/>
      </w:r>
      <w:r w:rsidR="00FD708F">
        <w:t xml:space="preserve">                                                                                                                                                          </w:t>
      </w:r>
      <w:r w:rsidR="00432973">
        <w:t>(</w:t>
      </w:r>
      <w:r w:rsidR="008B26A2" w:rsidRPr="002478BE">
        <w:t>2)</w:t>
      </w:r>
    </w:p>
    <w:p w14:paraId="6059B62B" w14:textId="645F1B21" w:rsidR="008B26A2" w:rsidRPr="002478BE" w:rsidRDefault="008B26A2" w:rsidP="00276EF1">
      <w:pPr>
        <w:rPr>
          <w:rFonts w:cs="Arial"/>
          <w:szCs w:val="24"/>
        </w:rPr>
      </w:pPr>
      <w:r w:rsidRPr="002478BE">
        <w:rPr>
          <w:rFonts w:cs="Arial"/>
          <w:szCs w:val="24"/>
        </w:rPr>
        <w:t xml:space="preserve">Likewise, when </w:t>
      </w:r>
      <w:r w:rsidRPr="002478BE">
        <w:rPr>
          <w:rFonts w:cs="Arial"/>
          <w:i/>
          <w:szCs w:val="24"/>
        </w:rPr>
        <w:t>n=</w:t>
      </w:r>
      <w:r w:rsidRPr="002478BE">
        <w:rPr>
          <w:rFonts w:cs="Arial"/>
          <w:szCs w:val="24"/>
        </w:rPr>
        <w:t xml:space="preserve">1 and </w:t>
      </w:r>
      <w:r w:rsidRPr="002478BE">
        <w:rPr>
          <w:rFonts w:cs="Arial"/>
          <w:i/>
          <w:szCs w:val="24"/>
        </w:rPr>
        <w:t>m=</w:t>
      </w:r>
      <w:r w:rsidRPr="002478BE">
        <w:rPr>
          <w:rFonts w:cs="Arial"/>
          <w:szCs w:val="24"/>
        </w:rPr>
        <w:t>2, the model of CT is called cusp catastrophe. The expression of the poten</w:t>
      </w:r>
      <w:r w:rsidR="003C00C7">
        <w:rPr>
          <w:rFonts w:cs="Arial"/>
          <w:szCs w:val="24"/>
        </w:rPr>
        <w:t>tial function is shown in Eq</w:t>
      </w:r>
      <w:r w:rsidR="00432973">
        <w:rPr>
          <w:rFonts w:cs="Arial"/>
          <w:szCs w:val="24"/>
        </w:rPr>
        <w:t>(</w:t>
      </w:r>
      <w:r w:rsidRPr="002478BE">
        <w:rPr>
          <w:rFonts w:cs="Arial"/>
          <w:szCs w:val="24"/>
        </w:rPr>
        <w:t>3)</w:t>
      </w:r>
      <w:r w:rsidR="000E1BC4">
        <w:rPr>
          <w:rFonts w:cs="Arial"/>
          <w:szCs w:val="24"/>
        </w:rPr>
        <w:t>,</w:t>
      </w:r>
      <w:r w:rsidRPr="002478BE">
        <w:rPr>
          <w:rFonts w:cs="Arial"/>
          <w:szCs w:val="24"/>
        </w:rPr>
        <w:t xml:space="preserve"> and its normalize</w:t>
      </w:r>
      <w:r w:rsidR="003C00C7">
        <w:rPr>
          <w:rFonts w:cs="Arial"/>
          <w:szCs w:val="24"/>
        </w:rPr>
        <w:t>d formula is expressed as Eq</w:t>
      </w:r>
      <w:r w:rsidR="00432973">
        <w:rPr>
          <w:rFonts w:cs="Arial"/>
          <w:szCs w:val="24"/>
        </w:rPr>
        <w:t>(</w:t>
      </w:r>
      <w:r w:rsidRPr="002478BE">
        <w:rPr>
          <w:rFonts w:cs="Arial"/>
          <w:szCs w:val="24"/>
        </w:rPr>
        <w:t>4).</w:t>
      </w:r>
    </w:p>
    <w:p w14:paraId="6CAE68B5" w14:textId="776F451E" w:rsidR="008B26A2" w:rsidRPr="002478BE" w:rsidRDefault="00906A57" w:rsidP="008B26A2">
      <w:pPr>
        <w:pStyle w:val="1"/>
      </w:pPr>
      <w:r w:rsidRPr="002478BE">
        <w:rPr>
          <w:noProof/>
        </w:rPr>
        <w:object w:dxaOrig="1900" w:dyaOrig="360" w14:anchorId="0A63FF1B">
          <v:shape id="_x0000_i1033" type="#_x0000_t75" alt="" style="width:86.65pt;height:17.35pt;mso-width-percent:0;mso-height-percent:0;mso-width-percent:0;mso-height-percent:0" o:ole="">
            <v:imagedata r:id="rId17" o:title=""/>
          </v:shape>
          <o:OLEObject Type="Embed" ProgID="Equation.DSMT4" ShapeID="_x0000_i1033" DrawAspect="Content" ObjectID="_1707730702" r:id="rId18"/>
        </w:object>
      </w:r>
      <w:r w:rsidR="008B26A2" w:rsidRPr="002478BE">
        <w:tab/>
      </w:r>
      <w:r w:rsidR="00FD708F">
        <w:t xml:space="preserve">                                                                                                                                        </w:t>
      </w:r>
      <w:r w:rsidR="00432973">
        <w:t>(</w:t>
      </w:r>
      <w:r w:rsidR="008B26A2" w:rsidRPr="002478BE">
        <w:t>3)</w:t>
      </w:r>
    </w:p>
    <w:p w14:paraId="79F3E6D4" w14:textId="7BFD1E8C" w:rsidR="008B26A2" w:rsidRPr="002478BE" w:rsidRDefault="00906A57" w:rsidP="008B26A2">
      <w:pPr>
        <w:pStyle w:val="1"/>
      </w:pPr>
      <w:r w:rsidRPr="002478BE">
        <w:rPr>
          <w:noProof/>
        </w:rPr>
        <w:object w:dxaOrig="1680" w:dyaOrig="380" w14:anchorId="393E6715">
          <v:shape id="_x0000_i1032" type="#_x0000_t75" alt="" style="width:83.35pt;height:19.35pt;mso-width-percent:0;mso-height-percent:0;mso-width-percent:0;mso-height-percent:0" o:ole="">
            <v:imagedata r:id="rId19" o:title=""/>
          </v:shape>
          <o:OLEObject Type="Embed" ProgID="Equation.DSMT4" ShapeID="_x0000_i1032" DrawAspect="Content" ObjectID="_1707730703" r:id="rId20"/>
        </w:object>
      </w:r>
      <w:r w:rsidR="008B26A2" w:rsidRPr="002478BE">
        <w:tab/>
      </w:r>
      <w:r w:rsidR="00FD708F">
        <w:t xml:space="preserve">                                                                                                                                          </w:t>
      </w:r>
      <w:r w:rsidR="00432973">
        <w:t>(</w:t>
      </w:r>
      <w:r w:rsidR="008B26A2" w:rsidRPr="002478BE">
        <w:t>4)</w:t>
      </w:r>
    </w:p>
    <w:p w14:paraId="1CEB559E" w14:textId="548FD1B5" w:rsidR="008B26A2" w:rsidRPr="002478BE" w:rsidRDefault="008B26A2" w:rsidP="00276EF1">
      <w:pPr>
        <w:rPr>
          <w:rFonts w:cs="Arial"/>
          <w:szCs w:val="24"/>
        </w:rPr>
      </w:pPr>
      <w:r w:rsidRPr="002478BE">
        <w:rPr>
          <w:rFonts w:cs="Arial"/>
          <w:szCs w:val="24"/>
        </w:rPr>
        <w:t xml:space="preserve">When </w:t>
      </w:r>
      <w:r w:rsidRPr="002478BE">
        <w:rPr>
          <w:rFonts w:cs="Arial"/>
          <w:i/>
          <w:szCs w:val="24"/>
        </w:rPr>
        <w:t>n=</w:t>
      </w:r>
      <w:r w:rsidRPr="002478BE">
        <w:rPr>
          <w:rFonts w:cs="Arial"/>
          <w:szCs w:val="24"/>
        </w:rPr>
        <w:t xml:space="preserve">1 and </w:t>
      </w:r>
      <w:r w:rsidRPr="002478BE">
        <w:rPr>
          <w:rFonts w:cs="Arial"/>
          <w:i/>
          <w:szCs w:val="24"/>
        </w:rPr>
        <w:t>m=</w:t>
      </w:r>
      <w:r w:rsidRPr="002478BE">
        <w:rPr>
          <w:rFonts w:cs="Arial"/>
          <w:szCs w:val="24"/>
        </w:rPr>
        <w:t xml:space="preserve">3, the model of CT is called swallowtail catastrophe. </w:t>
      </w:r>
      <w:bookmarkStart w:id="12" w:name="OLE_LINK21"/>
      <w:bookmarkStart w:id="13" w:name="OLE_LINK23"/>
      <w:r w:rsidRPr="002478BE">
        <w:rPr>
          <w:rFonts w:cs="Arial"/>
          <w:szCs w:val="24"/>
        </w:rPr>
        <w:t>The potential function and its normalized formula are</w:t>
      </w:r>
      <w:r w:rsidR="003C00C7">
        <w:rPr>
          <w:rFonts w:cs="Arial"/>
          <w:szCs w:val="24"/>
        </w:rPr>
        <w:t xml:space="preserve"> shown in Eq</w:t>
      </w:r>
      <w:r w:rsidR="00432973">
        <w:rPr>
          <w:rFonts w:cs="Arial"/>
          <w:szCs w:val="24"/>
        </w:rPr>
        <w:t>(</w:t>
      </w:r>
      <w:r w:rsidRPr="002478BE">
        <w:rPr>
          <w:rFonts w:cs="Arial"/>
          <w:szCs w:val="24"/>
        </w:rPr>
        <w:t>5) and</w:t>
      </w:r>
      <w:r w:rsidR="003C00C7">
        <w:rPr>
          <w:rFonts w:cs="Arial"/>
          <w:szCs w:val="24"/>
        </w:rPr>
        <w:t xml:space="preserve"> Eq</w:t>
      </w:r>
      <w:r w:rsidR="00432973">
        <w:rPr>
          <w:rFonts w:cs="Arial"/>
          <w:szCs w:val="24"/>
        </w:rPr>
        <w:t>(</w:t>
      </w:r>
      <w:r w:rsidRPr="002478BE">
        <w:rPr>
          <w:rFonts w:cs="Arial"/>
          <w:szCs w:val="24"/>
        </w:rPr>
        <w:t>6), respectively.</w:t>
      </w:r>
    </w:p>
    <w:bookmarkEnd w:id="12"/>
    <w:bookmarkEnd w:id="13"/>
    <w:p w14:paraId="0B4058F5" w14:textId="47874070" w:rsidR="008B26A2" w:rsidRPr="002478BE" w:rsidRDefault="00906A57" w:rsidP="008B26A2">
      <w:pPr>
        <w:pStyle w:val="1"/>
      </w:pPr>
      <w:r w:rsidRPr="002478BE">
        <w:rPr>
          <w:noProof/>
        </w:rPr>
        <w:object w:dxaOrig="2400" w:dyaOrig="360" w14:anchorId="2A0553EB">
          <v:shape id="_x0000_i1031" type="#_x0000_t75" alt="" style="width:104.65pt;height:16.65pt;mso-width-percent:0;mso-height-percent:0;mso-width-percent:0;mso-height-percent:0" o:ole="">
            <v:imagedata r:id="rId21" o:title=""/>
          </v:shape>
          <o:OLEObject Type="Embed" ProgID="Equation.DSMT4" ShapeID="_x0000_i1031" DrawAspect="Content" ObjectID="_1707730704" r:id="rId22"/>
        </w:object>
      </w:r>
      <w:r w:rsidR="008B26A2" w:rsidRPr="002478BE">
        <w:tab/>
      </w:r>
      <w:r w:rsidR="00FD708F">
        <w:t xml:space="preserve">                                                                                                                                 </w:t>
      </w:r>
      <w:r w:rsidR="00432973">
        <w:t>(</w:t>
      </w:r>
      <w:r w:rsidR="008B26A2" w:rsidRPr="002478BE">
        <w:t>5)</w:t>
      </w:r>
    </w:p>
    <w:p w14:paraId="3EA15837" w14:textId="1AA5FE11" w:rsidR="008B26A2" w:rsidRPr="002478BE" w:rsidRDefault="00906A57" w:rsidP="008B26A2">
      <w:pPr>
        <w:pStyle w:val="1"/>
      </w:pPr>
      <w:r w:rsidRPr="002478BE">
        <w:rPr>
          <w:noProof/>
        </w:rPr>
        <w:object w:dxaOrig="2580" w:dyaOrig="380" w14:anchorId="29711632">
          <v:shape id="_x0000_i1030" type="#_x0000_t75" alt="" style="width:122.65pt;height:18pt;mso-width-percent:0;mso-height-percent:0;mso-width-percent:0;mso-height-percent:0" o:ole="">
            <v:imagedata r:id="rId23" o:title=""/>
          </v:shape>
          <o:OLEObject Type="Embed" ProgID="Equation.DSMT4" ShapeID="_x0000_i1030" DrawAspect="Content" ObjectID="_1707730705" r:id="rId24"/>
        </w:object>
      </w:r>
      <w:r w:rsidR="008B26A2" w:rsidRPr="002478BE">
        <w:tab/>
      </w:r>
      <w:r w:rsidR="00FD708F">
        <w:t xml:space="preserve">                                                                                                                          </w:t>
      </w:r>
      <w:r w:rsidR="00432973">
        <w:t>(</w:t>
      </w:r>
      <w:r w:rsidR="008B26A2" w:rsidRPr="002478BE">
        <w:t>6)</w:t>
      </w:r>
    </w:p>
    <w:p w14:paraId="4EC20C13" w14:textId="29C1A013" w:rsidR="008B26A2" w:rsidRPr="002478BE" w:rsidRDefault="008B26A2" w:rsidP="00276EF1">
      <w:pPr>
        <w:rPr>
          <w:rFonts w:cs="Arial"/>
          <w:szCs w:val="24"/>
        </w:rPr>
      </w:pPr>
      <w:r w:rsidRPr="002478BE">
        <w:rPr>
          <w:rFonts w:cs="Arial"/>
          <w:szCs w:val="24"/>
        </w:rPr>
        <w:t xml:space="preserve">When </w:t>
      </w:r>
      <w:r w:rsidRPr="002478BE">
        <w:rPr>
          <w:rFonts w:cs="Arial"/>
          <w:i/>
          <w:szCs w:val="24"/>
        </w:rPr>
        <w:t>n=</w:t>
      </w:r>
      <w:r w:rsidRPr="002478BE">
        <w:rPr>
          <w:rFonts w:cs="Arial"/>
          <w:szCs w:val="24"/>
        </w:rPr>
        <w:t xml:space="preserve">1 and </w:t>
      </w:r>
      <w:r w:rsidRPr="002478BE">
        <w:rPr>
          <w:rFonts w:cs="Arial"/>
          <w:i/>
          <w:szCs w:val="24"/>
        </w:rPr>
        <w:t>m=</w:t>
      </w:r>
      <w:r w:rsidRPr="002478BE">
        <w:rPr>
          <w:rFonts w:cs="Arial"/>
          <w:szCs w:val="24"/>
        </w:rPr>
        <w:t>4, the model of CT is called butterfly catastrophe. The potential function and its normal</w:t>
      </w:r>
      <w:r w:rsidR="003C00C7">
        <w:rPr>
          <w:rFonts w:cs="Arial"/>
          <w:szCs w:val="24"/>
        </w:rPr>
        <w:t>ized formula are shown in Eq</w:t>
      </w:r>
      <w:r w:rsidR="00432973">
        <w:rPr>
          <w:rFonts w:cs="Arial"/>
          <w:szCs w:val="24"/>
        </w:rPr>
        <w:t>(</w:t>
      </w:r>
      <w:r w:rsidRPr="002478BE">
        <w:rPr>
          <w:rFonts w:cs="Arial"/>
          <w:szCs w:val="24"/>
        </w:rPr>
        <w:t>7</w:t>
      </w:r>
      <w:r w:rsidR="003C00C7">
        <w:rPr>
          <w:rFonts w:cs="Arial"/>
          <w:szCs w:val="24"/>
        </w:rPr>
        <w:t>) and Eq</w:t>
      </w:r>
      <w:r w:rsidR="00432973">
        <w:rPr>
          <w:rFonts w:cs="Arial"/>
          <w:szCs w:val="24"/>
        </w:rPr>
        <w:t>(</w:t>
      </w:r>
      <w:r w:rsidRPr="002478BE">
        <w:rPr>
          <w:rFonts w:cs="Arial"/>
          <w:szCs w:val="24"/>
        </w:rPr>
        <w:t>8), respectively.</w:t>
      </w:r>
    </w:p>
    <w:p w14:paraId="6142A5F2" w14:textId="78D0CAF0" w:rsidR="00FD708F" w:rsidRDefault="00906A57" w:rsidP="008B26A2">
      <w:pPr>
        <w:pStyle w:val="1"/>
      </w:pPr>
      <w:r w:rsidRPr="002478BE">
        <w:rPr>
          <w:noProof/>
        </w:rPr>
        <w:object w:dxaOrig="2820" w:dyaOrig="360" w14:anchorId="726D3C00">
          <v:shape id="_x0000_i1029" type="#_x0000_t75" alt="" style="width:134pt;height:18.65pt;mso-width-percent:0;mso-height-percent:0;mso-width-percent:0;mso-height-percent:0" o:ole="">
            <v:imagedata r:id="rId25" o:title=""/>
          </v:shape>
          <o:OLEObject Type="Embed" ProgID="Equation.DSMT4" ShapeID="_x0000_i1029" DrawAspect="Content" ObjectID="_1707730706" r:id="rId26"/>
        </w:object>
      </w:r>
      <w:r w:rsidR="008B26A2" w:rsidRPr="002478BE">
        <w:tab/>
      </w:r>
      <w:r w:rsidR="00FD708F">
        <w:t xml:space="preserve">                                                                                                                     </w:t>
      </w:r>
      <w:r w:rsidR="00432973">
        <w:t>(</w:t>
      </w:r>
      <w:r w:rsidR="008B26A2" w:rsidRPr="002478BE">
        <w:t>7)</w:t>
      </w:r>
    </w:p>
    <w:p w14:paraId="3981F090" w14:textId="1E292753" w:rsidR="008B26A2" w:rsidRPr="002478BE" w:rsidRDefault="00906A57" w:rsidP="008B26A2">
      <w:pPr>
        <w:pStyle w:val="1"/>
      </w:pPr>
      <w:r w:rsidRPr="002478BE">
        <w:rPr>
          <w:noProof/>
        </w:rPr>
        <w:object w:dxaOrig="3400" w:dyaOrig="380" w14:anchorId="63A3C2E9">
          <v:shape id="_x0000_i1028" type="#_x0000_t75" alt="" style="width:168.65pt;height:19.35pt;mso-width-percent:0;mso-height-percent:0;mso-width-percent:0;mso-height-percent:0" o:ole="">
            <v:imagedata r:id="rId27" o:title=""/>
          </v:shape>
          <o:OLEObject Type="Embed" ProgID="Equation.DSMT4" ShapeID="_x0000_i1028" DrawAspect="Content" ObjectID="_1707730707" r:id="rId28"/>
        </w:object>
      </w:r>
      <w:r w:rsidR="008B26A2" w:rsidRPr="002478BE">
        <w:tab/>
      </w:r>
      <w:r w:rsidR="00FD708F">
        <w:t xml:space="preserve">                                                                                                       </w:t>
      </w:r>
      <w:r w:rsidR="00432973">
        <w:t>(</w:t>
      </w:r>
      <w:r w:rsidR="008B26A2" w:rsidRPr="002478BE">
        <w:t>8)</w:t>
      </w:r>
    </w:p>
    <w:p w14:paraId="48F6A6B1" w14:textId="6E4BDA36" w:rsidR="008B26A2" w:rsidRPr="002478BE" w:rsidRDefault="008B26A2" w:rsidP="00276EF1">
      <w:pPr>
        <w:rPr>
          <w:rFonts w:cs="Arial"/>
          <w:szCs w:val="24"/>
        </w:rPr>
      </w:pPr>
      <w:r w:rsidRPr="002478BE">
        <w:rPr>
          <w:rFonts w:cs="Arial"/>
          <w:szCs w:val="24"/>
        </w:rPr>
        <w:lastRenderedPageBreak/>
        <w:t xml:space="preserve">When </w:t>
      </w:r>
      <w:r w:rsidRPr="002478BE">
        <w:rPr>
          <w:rFonts w:cs="Arial"/>
          <w:i/>
          <w:szCs w:val="24"/>
        </w:rPr>
        <w:t>n=</w:t>
      </w:r>
      <w:r w:rsidRPr="002478BE">
        <w:rPr>
          <w:rFonts w:cs="Arial"/>
          <w:szCs w:val="24"/>
        </w:rPr>
        <w:t xml:space="preserve">1 and </w:t>
      </w:r>
      <w:r w:rsidRPr="002478BE">
        <w:rPr>
          <w:rFonts w:cs="Arial"/>
          <w:i/>
          <w:szCs w:val="24"/>
        </w:rPr>
        <w:t>m=</w:t>
      </w:r>
      <w:r w:rsidRPr="002478BE">
        <w:rPr>
          <w:rFonts w:cs="Arial"/>
          <w:szCs w:val="24"/>
        </w:rPr>
        <w:t>5, the model of CT is called wigwam catastrophe. The potential function and its normal</w:t>
      </w:r>
      <w:r w:rsidR="003C00C7">
        <w:rPr>
          <w:rFonts w:cs="Arial"/>
          <w:szCs w:val="24"/>
        </w:rPr>
        <w:t>ized formula are shown in Eq</w:t>
      </w:r>
      <w:r w:rsidR="00432973">
        <w:rPr>
          <w:rFonts w:cs="Arial"/>
          <w:szCs w:val="24"/>
        </w:rPr>
        <w:t>(</w:t>
      </w:r>
      <w:r w:rsidR="003C00C7">
        <w:rPr>
          <w:rFonts w:cs="Arial"/>
          <w:szCs w:val="24"/>
        </w:rPr>
        <w:t>9) and Eq</w:t>
      </w:r>
      <w:r w:rsidRPr="002478BE">
        <w:rPr>
          <w:rFonts w:cs="Arial"/>
          <w:szCs w:val="24"/>
        </w:rPr>
        <w:t>(</w:t>
      </w:r>
      <w:r w:rsidR="00432973">
        <w:rPr>
          <w:rFonts w:cs="Arial"/>
          <w:szCs w:val="24"/>
        </w:rPr>
        <w:t>1</w:t>
      </w:r>
      <w:r w:rsidRPr="002478BE">
        <w:rPr>
          <w:rFonts w:cs="Arial"/>
          <w:szCs w:val="24"/>
        </w:rPr>
        <w:t>0), respectively.</w:t>
      </w:r>
    </w:p>
    <w:p w14:paraId="3965C119" w14:textId="26531F1B" w:rsidR="008B26A2" w:rsidRPr="002478BE" w:rsidRDefault="00906A57" w:rsidP="008B26A2">
      <w:pPr>
        <w:pStyle w:val="1"/>
        <w:rPr>
          <w:sz w:val="32"/>
        </w:rPr>
      </w:pPr>
      <w:r w:rsidRPr="002478BE">
        <w:rPr>
          <w:noProof/>
        </w:rPr>
        <w:object w:dxaOrig="3280" w:dyaOrig="360" w14:anchorId="1C7948AD">
          <v:shape id="_x0000_i1027" type="#_x0000_t75" alt="" style="width:158pt;height:18.65pt;mso-width-percent:0;mso-height-percent:0;mso-width-percent:0;mso-height-percent:0" o:ole="">
            <v:imagedata r:id="rId29" o:title=""/>
          </v:shape>
          <o:OLEObject Type="Embed" ProgID="Equation.DSMT4" ShapeID="_x0000_i1027" DrawAspect="Content" ObjectID="_1707730708" r:id="rId30"/>
        </w:object>
      </w:r>
      <w:r w:rsidR="008B26A2" w:rsidRPr="002478BE">
        <w:tab/>
      </w:r>
      <w:r w:rsidR="00FD708F">
        <w:t xml:space="preserve">                                                                                                           </w:t>
      </w:r>
      <w:r w:rsidR="00432973">
        <w:t>(</w:t>
      </w:r>
      <w:r w:rsidR="008B26A2" w:rsidRPr="002478BE">
        <w:t>9)</w:t>
      </w:r>
    </w:p>
    <w:p w14:paraId="0FADAC09" w14:textId="6BDB37CE" w:rsidR="008B26A2" w:rsidRPr="00432973" w:rsidRDefault="00906A57" w:rsidP="00FD708F">
      <w:pPr>
        <w:rPr>
          <w:rFonts w:eastAsiaTheme="minorEastAsia" w:cs="Arial"/>
          <w:kern w:val="2"/>
          <w:szCs w:val="24"/>
          <w:lang w:val="en-US" w:eastAsia="zh-CN"/>
        </w:rPr>
      </w:pPr>
      <w:r w:rsidRPr="002478BE">
        <w:rPr>
          <w:noProof/>
          <w:position w:val="-12"/>
        </w:rPr>
        <w:object w:dxaOrig="4239" w:dyaOrig="380" w14:anchorId="73E5DB21">
          <v:shape id="_x0000_i1026" type="#_x0000_t75" alt="" style="width:211.35pt;height:19.35pt;mso-width-percent:0;mso-height-percent:0;mso-width-percent:0;mso-height-percent:0" o:ole="">
            <v:imagedata r:id="rId31" o:title=""/>
          </v:shape>
          <o:OLEObject Type="Embed" ProgID="Equation.DSMT4" ShapeID="_x0000_i1026" DrawAspect="Content" ObjectID="_1707730709" r:id="rId32"/>
        </w:object>
      </w:r>
      <w:r w:rsidR="008B26A2" w:rsidRPr="002478BE">
        <w:tab/>
        <w:t xml:space="preserve">        </w:t>
      </w:r>
      <w:r w:rsidR="008B26A2" w:rsidRPr="00276EF1">
        <w:rPr>
          <w:rFonts w:eastAsiaTheme="minorEastAsia" w:cs="Arial"/>
          <w:kern w:val="2"/>
          <w:szCs w:val="24"/>
          <w:lang w:val="en-US" w:eastAsia="zh-CN"/>
        </w:rPr>
        <w:tab/>
      </w:r>
      <w:r w:rsidR="00FD708F">
        <w:rPr>
          <w:rFonts w:eastAsiaTheme="minorEastAsia" w:cs="Arial"/>
          <w:kern w:val="2"/>
          <w:szCs w:val="24"/>
          <w:lang w:val="en-US" w:eastAsia="zh-CN"/>
        </w:rPr>
        <w:t xml:space="preserve">              </w:t>
      </w:r>
      <w:r w:rsidR="008B26A2" w:rsidRPr="00432973">
        <w:rPr>
          <w:rFonts w:eastAsiaTheme="minorEastAsia" w:cs="Arial"/>
          <w:kern w:val="2"/>
          <w:szCs w:val="24"/>
          <w:lang w:val="en-US" w:eastAsia="zh-CN"/>
        </w:rPr>
        <w:t>(</w:t>
      </w:r>
      <w:r w:rsidR="00432973" w:rsidRPr="00432973">
        <w:rPr>
          <w:rFonts w:eastAsiaTheme="minorEastAsia" w:cs="Arial"/>
          <w:kern w:val="2"/>
          <w:szCs w:val="24"/>
          <w:lang w:val="en-US" w:eastAsia="zh-CN"/>
        </w:rPr>
        <w:t>1</w:t>
      </w:r>
      <w:r w:rsidR="008B26A2" w:rsidRPr="00432973">
        <w:rPr>
          <w:rFonts w:eastAsiaTheme="minorEastAsia" w:cs="Arial"/>
          <w:kern w:val="2"/>
          <w:szCs w:val="24"/>
          <w:lang w:val="en-US" w:eastAsia="zh-CN"/>
        </w:rPr>
        <w:t>0)</w:t>
      </w:r>
    </w:p>
    <w:p w14:paraId="14AD817B" w14:textId="676A96AC" w:rsidR="008B26A2" w:rsidRPr="002478BE" w:rsidRDefault="008B26A2" w:rsidP="008B26A2">
      <w:pPr>
        <w:rPr>
          <w:rFonts w:cs="Arial"/>
          <w:szCs w:val="24"/>
        </w:rPr>
      </w:pPr>
      <w:r w:rsidRPr="002478BE">
        <w:rPr>
          <w:rFonts w:cs="Arial"/>
          <w:szCs w:val="24"/>
        </w:rPr>
        <w:t xml:space="preserve">Once the values are obtained by normalized formulas, two situations </w:t>
      </w:r>
      <w:r w:rsidR="000E1BC4">
        <w:rPr>
          <w:rFonts w:cs="Arial"/>
          <w:szCs w:val="24"/>
        </w:rPr>
        <w:t xml:space="preserve">that </w:t>
      </w:r>
      <w:r w:rsidRPr="002478BE">
        <w:rPr>
          <w:rFonts w:cs="Arial"/>
          <w:szCs w:val="24"/>
        </w:rPr>
        <w:t>should be determined: i) complimentary, which means that the control variables are correlated</w:t>
      </w:r>
      <w:r w:rsidR="000E1BC4">
        <w:rPr>
          <w:rFonts w:cs="Arial"/>
          <w:szCs w:val="24"/>
        </w:rPr>
        <w:t>,</w:t>
      </w:r>
      <w:r w:rsidRPr="002478BE">
        <w:rPr>
          <w:rFonts w:cs="Arial"/>
          <w:szCs w:val="24"/>
        </w:rPr>
        <w:t xml:space="preserve"> and they may influence each other. In this situation, the membership function value is the mean value of the normalized value; ii) </w:t>
      </w:r>
      <w:r w:rsidR="000E1BC4">
        <w:rPr>
          <w:rFonts w:cs="Arial"/>
          <w:szCs w:val="24"/>
        </w:rPr>
        <w:t>non-complementary</w:t>
      </w:r>
      <w:r w:rsidRPr="002478BE">
        <w:rPr>
          <w:rFonts w:cs="Arial"/>
          <w:szCs w:val="24"/>
        </w:rPr>
        <w:t xml:space="preserve">, indicating the control variables are not relevant. In this case, the membership function value is the minimum value of the normalized value. The specific description of CT can be seen </w:t>
      </w:r>
      <w:r w:rsidR="000E1BC4">
        <w:rPr>
          <w:rFonts w:cs="Arial"/>
          <w:szCs w:val="24"/>
        </w:rPr>
        <w:t xml:space="preserve">in </w:t>
      </w:r>
      <w:r w:rsidRPr="002478BE">
        <w:rPr>
          <w:rFonts w:cs="Arial"/>
          <w:szCs w:val="24"/>
        </w:rPr>
        <w:t xml:space="preserve">Wu et al. (2021) and Chen et al. (2018). </w:t>
      </w:r>
      <w:r w:rsidR="000E1BC4">
        <w:rPr>
          <w:rFonts w:cs="Arial"/>
          <w:szCs w:val="24"/>
        </w:rPr>
        <w:t>The</w:t>
      </w:r>
      <w:r w:rsidRPr="002478BE">
        <w:rPr>
          <w:rFonts w:cs="Arial"/>
          <w:szCs w:val="24"/>
        </w:rPr>
        <w:t xml:space="preserve"> current study</w:t>
      </w:r>
      <w:r w:rsidR="000E1BC4">
        <w:rPr>
          <w:rFonts w:cs="Arial"/>
          <w:szCs w:val="24"/>
        </w:rPr>
        <w:t xml:space="preserve"> uses CT</w:t>
      </w:r>
      <w:r w:rsidRPr="002478BE">
        <w:rPr>
          <w:rFonts w:cs="Arial"/>
          <w:szCs w:val="24"/>
        </w:rPr>
        <w:t xml:space="preserve"> to measure the comprehensive intensity of disruption </w:t>
      </w:r>
      <w:r w:rsidR="000E1BC4">
        <w:rPr>
          <w:rFonts w:cs="Arial"/>
          <w:szCs w:val="24"/>
        </w:rPr>
        <w:t>based on</w:t>
      </w:r>
      <w:r w:rsidRPr="002478BE">
        <w:rPr>
          <w:rFonts w:cs="Arial"/>
          <w:szCs w:val="24"/>
        </w:rPr>
        <w:t xml:space="preserve"> </w:t>
      </w:r>
      <w:r w:rsidR="000E1BC4">
        <w:rPr>
          <w:rFonts w:cs="Arial"/>
          <w:szCs w:val="24"/>
        </w:rPr>
        <w:t xml:space="preserve">the </w:t>
      </w:r>
      <w:r w:rsidRPr="002478BE">
        <w:rPr>
          <w:rFonts w:cs="Arial"/>
          <w:szCs w:val="24"/>
        </w:rPr>
        <w:t>evaluation index system.</w:t>
      </w:r>
    </w:p>
    <w:p w14:paraId="5F4D059A" w14:textId="4A6EEA2A" w:rsidR="008B26A2" w:rsidRPr="002478BE" w:rsidRDefault="008B26A2" w:rsidP="008B26A2">
      <w:pPr>
        <w:pStyle w:val="CETheadingx"/>
      </w:pPr>
      <w:r w:rsidRPr="002478BE">
        <w:t>Dynamic Bayesian network (DBN)</w:t>
      </w:r>
    </w:p>
    <w:bookmarkEnd w:id="8"/>
    <w:bookmarkEnd w:id="9"/>
    <w:p w14:paraId="748277E7" w14:textId="08B655E6" w:rsidR="008B26A2" w:rsidRPr="002478BE" w:rsidRDefault="008B26A2" w:rsidP="00276EF1">
      <w:pPr>
        <w:rPr>
          <w:rFonts w:cs="Arial"/>
          <w:szCs w:val="24"/>
        </w:rPr>
      </w:pPr>
      <w:r w:rsidRPr="002478BE">
        <w:rPr>
          <w:rFonts w:cs="Arial"/>
          <w:szCs w:val="24"/>
        </w:rPr>
        <w:t>As an extension of B</w:t>
      </w:r>
      <w:r w:rsidR="000C3793">
        <w:rPr>
          <w:rFonts w:cs="Arial"/>
          <w:szCs w:val="24"/>
        </w:rPr>
        <w:t xml:space="preserve">ayesian </w:t>
      </w:r>
      <w:r w:rsidRPr="002478BE">
        <w:rPr>
          <w:rFonts w:cs="Arial"/>
          <w:szCs w:val="24"/>
        </w:rPr>
        <w:t>N</w:t>
      </w:r>
      <w:r w:rsidR="000C3793">
        <w:rPr>
          <w:rFonts w:cs="Arial"/>
          <w:szCs w:val="24"/>
        </w:rPr>
        <w:t>etworks (BN)</w:t>
      </w:r>
      <w:r w:rsidRPr="002478BE">
        <w:rPr>
          <w:rFonts w:cs="Arial"/>
          <w:szCs w:val="24"/>
        </w:rPr>
        <w:t xml:space="preserve"> in </w:t>
      </w:r>
      <w:r w:rsidR="000E1BC4">
        <w:rPr>
          <w:rFonts w:cs="Arial"/>
          <w:szCs w:val="24"/>
        </w:rPr>
        <w:t xml:space="preserve">the </w:t>
      </w:r>
      <w:r w:rsidRPr="002478BE">
        <w:rPr>
          <w:rFonts w:cs="Arial"/>
          <w:szCs w:val="24"/>
        </w:rPr>
        <w:t xml:space="preserve">time domain, DBN can be used to quantify the dynamic probability of consequence (Khan et al., 2015). The relationship among time slices can be described by transition probabilities, which </w:t>
      </w:r>
      <w:r w:rsidR="000E1BC4">
        <w:rPr>
          <w:rFonts w:cs="Arial"/>
          <w:szCs w:val="24"/>
        </w:rPr>
        <w:t>can</w:t>
      </w:r>
      <w:r w:rsidRPr="002478BE">
        <w:rPr>
          <w:rFonts w:cs="Arial"/>
          <w:szCs w:val="24"/>
        </w:rPr>
        <w:t xml:space="preserve"> be calculated by expert knowledge or failure rate and repair rate. The structure of DBN is shown in Fig</w:t>
      </w:r>
      <w:r w:rsidR="006B6554">
        <w:rPr>
          <w:rFonts w:cs="Arial"/>
          <w:szCs w:val="24"/>
        </w:rPr>
        <w:t xml:space="preserve">ure </w:t>
      </w:r>
      <w:r w:rsidR="0089592D">
        <w:rPr>
          <w:rFonts w:cs="Arial"/>
          <w:szCs w:val="24"/>
        </w:rPr>
        <w:t>1</w:t>
      </w:r>
      <w:r w:rsidRPr="002478BE">
        <w:rPr>
          <w:rFonts w:cs="Arial"/>
          <w:szCs w:val="24"/>
        </w:rPr>
        <w:t>.</w:t>
      </w:r>
    </w:p>
    <w:p w14:paraId="1EEED089" w14:textId="77777777" w:rsidR="008B26A2" w:rsidRPr="002478BE" w:rsidRDefault="008B26A2" w:rsidP="00910764">
      <w:pPr>
        <w:jc w:val="left"/>
      </w:pPr>
      <w:r w:rsidRPr="002478BE">
        <w:rPr>
          <w:noProof/>
          <w:lang w:val="en-US"/>
        </w:rPr>
        <w:drawing>
          <wp:inline distT="0" distB="0" distL="0" distR="0" wp14:anchorId="251EDA07" wp14:editId="2D65362A">
            <wp:extent cx="2393343" cy="990080"/>
            <wp:effectExtent l="0" t="0" r="698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58800" cy="1017158"/>
                    </a:xfrm>
                    <a:prstGeom prst="rect">
                      <a:avLst/>
                    </a:prstGeom>
                  </pic:spPr>
                </pic:pic>
              </a:graphicData>
            </a:graphic>
          </wp:inline>
        </w:drawing>
      </w:r>
    </w:p>
    <w:p w14:paraId="19AFD6A8" w14:textId="644DBE8B" w:rsidR="006B6554" w:rsidRPr="002478BE" w:rsidRDefault="006B6554" w:rsidP="006B6554">
      <w:pPr>
        <w:pStyle w:val="CETCaption"/>
        <w:rPr>
          <w:rStyle w:val="CETCaptionCarattere"/>
          <w:i/>
        </w:rPr>
      </w:pPr>
      <w:r w:rsidRPr="002478BE">
        <w:rPr>
          <w:rStyle w:val="CETCaptionCarattere"/>
          <w:i/>
        </w:rPr>
        <w:t xml:space="preserve">Figure </w:t>
      </w:r>
      <w:r w:rsidR="0089592D">
        <w:rPr>
          <w:rStyle w:val="CETCaptionCarattere"/>
          <w:i/>
        </w:rPr>
        <w:t>1</w:t>
      </w:r>
      <w:r w:rsidRPr="002478BE">
        <w:rPr>
          <w:rStyle w:val="CETCaptionCarattere"/>
          <w:i/>
        </w:rPr>
        <w:t xml:space="preserve">: </w:t>
      </w:r>
      <w:r w:rsidRPr="006B6554">
        <w:rPr>
          <w:rStyle w:val="CETCaptionCarattere"/>
          <w:i/>
        </w:rPr>
        <w:t>The structure of DBN</w:t>
      </w:r>
    </w:p>
    <w:p w14:paraId="303807D3" w14:textId="560A0FDA" w:rsidR="008B26A2" w:rsidRPr="002478BE" w:rsidRDefault="008B26A2" w:rsidP="00276EF1">
      <w:pPr>
        <w:rPr>
          <w:rFonts w:cs="Arial"/>
          <w:szCs w:val="24"/>
        </w:rPr>
      </w:pPr>
      <w:r w:rsidRPr="002478BE">
        <w:rPr>
          <w:rFonts w:cs="Arial"/>
          <w:szCs w:val="24"/>
        </w:rPr>
        <w:t>When disruption occurs, the prior probability of basic events will increase</w:t>
      </w:r>
      <w:r w:rsidR="00B20DF1">
        <w:rPr>
          <w:rFonts w:cs="Arial"/>
          <w:szCs w:val="24"/>
        </w:rPr>
        <w:t xml:space="preserve"> rapidly</w:t>
      </w:r>
      <w:r w:rsidRPr="002478BE">
        <w:rPr>
          <w:rFonts w:cs="Arial"/>
          <w:szCs w:val="24"/>
        </w:rPr>
        <w:t>. The magnitude of the increase depends on the intensity of the disruptions (</w:t>
      </w:r>
      <w:r w:rsidRPr="002478BE">
        <w:rPr>
          <w:rFonts w:cs="Arial"/>
          <w:i/>
          <w:szCs w:val="24"/>
        </w:rPr>
        <w:t>I</w:t>
      </w:r>
      <w:r w:rsidRPr="002478BE">
        <w:rPr>
          <w:rFonts w:cs="Arial"/>
          <w:szCs w:val="24"/>
        </w:rPr>
        <w:t>) determine</w:t>
      </w:r>
      <w:r w:rsidR="00B20DF1">
        <w:rPr>
          <w:rFonts w:cs="Arial"/>
          <w:szCs w:val="24"/>
        </w:rPr>
        <w:t>d by CT</w:t>
      </w:r>
      <w:r w:rsidRPr="002478BE">
        <w:rPr>
          <w:rFonts w:cs="Arial"/>
          <w:szCs w:val="24"/>
        </w:rPr>
        <w:t xml:space="preserve">. The </w:t>
      </w:r>
      <w:r w:rsidR="000E1BC4">
        <w:rPr>
          <w:rFonts w:cs="Arial"/>
          <w:szCs w:val="24"/>
        </w:rPr>
        <w:t>greater</w:t>
      </w:r>
      <w:r w:rsidRPr="002478BE">
        <w:rPr>
          <w:rFonts w:cs="Arial"/>
          <w:szCs w:val="24"/>
        </w:rPr>
        <w:t xml:space="preserve"> the </w:t>
      </w:r>
      <w:r w:rsidRPr="002478BE">
        <w:rPr>
          <w:rFonts w:cs="Arial"/>
          <w:i/>
          <w:szCs w:val="24"/>
        </w:rPr>
        <w:t>I</w:t>
      </w:r>
      <w:r w:rsidRPr="002478BE">
        <w:rPr>
          <w:rFonts w:cs="Arial"/>
          <w:szCs w:val="24"/>
        </w:rPr>
        <w:t xml:space="preserve">, the higher the prior probability. The prior probability </w:t>
      </w:r>
      <w:r w:rsidR="00432973">
        <w:rPr>
          <w:rFonts w:cs="Arial"/>
          <w:szCs w:val="24"/>
        </w:rPr>
        <w:t xml:space="preserve">of nodes </w:t>
      </w:r>
      <w:r w:rsidR="00B20DF1">
        <w:rPr>
          <w:rFonts w:cs="Arial"/>
          <w:szCs w:val="24"/>
        </w:rPr>
        <w:t>can be determined by</w:t>
      </w:r>
      <w:r w:rsidR="00432973">
        <w:rPr>
          <w:rFonts w:cs="Arial"/>
          <w:szCs w:val="24"/>
        </w:rPr>
        <w:t xml:space="preserve"> Eq. (1</w:t>
      </w:r>
      <w:r w:rsidR="00910764">
        <w:rPr>
          <w:rFonts w:cs="Arial"/>
          <w:szCs w:val="24"/>
        </w:rPr>
        <w:t>1</w:t>
      </w:r>
      <w:r w:rsidRPr="002478BE">
        <w:rPr>
          <w:rFonts w:cs="Arial"/>
          <w:szCs w:val="24"/>
        </w:rPr>
        <w:t>).</w:t>
      </w:r>
      <w:r w:rsidR="0094082E">
        <w:rPr>
          <w:rFonts w:cs="Arial"/>
          <w:szCs w:val="24"/>
        </w:rPr>
        <w:t xml:space="preserve"> When the prior probability of each component is determined, the system performance can be obtained. Thus, the resilience metric developed by Sun et al. (2021) is used to quantify the resilience of the RPB.</w:t>
      </w:r>
    </w:p>
    <w:p w14:paraId="7090F494" w14:textId="792E8AE1" w:rsidR="008B26A2" w:rsidRPr="002478BE" w:rsidRDefault="00906A57" w:rsidP="002478BE">
      <w:pPr>
        <w:pStyle w:val="1"/>
        <w:jc w:val="left"/>
      </w:pPr>
      <w:r w:rsidRPr="002478BE">
        <w:rPr>
          <w:noProof/>
        </w:rPr>
        <w:object w:dxaOrig="900" w:dyaOrig="620" w14:anchorId="2E1AEFAD">
          <v:shape id="_x0000_i1025" type="#_x0000_t75" alt="" style="width:34pt;height:23.35pt;mso-width-percent:0;mso-height-percent:0;mso-width-percent:0;mso-height-percent:0" o:ole="">
            <v:imagedata r:id="rId34" o:title=""/>
          </v:shape>
          <o:OLEObject Type="Embed" ProgID="Equation.DSMT4" ShapeID="_x0000_i1025" DrawAspect="Content" ObjectID="_1707730710" r:id="rId35"/>
        </w:object>
      </w:r>
      <w:r w:rsidR="008B26A2" w:rsidRPr="002478BE">
        <w:tab/>
      </w:r>
      <w:r w:rsidR="002478BE">
        <w:t xml:space="preserve">                                                                                                                                                       </w:t>
      </w:r>
      <w:r w:rsidR="00FD708F">
        <w:t xml:space="preserve">    </w:t>
      </w:r>
      <w:r w:rsidR="008B26A2" w:rsidRPr="002478BE">
        <w:t>(</w:t>
      </w:r>
      <w:r w:rsidR="00432973">
        <w:t>1</w:t>
      </w:r>
      <w:r w:rsidR="00910764">
        <w:t>1</w:t>
      </w:r>
      <w:r w:rsidR="008B26A2" w:rsidRPr="002478BE">
        <w:t>)</w:t>
      </w:r>
    </w:p>
    <w:p w14:paraId="0403C42F" w14:textId="68A63F98" w:rsidR="008B26A2" w:rsidRDefault="008B26A2" w:rsidP="008B26A2">
      <w:pPr>
        <w:pStyle w:val="1"/>
      </w:pPr>
      <w:r w:rsidRPr="002478BE">
        <w:t xml:space="preserve">where </w:t>
      </w:r>
      <w:r w:rsidRPr="002478BE">
        <w:rPr>
          <w:i/>
        </w:rPr>
        <w:t>P</w:t>
      </w:r>
      <w:r w:rsidRPr="002478BE">
        <w:rPr>
          <w:i/>
          <w:vertAlign w:val="subscript"/>
        </w:rPr>
        <w:t>I</w:t>
      </w:r>
      <w:r w:rsidRPr="002478BE">
        <w:t xml:space="preserve"> indicates the prior probability of nodes under the </w:t>
      </w:r>
      <w:bookmarkStart w:id="14" w:name="OLE_LINK27"/>
      <w:r w:rsidRPr="002478BE">
        <w:t>disruption,</w:t>
      </w:r>
      <w:bookmarkEnd w:id="14"/>
      <w:r w:rsidRPr="002478BE">
        <w:t xml:space="preserve"> </w:t>
      </w:r>
      <w:r w:rsidRPr="002478BE">
        <w:rPr>
          <w:i/>
        </w:rPr>
        <w:t>I</w:t>
      </w:r>
      <w:r w:rsidRPr="002478BE">
        <w:t xml:space="preserve"> represent the intensity of the integrated disruption.</w:t>
      </w:r>
    </w:p>
    <w:p w14:paraId="04963A06" w14:textId="799346FA" w:rsidR="00600535" w:rsidRPr="00633562" w:rsidRDefault="006B6554" w:rsidP="00633562">
      <w:pPr>
        <w:pStyle w:val="CETHeading1"/>
        <w:tabs>
          <w:tab w:val="clear" w:pos="360"/>
          <w:tab w:val="right" w:pos="7100"/>
        </w:tabs>
        <w:jc w:val="both"/>
        <w:rPr>
          <w:lang w:val="en-GB"/>
        </w:rPr>
      </w:pPr>
      <w:r>
        <w:rPr>
          <w:lang w:val="en-GB"/>
        </w:rPr>
        <w:t>Case study</w:t>
      </w:r>
    </w:p>
    <w:p w14:paraId="4EF8018F" w14:textId="63A73D4B" w:rsidR="00633562" w:rsidRPr="006B6554" w:rsidRDefault="00633562" w:rsidP="006B6554">
      <w:pPr>
        <w:snapToGrid w:val="0"/>
        <w:rPr>
          <w:rFonts w:cs="Arial"/>
          <w:szCs w:val="24"/>
        </w:rPr>
      </w:pPr>
      <w:r w:rsidRPr="006B6554">
        <w:rPr>
          <w:rFonts w:cs="Arial"/>
          <w:szCs w:val="24"/>
        </w:rPr>
        <w:t>On August 6, 2012, a leakage accident originated from a pipe rupture in a crude distillation unit in the Chevron Richmond refinery occurred, resulting in a fire accident eventually (</w:t>
      </w:r>
      <w:r w:rsidRPr="009806D4">
        <w:rPr>
          <w:rFonts w:cs="Arial"/>
          <w:szCs w:val="24"/>
        </w:rPr>
        <w:t>CSB, 2014</w:t>
      </w:r>
      <w:r w:rsidR="002E3F17" w:rsidRPr="002E3F17">
        <w:rPr>
          <w:rFonts w:cs="Arial"/>
          <w:szCs w:val="24"/>
        </w:rPr>
        <w:t>).</w:t>
      </w:r>
      <w:r w:rsidR="002E3F17">
        <w:rPr>
          <w:rFonts w:cs="Arial"/>
          <w:szCs w:val="24"/>
        </w:rPr>
        <w:t xml:space="preserve"> T</w:t>
      </w:r>
      <w:r w:rsidRPr="006B6554">
        <w:rPr>
          <w:rFonts w:cs="Arial"/>
          <w:szCs w:val="24"/>
        </w:rPr>
        <w:t xml:space="preserve">he release prevention barrier of the </w:t>
      </w:r>
      <w:bookmarkStart w:id="15" w:name="OLE_LINK18"/>
      <w:bookmarkStart w:id="16" w:name="OLE_LINK24"/>
      <w:r w:rsidRPr="006B6554">
        <w:rPr>
          <w:rFonts w:cs="Arial"/>
          <w:szCs w:val="24"/>
        </w:rPr>
        <w:t>Chevron Richmond refinery crude unit</w:t>
      </w:r>
      <w:bookmarkEnd w:id="15"/>
      <w:bookmarkEnd w:id="16"/>
      <w:r w:rsidRPr="006B6554">
        <w:rPr>
          <w:rFonts w:cs="Arial"/>
          <w:szCs w:val="24"/>
        </w:rPr>
        <w:t xml:space="preserve"> is employed</w:t>
      </w:r>
      <w:r w:rsidR="002E3F17" w:rsidRPr="002E3F17">
        <w:rPr>
          <w:rFonts w:cs="Arial"/>
          <w:szCs w:val="24"/>
        </w:rPr>
        <w:t xml:space="preserve"> </w:t>
      </w:r>
      <w:r w:rsidR="002E3F17">
        <w:rPr>
          <w:rFonts w:cs="Arial"/>
          <w:szCs w:val="24"/>
        </w:rPr>
        <w:t>t</w:t>
      </w:r>
      <w:r w:rsidR="002E3F17" w:rsidRPr="006B6554">
        <w:rPr>
          <w:rFonts w:cs="Arial"/>
          <w:szCs w:val="24"/>
        </w:rPr>
        <w:t>o demonstrate the proposed methodology</w:t>
      </w:r>
      <w:r w:rsidRPr="006B6554">
        <w:rPr>
          <w:rFonts w:cs="Arial"/>
          <w:szCs w:val="24"/>
        </w:rPr>
        <w:t>.</w:t>
      </w:r>
      <w:r w:rsidR="002E3F17">
        <w:rPr>
          <w:rFonts w:cs="Arial"/>
          <w:szCs w:val="24"/>
        </w:rPr>
        <w:t xml:space="preserve"> </w:t>
      </w:r>
      <w:r w:rsidR="006B6554" w:rsidRPr="006B6554">
        <w:rPr>
          <w:rFonts w:cs="Arial"/>
          <w:szCs w:val="24"/>
        </w:rPr>
        <w:t xml:space="preserve">The </w:t>
      </w:r>
      <w:r w:rsidR="002E3F17">
        <w:rPr>
          <w:rFonts w:cs="Arial"/>
          <w:szCs w:val="24"/>
        </w:rPr>
        <w:t>specific information of the</w:t>
      </w:r>
      <w:r w:rsidR="006B6554" w:rsidRPr="006B6554">
        <w:rPr>
          <w:rFonts w:cs="Arial"/>
          <w:szCs w:val="24"/>
        </w:rPr>
        <w:t xml:space="preserve"> process is shown in Fig</w:t>
      </w:r>
      <w:r w:rsidR="006B6554">
        <w:rPr>
          <w:rFonts w:cs="Arial"/>
          <w:szCs w:val="24"/>
        </w:rPr>
        <w:t>ure</w:t>
      </w:r>
      <w:r w:rsidR="006B6554" w:rsidRPr="006B6554">
        <w:rPr>
          <w:rFonts w:cs="Arial"/>
          <w:szCs w:val="24"/>
        </w:rPr>
        <w:t xml:space="preserve"> </w:t>
      </w:r>
      <w:r w:rsidR="0089592D">
        <w:rPr>
          <w:rFonts w:cs="Arial"/>
          <w:szCs w:val="24"/>
        </w:rPr>
        <w:t>2</w:t>
      </w:r>
      <w:r w:rsidR="006B6554" w:rsidRPr="006B6554">
        <w:rPr>
          <w:rFonts w:cs="Arial"/>
          <w:szCs w:val="24"/>
        </w:rPr>
        <w:t>.</w:t>
      </w:r>
    </w:p>
    <w:p w14:paraId="1B60B4FA" w14:textId="77777777" w:rsidR="00633562" w:rsidRPr="00406A8E" w:rsidRDefault="00633562" w:rsidP="006B6554">
      <w:pPr>
        <w:jc w:val="left"/>
        <w:rPr>
          <w:rFonts w:ascii="Times New Roman" w:hAnsi="Times New Roman"/>
          <w:color w:val="2E3033"/>
          <w:sz w:val="24"/>
          <w:szCs w:val="24"/>
          <w:shd w:val="clear" w:color="auto" w:fill="FFFFFF"/>
        </w:rPr>
      </w:pPr>
      <w:r w:rsidRPr="00406A8E">
        <w:rPr>
          <w:rFonts w:ascii="Times New Roman" w:hAnsi="Times New Roman"/>
          <w:noProof/>
          <w:lang w:val="en-US"/>
        </w:rPr>
        <w:drawing>
          <wp:inline distT="0" distB="0" distL="0" distR="0" wp14:anchorId="34B42210" wp14:editId="206038C8">
            <wp:extent cx="2329733" cy="1518391"/>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379585" cy="1550882"/>
                    </a:xfrm>
                    <a:prstGeom prst="rect">
                      <a:avLst/>
                    </a:prstGeom>
                  </pic:spPr>
                </pic:pic>
              </a:graphicData>
            </a:graphic>
          </wp:inline>
        </w:drawing>
      </w:r>
    </w:p>
    <w:p w14:paraId="0A3B796E" w14:textId="42415EC1" w:rsidR="006B6554" w:rsidRPr="006B6554" w:rsidRDefault="006B6554" w:rsidP="006B6554">
      <w:pPr>
        <w:pStyle w:val="CETCaption"/>
        <w:rPr>
          <w:rStyle w:val="CETCaptionCarattere"/>
          <w:i/>
        </w:rPr>
      </w:pPr>
      <w:r w:rsidRPr="002478BE">
        <w:rPr>
          <w:rStyle w:val="CETCaptionCarattere"/>
          <w:i/>
        </w:rPr>
        <w:t xml:space="preserve">Figure </w:t>
      </w:r>
      <w:r w:rsidR="0089592D">
        <w:rPr>
          <w:rStyle w:val="CETCaptionCarattere"/>
          <w:i/>
        </w:rPr>
        <w:t>2</w:t>
      </w:r>
      <w:r w:rsidRPr="002478BE">
        <w:rPr>
          <w:rStyle w:val="CETCaptionCarattere"/>
          <w:i/>
        </w:rPr>
        <w:t xml:space="preserve">: </w:t>
      </w:r>
      <w:r w:rsidRPr="006B6554">
        <w:rPr>
          <w:rStyle w:val="CETCaptionCarattere"/>
          <w:rFonts w:eastAsia="SimHei"/>
          <w:i/>
        </w:rPr>
        <w:t>Schematic diagram of the Chevron Richmond refinery crude unit</w:t>
      </w:r>
    </w:p>
    <w:p w14:paraId="1E7E69DC" w14:textId="2FDFE87E" w:rsidR="00633562" w:rsidRPr="00633562" w:rsidRDefault="00633562" w:rsidP="00633562">
      <w:pPr>
        <w:pStyle w:val="CETheadingx"/>
      </w:pPr>
      <w:r w:rsidRPr="00633562">
        <w:lastRenderedPageBreak/>
        <w:t>Identifying disruptions and intensity based on CT</w:t>
      </w:r>
    </w:p>
    <w:p w14:paraId="627DD550" w14:textId="5AC305E3" w:rsidR="00633562" w:rsidRPr="00633562" w:rsidRDefault="00633562" w:rsidP="00C83F1A">
      <w:pPr>
        <w:rPr>
          <w:rFonts w:cs="Arial"/>
          <w:szCs w:val="24"/>
        </w:rPr>
      </w:pPr>
      <w:r w:rsidRPr="00633562">
        <w:rPr>
          <w:rFonts w:cs="Arial"/>
          <w:szCs w:val="24"/>
        </w:rPr>
        <w:t>Before determining the intensity of disruptions (</w:t>
      </w:r>
      <w:r w:rsidRPr="00633562">
        <w:rPr>
          <w:rFonts w:cs="Arial"/>
          <w:i/>
          <w:szCs w:val="24"/>
        </w:rPr>
        <w:t>I</w:t>
      </w:r>
      <w:r w:rsidRPr="00633562">
        <w:rPr>
          <w:rFonts w:cs="Arial"/>
          <w:szCs w:val="24"/>
        </w:rPr>
        <w:t xml:space="preserve">), the category of disruptions should be identified first. The </w:t>
      </w:r>
      <w:bookmarkStart w:id="17" w:name="OLE_LINK29"/>
      <w:bookmarkStart w:id="18" w:name="OLE_LINK30"/>
      <w:r w:rsidRPr="00633562">
        <w:rPr>
          <w:rFonts w:cs="Arial"/>
          <w:szCs w:val="24"/>
        </w:rPr>
        <w:t xml:space="preserve">evaluation index system </w:t>
      </w:r>
      <w:bookmarkEnd w:id="17"/>
      <w:bookmarkEnd w:id="18"/>
      <w:r w:rsidRPr="00633562">
        <w:rPr>
          <w:rFonts w:cs="Arial"/>
          <w:szCs w:val="24"/>
        </w:rPr>
        <w:t>aims to determine and classify the elements of each category in detail.</w:t>
      </w:r>
    </w:p>
    <w:p w14:paraId="6D5BFBEC" w14:textId="4CE294C4" w:rsidR="00633562" w:rsidRPr="00633562" w:rsidRDefault="00910764" w:rsidP="00633562">
      <w:pPr>
        <w:rPr>
          <w:rFonts w:cs="Arial"/>
          <w:szCs w:val="24"/>
        </w:rPr>
      </w:pPr>
      <w:r>
        <w:rPr>
          <w:rFonts w:cs="Arial"/>
          <w:szCs w:val="24"/>
        </w:rPr>
        <w:t>(1</w:t>
      </w:r>
      <w:r w:rsidR="00633562" w:rsidRPr="00633562">
        <w:rPr>
          <w:rFonts w:cs="Arial"/>
          <w:szCs w:val="24"/>
        </w:rPr>
        <w:t>) Selection of goal layer</w:t>
      </w:r>
      <w:r>
        <w:rPr>
          <w:rFonts w:cs="Arial"/>
          <w:szCs w:val="24"/>
        </w:rPr>
        <w:t xml:space="preserve">. </w:t>
      </w:r>
      <w:r w:rsidR="00633562" w:rsidRPr="00633562">
        <w:rPr>
          <w:rFonts w:cs="Arial"/>
          <w:szCs w:val="24"/>
        </w:rPr>
        <w:t>The goal layer is the top layer, which is the main target of the evaluation system. The comprehensive intensity (</w:t>
      </w:r>
      <w:r w:rsidR="00633562" w:rsidRPr="00633562">
        <w:rPr>
          <w:rFonts w:cs="Arial"/>
          <w:i/>
          <w:szCs w:val="24"/>
        </w:rPr>
        <w:t>I</w:t>
      </w:r>
      <w:r w:rsidR="00633562" w:rsidRPr="00633562">
        <w:rPr>
          <w:rFonts w:cs="Arial"/>
          <w:szCs w:val="24"/>
        </w:rPr>
        <w:t xml:space="preserve">) of the disruptions is set as the goal layer in this case. </w:t>
      </w:r>
      <w:r>
        <w:rPr>
          <w:rFonts w:cs="Arial"/>
          <w:szCs w:val="24"/>
        </w:rPr>
        <w:t>(2</w:t>
      </w:r>
      <w:r w:rsidR="00633562" w:rsidRPr="00633562">
        <w:rPr>
          <w:rFonts w:cs="Arial"/>
          <w:szCs w:val="24"/>
        </w:rPr>
        <w:t>) Selection of criteria layer</w:t>
      </w:r>
      <w:r>
        <w:rPr>
          <w:rFonts w:cs="Arial"/>
          <w:szCs w:val="24"/>
        </w:rPr>
        <w:t xml:space="preserve">. </w:t>
      </w:r>
      <w:r w:rsidR="00633562" w:rsidRPr="00633562">
        <w:rPr>
          <w:rFonts w:cs="Arial"/>
          <w:szCs w:val="24"/>
        </w:rPr>
        <w:t>The disruptions are divided into four primary categories based on published works of peer researchers, including geophysical factors, climatological factors, meteorological factors, hydrological factors (</w:t>
      </w:r>
      <w:r w:rsidR="00633562" w:rsidRPr="009806D4">
        <w:rPr>
          <w:rFonts w:cs="Arial"/>
          <w:szCs w:val="24"/>
        </w:rPr>
        <w:t xml:space="preserve">Ricci et al., 2021). </w:t>
      </w:r>
      <w:r w:rsidR="00633562" w:rsidRPr="00633562">
        <w:rPr>
          <w:rFonts w:cs="Arial"/>
          <w:szCs w:val="24"/>
        </w:rPr>
        <w:t>Note that when practitioners decide to employ the proposed method, they can determine the category of disruptions based on the system’s characteristics, details, process, etc. For example, the potential natural events should be identified by the position and environment of the system or plant.</w:t>
      </w:r>
      <w:r>
        <w:rPr>
          <w:rFonts w:cs="Arial"/>
          <w:szCs w:val="24"/>
        </w:rPr>
        <w:t xml:space="preserve"> (3</w:t>
      </w:r>
      <w:r w:rsidR="00633562" w:rsidRPr="00633562">
        <w:rPr>
          <w:rFonts w:cs="Arial"/>
          <w:szCs w:val="24"/>
        </w:rPr>
        <w:t>) Selection of</w:t>
      </w:r>
      <w:r w:rsidR="00203477">
        <w:rPr>
          <w:rFonts w:cs="Arial"/>
          <w:szCs w:val="24"/>
        </w:rPr>
        <w:t xml:space="preserve"> an</w:t>
      </w:r>
      <w:r w:rsidR="00633562" w:rsidRPr="00633562">
        <w:rPr>
          <w:rFonts w:cs="Arial"/>
          <w:szCs w:val="24"/>
        </w:rPr>
        <w:t xml:space="preserve"> alternative layer</w:t>
      </w:r>
      <w:r>
        <w:rPr>
          <w:rFonts w:cs="Arial"/>
          <w:szCs w:val="24"/>
        </w:rPr>
        <w:t xml:space="preserve">. </w:t>
      </w:r>
      <w:r w:rsidR="00633562" w:rsidRPr="00633562">
        <w:rPr>
          <w:rFonts w:cs="Arial"/>
          <w:szCs w:val="24"/>
        </w:rPr>
        <w:t>Those four main categories have their elements. For example, natural events comprise geophysical factors (e.g., earthquake, landslide, volcano, etc.), meteorological factors (e.g., storm and lighting), hydrological factors (e.g., flooding), and climatological factors (e.g., wildfire</w:t>
      </w:r>
      <w:r w:rsidR="00633562" w:rsidRPr="009806D4">
        <w:rPr>
          <w:rFonts w:cs="Arial"/>
          <w:szCs w:val="24"/>
        </w:rPr>
        <w:t xml:space="preserve">) (Ricci et al., 2021). </w:t>
      </w:r>
    </w:p>
    <w:p w14:paraId="7CDC763B" w14:textId="18238C7E" w:rsidR="00633562" w:rsidRPr="00633562" w:rsidRDefault="00633562" w:rsidP="00633562">
      <w:pPr>
        <w:rPr>
          <w:rFonts w:cs="Arial"/>
          <w:szCs w:val="24"/>
        </w:rPr>
      </w:pPr>
      <w:r w:rsidRPr="00633562">
        <w:rPr>
          <w:rFonts w:cs="Arial"/>
          <w:szCs w:val="24"/>
        </w:rPr>
        <w:t>The disruption evaluation index system of the Chevron Richmond refinery crude</w:t>
      </w:r>
      <w:r w:rsidRPr="00633562">
        <w:rPr>
          <w:rFonts w:eastAsia="SimHei" w:cs="Arial"/>
          <w:b/>
          <w:color w:val="000000" w:themeColor="text1"/>
          <w:sz w:val="12"/>
        </w:rPr>
        <w:t xml:space="preserve"> </w:t>
      </w:r>
      <w:r w:rsidRPr="00633562">
        <w:rPr>
          <w:rFonts w:cs="Arial"/>
          <w:szCs w:val="24"/>
        </w:rPr>
        <w:t>unit consists of three criteria layers and 10 alternative layers. These indexes cover the main disruptions that affect the plant.</w:t>
      </w:r>
      <w:r w:rsidRPr="00633562">
        <w:rPr>
          <w:rFonts w:cs="Arial"/>
          <w:color w:val="000000"/>
          <w:sz w:val="10"/>
          <w:szCs w:val="16"/>
        </w:rPr>
        <w:t xml:space="preserve"> </w:t>
      </w:r>
      <w:r w:rsidRPr="00633562">
        <w:rPr>
          <w:rFonts w:cs="Arial"/>
          <w:szCs w:val="24"/>
        </w:rPr>
        <w:t>The specific evaluation index system is shown in Fig</w:t>
      </w:r>
      <w:r w:rsidR="006B6554">
        <w:rPr>
          <w:rFonts w:cs="Arial"/>
          <w:szCs w:val="24"/>
        </w:rPr>
        <w:t xml:space="preserve">ure </w:t>
      </w:r>
      <w:r w:rsidR="0089592D">
        <w:rPr>
          <w:rFonts w:cs="Arial"/>
          <w:szCs w:val="24"/>
        </w:rPr>
        <w:t>3</w:t>
      </w:r>
      <w:r w:rsidRPr="00633562">
        <w:rPr>
          <w:rFonts w:cs="Arial"/>
          <w:szCs w:val="24"/>
        </w:rPr>
        <w:t>.</w:t>
      </w:r>
    </w:p>
    <w:p w14:paraId="30B0AC0C" w14:textId="77777777" w:rsidR="00633562" w:rsidRDefault="00633562" w:rsidP="002E3F17">
      <w:pPr>
        <w:jc w:val="left"/>
        <w:rPr>
          <w:rFonts w:ascii="Times New Roman" w:hAnsi="Times New Roman"/>
          <w:sz w:val="24"/>
          <w:szCs w:val="24"/>
        </w:rPr>
      </w:pPr>
      <w:r>
        <w:rPr>
          <w:noProof/>
          <w:lang w:val="en-US"/>
        </w:rPr>
        <w:drawing>
          <wp:inline distT="0" distB="0" distL="0" distR="0" wp14:anchorId="6DA40395" wp14:editId="0574573D">
            <wp:extent cx="3586039" cy="148708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656205" cy="1516186"/>
                    </a:xfrm>
                    <a:prstGeom prst="rect">
                      <a:avLst/>
                    </a:prstGeom>
                  </pic:spPr>
                </pic:pic>
              </a:graphicData>
            </a:graphic>
          </wp:inline>
        </w:drawing>
      </w:r>
    </w:p>
    <w:p w14:paraId="7473674C" w14:textId="4FEEE803" w:rsidR="006B6554" w:rsidRPr="006B6554" w:rsidRDefault="006B6554" w:rsidP="006B6554">
      <w:pPr>
        <w:pStyle w:val="CETCaption"/>
        <w:rPr>
          <w:rStyle w:val="CETCaptionCarattere"/>
          <w:rFonts w:eastAsia="SimHei"/>
          <w:i/>
        </w:rPr>
      </w:pPr>
      <w:r w:rsidRPr="002478BE">
        <w:rPr>
          <w:rStyle w:val="CETCaptionCarattere"/>
          <w:i/>
        </w:rPr>
        <w:t xml:space="preserve">Figure </w:t>
      </w:r>
      <w:r w:rsidR="0089592D">
        <w:rPr>
          <w:rStyle w:val="CETCaptionCarattere"/>
          <w:i/>
        </w:rPr>
        <w:t>3</w:t>
      </w:r>
      <w:r w:rsidRPr="002478BE">
        <w:rPr>
          <w:rStyle w:val="CETCaptionCarattere"/>
          <w:i/>
        </w:rPr>
        <w:t xml:space="preserve">: </w:t>
      </w:r>
      <w:r w:rsidRPr="006B6554">
        <w:rPr>
          <w:rStyle w:val="CETCaptionCarattere"/>
          <w:rFonts w:eastAsia="SimHei"/>
          <w:i/>
        </w:rPr>
        <w:t>The evaluation index system of disruption intensity for the system</w:t>
      </w:r>
    </w:p>
    <w:p w14:paraId="78FF6FB8" w14:textId="6898FF94" w:rsidR="00633562" w:rsidRPr="00633562" w:rsidRDefault="00633562" w:rsidP="00633562">
      <w:pPr>
        <w:rPr>
          <w:rFonts w:cs="Arial"/>
          <w:szCs w:val="18"/>
        </w:rPr>
      </w:pPr>
      <w:r w:rsidRPr="00633562">
        <w:rPr>
          <w:rFonts w:cs="Arial"/>
          <w:szCs w:val="18"/>
        </w:rPr>
        <w:t xml:space="preserve">The CT method is employed to determine the intensity of disruptions. </w:t>
      </w:r>
      <w:r w:rsidR="0067311C">
        <w:rPr>
          <w:rFonts w:cs="Arial"/>
          <w:szCs w:val="18"/>
        </w:rPr>
        <w:t>In</w:t>
      </w:r>
      <w:r w:rsidRPr="00633562">
        <w:rPr>
          <w:rFonts w:cs="Arial"/>
          <w:szCs w:val="18"/>
        </w:rPr>
        <w:t xml:space="preserve"> the beginning, the overall analysis of the comprehensive disruptions for the Chevron Richmond refinery crude</w:t>
      </w:r>
      <w:r w:rsidRPr="00633562">
        <w:rPr>
          <w:rFonts w:eastAsia="SimHei" w:cs="Arial"/>
          <w:b/>
          <w:color w:val="000000" w:themeColor="text1"/>
          <w:szCs w:val="18"/>
        </w:rPr>
        <w:t xml:space="preserve"> </w:t>
      </w:r>
      <w:r w:rsidRPr="00633562">
        <w:rPr>
          <w:rFonts w:cs="Arial"/>
          <w:szCs w:val="18"/>
        </w:rPr>
        <w:t xml:space="preserve">unit is carried out by experts. </w:t>
      </w:r>
      <w:bookmarkStart w:id="19" w:name="OLE_LINK33"/>
      <w:r w:rsidRPr="00633562">
        <w:rPr>
          <w:rFonts w:cs="Arial"/>
          <w:szCs w:val="18"/>
        </w:rPr>
        <w:t xml:space="preserve">According to the characteristics of </w:t>
      </w:r>
      <w:hyperlink r:id="rId38" w:history="1">
        <w:r w:rsidRPr="00633562">
          <w:rPr>
            <w:rFonts w:cs="Arial"/>
            <w:szCs w:val="18"/>
          </w:rPr>
          <w:t>geographic</w:t>
        </w:r>
      </w:hyperlink>
      <w:r w:rsidRPr="00633562">
        <w:rPr>
          <w:rFonts w:cs="Arial"/>
          <w:szCs w:val="18"/>
        </w:rPr>
        <w:t> </w:t>
      </w:r>
      <w:hyperlink r:id="rId39" w:history="1">
        <w:r w:rsidRPr="00633562">
          <w:rPr>
            <w:rFonts w:cs="Arial"/>
            <w:szCs w:val="18"/>
          </w:rPr>
          <w:t>position</w:t>
        </w:r>
      </w:hyperlink>
      <w:r w:rsidRPr="00633562">
        <w:rPr>
          <w:rFonts w:cs="Arial"/>
          <w:szCs w:val="18"/>
        </w:rPr>
        <w:t xml:space="preserve"> and corresponding climatic conditions, plant reports, and relative documents, each index of the evaluation system is scored by experts.</w:t>
      </w:r>
      <w:bookmarkEnd w:id="19"/>
      <w:r w:rsidRPr="00633562">
        <w:rPr>
          <w:rFonts w:cs="Arial"/>
          <w:szCs w:val="18"/>
        </w:rPr>
        <w:t xml:space="preserve"> The score range from 0 to 1, and the higher the score, the greater the impact of the disruption on the system and the greater the comprehensive intensity (</w:t>
      </w:r>
      <w:r w:rsidRPr="00633562">
        <w:rPr>
          <w:rFonts w:cs="Arial"/>
          <w:i/>
          <w:szCs w:val="18"/>
        </w:rPr>
        <w:t>I</w:t>
      </w:r>
      <w:r w:rsidRPr="00633562">
        <w:rPr>
          <w:rFonts w:cs="Arial"/>
          <w:szCs w:val="18"/>
        </w:rPr>
        <w:t>) of the disruption. The disruption intensity (</w:t>
      </w:r>
      <w:r w:rsidRPr="00633562">
        <w:rPr>
          <w:rFonts w:cs="Arial"/>
          <w:i/>
          <w:szCs w:val="18"/>
        </w:rPr>
        <w:t>I</w:t>
      </w:r>
      <w:r w:rsidRPr="00633562">
        <w:rPr>
          <w:rFonts w:cs="Arial"/>
          <w:szCs w:val="18"/>
        </w:rPr>
        <w:t xml:space="preserve">) grade consists of five degrees, very low (VL), low (L), moderate (M), high (H), and very high (VH). The specific degrees are shown in Table </w:t>
      </w:r>
      <w:r w:rsidR="006B6554">
        <w:rPr>
          <w:rFonts w:cs="Arial"/>
          <w:szCs w:val="18"/>
        </w:rPr>
        <w:t>1</w:t>
      </w:r>
      <w:r w:rsidRPr="00633562">
        <w:rPr>
          <w:rFonts w:cs="Arial"/>
          <w:szCs w:val="18"/>
        </w:rPr>
        <w:t>.</w:t>
      </w:r>
    </w:p>
    <w:p w14:paraId="61A13440" w14:textId="005F6F0F" w:rsidR="00633562" w:rsidRPr="006B6554" w:rsidRDefault="00633562" w:rsidP="006B6554">
      <w:pPr>
        <w:pStyle w:val="CETTabletitle"/>
      </w:pPr>
      <w:r w:rsidRPr="006B6554">
        <w:t xml:space="preserve">Table </w:t>
      </w:r>
      <w:r w:rsidR="006B6554" w:rsidRPr="006B6554">
        <w:t>1</w:t>
      </w:r>
      <w:r w:rsidRPr="006B6554">
        <w:t xml:space="preserve"> The grade of the disruption intensity (I)</w:t>
      </w: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1796"/>
        <w:gridCol w:w="3041"/>
      </w:tblGrid>
      <w:tr w:rsidR="006B6554" w:rsidRPr="00DD1850" w14:paraId="6143D4CC" w14:textId="16DFAA66" w:rsidTr="0006157F">
        <w:tc>
          <w:tcPr>
            <w:tcW w:w="1301" w:type="dxa"/>
            <w:tcBorders>
              <w:top w:val="single" w:sz="12" w:space="0" w:color="auto"/>
              <w:bottom w:val="single" w:sz="8" w:space="0" w:color="auto"/>
            </w:tcBorders>
          </w:tcPr>
          <w:p w14:paraId="005E6461" w14:textId="77777777" w:rsidR="006B6554" w:rsidRPr="006B6554" w:rsidRDefault="006B6554" w:rsidP="006B6554">
            <w:pPr>
              <w:pStyle w:val="CETBodytext"/>
              <w:rPr>
                <w:lang w:val="en-GB"/>
              </w:rPr>
            </w:pPr>
            <w:r w:rsidRPr="006B6554">
              <w:rPr>
                <w:rFonts w:hint="eastAsia"/>
                <w:lang w:val="en-GB"/>
              </w:rPr>
              <w:t>Grade</w:t>
            </w:r>
          </w:p>
        </w:tc>
        <w:tc>
          <w:tcPr>
            <w:tcW w:w="1796" w:type="dxa"/>
            <w:tcBorders>
              <w:top w:val="single" w:sz="12" w:space="0" w:color="auto"/>
              <w:bottom w:val="single" w:sz="8" w:space="0" w:color="auto"/>
            </w:tcBorders>
          </w:tcPr>
          <w:p w14:paraId="403D8AA5" w14:textId="77777777" w:rsidR="006B6554" w:rsidRPr="006B6554" w:rsidRDefault="006B6554" w:rsidP="006B6554">
            <w:pPr>
              <w:pStyle w:val="CETBodytext"/>
              <w:rPr>
                <w:lang w:val="en-GB"/>
              </w:rPr>
            </w:pPr>
            <w:r w:rsidRPr="006B6554">
              <w:rPr>
                <w:rFonts w:hint="eastAsia"/>
                <w:lang w:val="en-GB"/>
              </w:rPr>
              <w:t>Meaning</w:t>
            </w:r>
          </w:p>
        </w:tc>
        <w:tc>
          <w:tcPr>
            <w:tcW w:w="3041" w:type="dxa"/>
            <w:tcBorders>
              <w:top w:val="single" w:sz="12" w:space="0" w:color="auto"/>
              <w:bottom w:val="single" w:sz="8" w:space="0" w:color="auto"/>
            </w:tcBorders>
          </w:tcPr>
          <w:p w14:paraId="13FCB8A2" w14:textId="77777777" w:rsidR="006B6554" w:rsidRPr="006B6554" w:rsidRDefault="006B6554" w:rsidP="006B6554">
            <w:pPr>
              <w:pStyle w:val="CETBodytext"/>
              <w:rPr>
                <w:lang w:val="en-GB"/>
              </w:rPr>
            </w:pPr>
            <w:r w:rsidRPr="006B6554">
              <w:rPr>
                <w:rFonts w:hint="eastAsia"/>
                <w:lang w:val="en-GB"/>
              </w:rPr>
              <w:t>Range of disruption intensity (</w:t>
            </w:r>
            <w:r w:rsidRPr="006B6554">
              <w:rPr>
                <w:lang w:val="en-GB"/>
              </w:rPr>
              <w:t>I</w:t>
            </w:r>
            <w:r w:rsidRPr="006B6554">
              <w:rPr>
                <w:rFonts w:hint="eastAsia"/>
                <w:lang w:val="en-GB"/>
              </w:rPr>
              <w:t>)</w:t>
            </w:r>
          </w:p>
        </w:tc>
      </w:tr>
      <w:tr w:rsidR="006B6554" w:rsidRPr="00DD1850" w14:paraId="018EAB76" w14:textId="0A58FBFC" w:rsidTr="0006157F">
        <w:tc>
          <w:tcPr>
            <w:tcW w:w="1301" w:type="dxa"/>
            <w:tcBorders>
              <w:top w:val="single" w:sz="8" w:space="0" w:color="auto"/>
            </w:tcBorders>
          </w:tcPr>
          <w:p w14:paraId="02478DEC" w14:textId="77777777" w:rsidR="006B6554" w:rsidRPr="006B6554" w:rsidRDefault="006B6554" w:rsidP="006B6554">
            <w:pPr>
              <w:pStyle w:val="CETBodytext"/>
              <w:rPr>
                <w:lang w:val="en-GB"/>
              </w:rPr>
            </w:pPr>
            <w:r w:rsidRPr="006B6554">
              <w:rPr>
                <w:rFonts w:hint="eastAsia"/>
                <w:lang w:val="en-GB"/>
              </w:rPr>
              <w:t>I</w:t>
            </w:r>
          </w:p>
        </w:tc>
        <w:tc>
          <w:tcPr>
            <w:tcW w:w="1796" w:type="dxa"/>
            <w:tcBorders>
              <w:top w:val="single" w:sz="8" w:space="0" w:color="auto"/>
            </w:tcBorders>
          </w:tcPr>
          <w:p w14:paraId="0E1C5B39" w14:textId="77777777" w:rsidR="006B6554" w:rsidRPr="006B6554" w:rsidRDefault="006B6554" w:rsidP="006B6554">
            <w:pPr>
              <w:pStyle w:val="CETBodytext"/>
              <w:rPr>
                <w:lang w:val="en-GB"/>
              </w:rPr>
            </w:pPr>
            <w:r w:rsidRPr="006B6554">
              <w:rPr>
                <w:rFonts w:hint="eastAsia"/>
                <w:lang w:val="en-GB"/>
              </w:rPr>
              <w:t>Very low</w:t>
            </w:r>
          </w:p>
        </w:tc>
        <w:tc>
          <w:tcPr>
            <w:tcW w:w="3041" w:type="dxa"/>
            <w:tcBorders>
              <w:top w:val="single" w:sz="8" w:space="0" w:color="auto"/>
            </w:tcBorders>
          </w:tcPr>
          <w:p w14:paraId="70E44DEF" w14:textId="77777777" w:rsidR="006B6554" w:rsidRPr="006B6554" w:rsidRDefault="006B6554" w:rsidP="006B6554">
            <w:pPr>
              <w:pStyle w:val="CETBodytext"/>
              <w:rPr>
                <w:lang w:val="en-GB"/>
              </w:rPr>
            </w:pPr>
            <w:r w:rsidRPr="006B6554">
              <w:rPr>
                <w:rFonts w:hint="eastAsia"/>
                <w:lang w:val="en-GB"/>
              </w:rPr>
              <w:t>(</w:t>
            </w:r>
            <w:r w:rsidRPr="006B6554">
              <w:rPr>
                <w:lang w:val="en-GB"/>
              </w:rPr>
              <w:t>0,0.2</w:t>
            </w:r>
            <w:r w:rsidRPr="006B6554">
              <w:rPr>
                <w:rFonts w:hint="eastAsia"/>
                <w:lang w:val="en-GB"/>
              </w:rPr>
              <w:t>)</w:t>
            </w:r>
          </w:p>
        </w:tc>
      </w:tr>
      <w:tr w:rsidR="006B6554" w:rsidRPr="00DD1850" w14:paraId="3A3CED47" w14:textId="0F2DB1E2" w:rsidTr="0006157F">
        <w:tc>
          <w:tcPr>
            <w:tcW w:w="1301" w:type="dxa"/>
          </w:tcPr>
          <w:p w14:paraId="5954750E" w14:textId="77777777" w:rsidR="006B6554" w:rsidRPr="006B6554" w:rsidRDefault="006B6554" w:rsidP="006B6554">
            <w:pPr>
              <w:pStyle w:val="CETBodytext"/>
              <w:rPr>
                <w:lang w:val="en-GB"/>
              </w:rPr>
            </w:pPr>
            <w:r w:rsidRPr="006B6554">
              <w:rPr>
                <w:rFonts w:hint="eastAsia"/>
                <w:lang w:val="en-GB"/>
              </w:rPr>
              <w:t>II</w:t>
            </w:r>
          </w:p>
        </w:tc>
        <w:tc>
          <w:tcPr>
            <w:tcW w:w="1796" w:type="dxa"/>
          </w:tcPr>
          <w:p w14:paraId="181B73DB" w14:textId="77777777" w:rsidR="006B6554" w:rsidRPr="006B6554" w:rsidRDefault="006B6554" w:rsidP="006B6554">
            <w:pPr>
              <w:pStyle w:val="CETBodytext"/>
              <w:rPr>
                <w:lang w:val="en-GB"/>
              </w:rPr>
            </w:pPr>
            <w:r w:rsidRPr="006B6554">
              <w:rPr>
                <w:rFonts w:hint="eastAsia"/>
                <w:lang w:val="en-GB"/>
              </w:rPr>
              <w:t>Low</w:t>
            </w:r>
          </w:p>
        </w:tc>
        <w:tc>
          <w:tcPr>
            <w:tcW w:w="3041" w:type="dxa"/>
          </w:tcPr>
          <w:p w14:paraId="7038485C" w14:textId="77777777" w:rsidR="006B6554" w:rsidRPr="006B6554" w:rsidRDefault="006B6554" w:rsidP="006B6554">
            <w:pPr>
              <w:pStyle w:val="CETBodytext"/>
              <w:rPr>
                <w:lang w:val="en-GB"/>
              </w:rPr>
            </w:pPr>
            <w:r w:rsidRPr="006B6554">
              <w:rPr>
                <w:rFonts w:hint="eastAsia"/>
                <w:lang w:val="en-GB"/>
              </w:rPr>
              <w:t>(</w:t>
            </w:r>
            <w:r w:rsidRPr="006B6554">
              <w:rPr>
                <w:lang w:val="en-GB"/>
              </w:rPr>
              <w:t>0.2,0.4</w:t>
            </w:r>
            <w:r w:rsidRPr="006B6554">
              <w:rPr>
                <w:rFonts w:hint="eastAsia"/>
                <w:lang w:val="en-GB"/>
              </w:rPr>
              <w:t>)</w:t>
            </w:r>
          </w:p>
        </w:tc>
      </w:tr>
      <w:tr w:rsidR="006B6554" w:rsidRPr="00DD1850" w14:paraId="38287733" w14:textId="1A0106DD" w:rsidTr="0006157F">
        <w:tc>
          <w:tcPr>
            <w:tcW w:w="1301" w:type="dxa"/>
          </w:tcPr>
          <w:p w14:paraId="4E67A05F" w14:textId="77777777" w:rsidR="006B6554" w:rsidRPr="006B6554" w:rsidRDefault="006B6554" w:rsidP="006B6554">
            <w:pPr>
              <w:pStyle w:val="CETBodytext"/>
              <w:rPr>
                <w:lang w:val="en-GB"/>
              </w:rPr>
            </w:pPr>
            <w:r w:rsidRPr="006B6554">
              <w:rPr>
                <w:rFonts w:hint="eastAsia"/>
                <w:lang w:val="en-GB"/>
              </w:rPr>
              <w:t>III</w:t>
            </w:r>
          </w:p>
        </w:tc>
        <w:tc>
          <w:tcPr>
            <w:tcW w:w="1796" w:type="dxa"/>
          </w:tcPr>
          <w:p w14:paraId="788045B5" w14:textId="77777777" w:rsidR="006B6554" w:rsidRPr="006B6554" w:rsidRDefault="006B6554" w:rsidP="006B6554">
            <w:pPr>
              <w:pStyle w:val="CETBodytext"/>
              <w:rPr>
                <w:lang w:val="en-GB"/>
              </w:rPr>
            </w:pPr>
            <w:r w:rsidRPr="006B6554">
              <w:rPr>
                <w:rFonts w:hint="eastAsia"/>
                <w:lang w:val="en-GB"/>
              </w:rPr>
              <w:t>Moderate</w:t>
            </w:r>
          </w:p>
        </w:tc>
        <w:tc>
          <w:tcPr>
            <w:tcW w:w="3041" w:type="dxa"/>
          </w:tcPr>
          <w:p w14:paraId="6BFF31DA" w14:textId="77777777" w:rsidR="006B6554" w:rsidRPr="006B6554" w:rsidRDefault="006B6554" w:rsidP="006B6554">
            <w:pPr>
              <w:pStyle w:val="CETBodytext"/>
              <w:rPr>
                <w:lang w:val="en-GB"/>
              </w:rPr>
            </w:pPr>
            <w:r w:rsidRPr="006B6554">
              <w:rPr>
                <w:rFonts w:hint="eastAsia"/>
                <w:lang w:val="en-GB"/>
              </w:rPr>
              <w:t>(</w:t>
            </w:r>
            <w:r w:rsidRPr="006B6554">
              <w:rPr>
                <w:lang w:val="en-GB"/>
              </w:rPr>
              <w:t>0.4,0.6</w:t>
            </w:r>
            <w:r w:rsidRPr="006B6554">
              <w:rPr>
                <w:rFonts w:hint="eastAsia"/>
                <w:lang w:val="en-GB"/>
              </w:rPr>
              <w:t>)</w:t>
            </w:r>
          </w:p>
        </w:tc>
      </w:tr>
      <w:tr w:rsidR="006B6554" w:rsidRPr="00DD1850" w14:paraId="2ACE7E46" w14:textId="6F0AC242" w:rsidTr="0006157F">
        <w:tc>
          <w:tcPr>
            <w:tcW w:w="1301" w:type="dxa"/>
          </w:tcPr>
          <w:p w14:paraId="0371B4E0" w14:textId="77777777" w:rsidR="006B6554" w:rsidRPr="006B6554" w:rsidRDefault="006B6554" w:rsidP="006B6554">
            <w:pPr>
              <w:pStyle w:val="CETBodytext"/>
              <w:rPr>
                <w:lang w:val="en-GB"/>
              </w:rPr>
            </w:pPr>
            <w:r w:rsidRPr="006B6554">
              <w:rPr>
                <w:rFonts w:hint="eastAsia"/>
                <w:lang w:val="en-GB"/>
              </w:rPr>
              <w:t>IV</w:t>
            </w:r>
          </w:p>
        </w:tc>
        <w:tc>
          <w:tcPr>
            <w:tcW w:w="1796" w:type="dxa"/>
          </w:tcPr>
          <w:p w14:paraId="3C34A495" w14:textId="77777777" w:rsidR="006B6554" w:rsidRPr="006B6554" w:rsidRDefault="006B6554" w:rsidP="006B6554">
            <w:pPr>
              <w:pStyle w:val="CETBodytext"/>
              <w:rPr>
                <w:lang w:val="en-GB"/>
              </w:rPr>
            </w:pPr>
            <w:r w:rsidRPr="006B6554">
              <w:rPr>
                <w:rFonts w:hint="eastAsia"/>
                <w:lang w:val="en-GB"/>
              </w:rPr>
              <w:t>High</w:t>
            </w:r>
          </w:p>
        </w:tc>
        <w:tc>
          <w:tcPr>
            <w:tcW w:w="3041" w:type="dxa"/>
          </w:tcPr>
          <w:p w14:paraId="4A9AAC3D" w14:textId="77777777" w:rsidR="006B6554" w:rsidRPr="006B6554" w:rsidRDefault="006B6554" w:rsidP="006B6554">
            <w:pPr>
              <w:pStyle w:val="CETBodytext"/>
              <w:rPr>
                <w:lang w:val="en-GB"/>
              </w:rPr>
            </w:pPr>
            <w:r w:rsidRPr="006B6554">
              <w:rPr>
                <w:rFonts w:hint="eastAsia"/>
                <w:lang w:val="en-GB"/>
              </w:rPr>
              <w:t>(</w:t>
            </w:r>
            <w:r w:rsidRPr="006B6554">
              <w:rPr>
                <w:lang w:val="en-GB"/>
              </w:rPr>
              <w:t>0.6,0.8</w:t>
            </w:r>
            <w:r w:rsidRPr="006B6554">
              <w:rPr>
                <w:rFonts w:hint="eastAsia"/>
                <w:lang w:val="en-GB"/>
              </w:rPr>
              <w:t>)</w:t>
            </w:r>
          </w:p>
        </w:tc>
      </w:tr>
      <w:tr w:rsidR="006B6554" w:rsidRPr="00DD1850" w14:paraId="5FCBDCCE" w14:textId="34DAD40D" w:rsidTr="0006157F">
        <w:tc>
          <w:tcPr>
            <w:tcW w:w="1301" w:type="dxa"/>
          </w:tcPr>
          <w:p w14:paraId="4ECEFC4D" w14:textId="77777777" w:rsidR="006B6554" w:rsidRPr="006B6554" w:rsidRDefault="006B6554" w:rsidP="006B6554">
            <w:pPr>
              <w:pStyle w:val="CETBodytext"/>
              <w:rPr>
                <w:lang w:val="en-GB"/>
              </w:rPr>
            </w:pPr>
            <w:r w:rsidRPr="006B6554">
              <w:rPr>
                <w:rFonts w:hint="eastAsia"/>
                <w:lang w:val="en-GB"/>
              </w:rPr>
              <w:t>V</w:t>
            </w:r>
          </w:p>
        </w:tc>
        <w:tc>
          <w:tcPr>
            <w:tcW w:w="1796" w:type="dxa"/>
          </w:tcPr>
          <w:p w14:paraId="75B1EAA4" w14:textId="77777777" w:rsidR="006B6554" w:rsidRPr="006B6554" w:rsidRDefault="006B6554" w:rsidP="006B6554">
            <w:pPr>
              <w:pStyle w:val="CETBodytext"/>
              <w:rPr>
                <w:lang w:val="en-GB"/>
              </w:rPr>
            </w:pPr>
            <w:r w:rsidRPr="006B6554">
              <w:rPr>
                <w:rFonts w:hint="eastAsia"/>
                <w:lang w:val="en-GB"/>
              </w:rPr>
              <w:t>Very</w:t>
            </w:r>
          </w:p>
        </w:tc>
        <w:tc>
          <w:tcPr>
            <w:tcW w:w="3041" w:type="dxa"/>
          </w:tcPr>
          <w:p w14:paraId="45837928" w14:textId="77777777" w:rsidR="006B6554" w:rsidRPr="006B6554" w:rsidRDefault="006B6554" w:rsidP="006B6554">
            <w:pPr>
              <w:pStyle w:val="CETBodytext"/>
              <w:rPr>
                <w:lang w:val="en-GB"/>
              </w:rPr>
            </w:pPr>
            <w:r w:rsidRPr="006B6554">
              <w:rPr>
                <w:rFonts w:hint="eastAsia"/>
                <w:lang w:val="en-GB"/>
              </w:rPr>
              <w:t>(</w:t>
            </w:r>
            <w:r w:rsidRPr="006B6554">
              <w:rPr>
                <w:lang w:val="en-GB"/>
              </w:rPr>
              <w:t>0.8,1.0</w:t>
            </w:r>
            <w:r w:rsidRPr="006B6554">
              <w:rPr>
                <w:rFonts w:hint="eastAsia"/>
                <w:lang w:val="en-GB"/>
              </w:rPr>
              <w:t>)</w:t>
            </w:r>
          </w:p>
        </w:tc>
      </w:tr>
    </w:tbl>
    <w:p w14:paraId="2AE2AC8B" w14:textId="77777777" w:rsidR="00633562" w:rsidRPr="001100A6" w:rsidRDefault="00633562" w:rsidP="00633562">
      <w:pPr>
        <w:ind w:firstLineChars="200" w:firstLine="480"/>
        <w:jc w:val="center"/>
        <w:rPr>
          <w:rFonts w:ascii="Times New Roman" w:hAnsi="Times New Roman"/>
          <w:sz w:val="24"/>
          <w:szCs w:val="24"/>
        </w:rPr>
      </w:pPr>
    </w:p>
    <w:p w14:paraId="550224F0" w14:textId="5091B219" w:rsidR="00633562" w:rsidRPr="00633562" w:rsidRDefault="00633562" w:rsidP="00633562">
      <w:pPr>
        <w:rPr>
          <w:rFonts w:cs="Arial"/>
          <w:szCs w:val="18"/>
        </w:rPr>
      </w:pPr>
      <w:r w:rsidRPr="00633562">
        <w:rPr>
          <w:rFonts w:cs="Arial"/>
          <w:szCs w:val="18"/>
        </w:rPr>
        <w:t xml:space="preserve">In the light of the abovementioned conditions, the score of each index identified by experts is shown in Table </w:t>
      </w:r>
      <w:r w:rsidR="006B6554">
        <w:rPr>
          <w:rFonts w:cs="Arial"/>
          <w:szCs w:val="18"/>
        </w:rPr>
        <w:t>2</w:t>
      </w:r>
      <w:r w:rsidRPr="00633562">
        <w:rPr>
          <w:rFonts w:cs="Arial"/>
          <w:szCs w:val="18"/>
        </w:rPr>
        <w:t>. The normalized formulas are utilized to determine the normalized value of each index based on the CT. Due to the variables of criterion layer B</w:t>
      </w:r>
      <w:r w:rsidRPr="00633562">
        <w:rPr>
          <w:rFonts w:cs="Arial"/>
          <w:szCs w:val="18"/>
          <w:vertAlign w:val="subscript"/>
        </w:rPr>
        <w:t>1</w:t>
      </w:r>
      <w:r w:rsidRPr="00633562">
        <w:rPr>
          <w:rFonts w:cs="Arial"/>
          <w:szCs w:val="18"/>
        </w:rPr>
        <w:t>, B</w:t>
      </w:r>
      <w:r w:rsidRPr="00633562">
        <w:rPr>
          <w:rFonts w:cs="Arial"/>
          <w:szCs w:val="18"/>
          <w:vertAlign w:val="subscript"/>
        </w:rPr>
        <w:t>2</w:t>
      </w:r>
      <w:r w:rsidRPr="00633562">
        <w:rPr>
          <w:rFonts w:cs="Arial"/>
          <w:szCs w:val="18"/>
        </w:rPr>
        <w:t>, B</w:t>
      </w:r>
      <w:r w:rsidRPr="00633562">
        <w:rPr>
          <w:rFonts w:cs="Arial"/>
          <w:szCs w:val="18"/>
          <w:vertAlign w:val="subscript"/>
        </w:rPr>
        <w:t>3</w:t>
      </w:r>
      <w:r w:rsidRPr="00633562">
        <w:rPr>
          <w:rFonts w:cs="Arial"/>
          <w:szCs w:val="18"/>
        </w:rPr>
        <w:t>, and B</w:t>
      </w:r>
      <w:r w:rsidRPr="00633562">
        <w:rPr>
          <w:rFonts w:cs="Arial"/>
          <w:szCs w:val="18"/>
          <w:vertAlign w:val="subscript"/>
        </w:rPr>
        <w:t>4</w:t>
      </w:r>
      <w:r w:rsidRPr="00633562">
        <w:rPr>
          <w:rFonts w:cs="Arial"/>
          <w:szCs w:val="18"/>
        </w:rPr>
        <w:t xml:space="preserve"> </w:t>
      </w:r>
      <w:r w:rsidR="0067311C">
        <w:rPr>
          <w:rFonts w:cs="Arial"/>
          <w:szCs w:val="18"/>
        </w:rPr>
        <w:t>having</w:t>
      </w:r>
      <w:r w:rsidRPr="00633562">
        <w:rPr>
          <w:rFonts w:cs="Arial"/>
          <w:szCs w:val="18"/>
        </w:rPr>
        <w:t xml:space="preserve"> 4, 1, 3, and 2 variables</w:t>
      </w:r>
      <w:r w:rsidR="0067311C">
        <w:rPr>
          <w:rFonts w:cs="Arial"/>
          <w:szCs w:val="18"/>
        </w:rPr>
        <w:t>,</w:t>
      </w:r>
      <w:r w:rsidRPr="00633562">
        <w:rPr>
          <w:rFonts w:cs="Arial"/>
          <w:szCs w:val="18"/>
        </w:rPr>
        <w:t xml:space="preserve"> respectively, the normalized values of </w:t>
      </w:r>
      <w:r w:rsidR="00910764">
        <w:rPr>
          <w:rFonts w:cs="Arial"/>
          <w:szCs w:val="18"/>
        </w:rPr>
        <w:t>indexes can be determined by Eq</w:t>
      </w:r>
      <w:r w:rsidRPr="00633562">
        <w:rPr>
          <w:rFonts w:cs="Arial"/>
          <w:szCs w:val="18"/>
        </w:rPr>
        <w:t>(8</w:t>
      </w:r>
      <w:r w:rsidR="00910764">
        <w:rPr>
          <w:rFonts w:cs="Arial"/>
          <w:szCs w:val="18"/>
        </w:rPr>
        <w:t>), Eq</w:t>
      </w:r>
      <w:r w:rsidRPr="00633562">
        <w:rPr>
          <w:rFonts w:cs="Arial"/>
          <w:szCs w:val="18"/>
        </w:rPr>
        <w:t>(2</w:t>
      </w:r>
      <w:r w:rsidR="00910764">
        <w:rPr>
          <w:rFonts w:cs="Arial"/>
          <w:szCs w:val="18"/>
        </w:rPr>
        <w:t>), Eq</w:t>
      </w:r>
      <w:r w:rsidRPr="00633562">
        <w:rPr>
          <w:rFonts w:cs="Arial"/>
          <w:szCs w:val="18"/>
        </w:rPr>
        <w:t>(6</w:t>
      </w:r>
      <w:r w:rsidR="00910764">
        <w:rPr>
          <w:rFonts w:cs="Arial"/>
          <w:szCs w:val="18"/>
        </w:rPr>
        <w:t>), and Eq</w:t>
      </w:r>
      <w:r w:rsidRPr="00633562">
        <w:rPr>
          <w:rFonts w:cs="Arial"/>
          <w:szCs w:val="18"/>
        </w:rPr>
        <w:t xml:space="preserve">(4) respectively. Owing to the correlation between these four indexes, the non-complimentary principle is selected to determine the membership function value of </w:t>
      </w:r>
      <w:r w:rsidR="0067311C">
        <w:rPr>
          <w:rFonts w:cs="Arial"/>
          <w:szCs w:val="18"/>
        </w:rPr>
        <w:t xml:space="preserve">the </w:t>
      </w:r>
      <w:r w:rsidRPr="00633562">
        <w:rPr>
          <w:rFonts w:cs="Arial"/>
          <w:szCs w:val="18"/>
        </w:rPr>
        <w:t xml:space="preserve">criterion. The specific process is shown in Table </w:t>
      </w:r>
      <w:r w:rsidR="00910764">
        <w:rPr>
          <w:rFonts w:cs="Arial"/>
          <w:szCs w:val="18"/>
        </w:rPr>
        <w:t>2</w:t>
      </w:r>
      <w:r w:rsidRPr="00633562">
        <w:rPr>
          <w:rFonts w:cs="Arial"/>
          <w:szCs w:val="18"/>
        </w:rPr>
        <w:t>. It can be seen that the comprehensive disruption is 0.94. In accordance with the Eq. (</w:t>
      </w:r>
      <w:r w:rsidR="00910764">
        <w:rPr>
          <w:rFonts w:cs="Arial"/>
          <w:szCs w:val="18"/>
        </w:rPr>
        <w:t>11</w:t>
      </w:r>
      <w:r w:rsidRPr="00633562">
        <w:rPr>
          <w:rFonts w:cs="Arial"/>
          <w:szCs w:val="18"/>
        </w:rPr>
        <w:t>), the prior probability of the factors in DBN affected by the disruptions can be determined.</w:t>
      </w:r>
    </w:p>
    <w:p w14:paraId="4E50003A" w14:textId="60D29021" w:rsidR="00633562" w:rsidRPr="006B6554" w:rsidRDefault="00633562" w:rsidP="006B6554">
      <w:pPr>
        <w:pStyle w:val="CETTabletitle"/>
      </w:pPr>
      <w:r w:rsidRPr="006B6554">
        <w:lastRenderedPageBreak/>
        <w:t xml:space="preserve">Table </w:t>
      </w:r>
      <w:r w:rsidR="006B6554" w:rsidRPr="006B6554">
        <w:t>2</w:t>
      </w:r>
      <w:r w:rsidRPr="006B6554">
        <w:t xml:space="preserve"> Evaluation results of the disruption intensity (I)</w:t>
      </w: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535"/>
        <w:gridCol w:w="711"/>
        <w:gridCol w:w="1221"/>
        <w:gridCol w:w="1233"/>
        <w:gridCol w:w="1210"/>
        <w:gridCol w:w="1481"/>
      </w:tblGrid>
      <w:tr w:rsidR="00633562" w14:paraId="1BB08E71" w14:textId="77777777" w:rsidTr="0006157F">
        <w:trPr>
          <w:trHeight w:val="867"/>
        </w:trPr>
        <w:tc>
          <w:tcPr>
            <w:tcW w:w="2051" w:type="dxa"/>
            <w:gridSpan w:val="2"/>
            <w:tcBorders>
              <w:top w:val="single" w:sz="12" w:space="0" w:color="auto"/>
              <w:bottom w:val="single" w:sz="8" w:space="0" w:color="auto"/>
            </w:tcBorders>
          </w:tcPr>
          <w:p w14:paraId="6E258044" w14:textId="77777777" w:rsidR="00633562" w:rsidRPr="006B6554" w:rsidRDefault="00633562" w:rsidP="006B6554">
            <w:pPr>
              <w:pStyle w:val="CETBodytext"/>
              <w:rPr>
                <w:lang w:val="en-GB"/>
              </w:rPr>
            </w:pPr>
            <w:r w:rsidRPr="006B6554">
              <w:rPr>
                <w:rFonts w:hint="eastAsia"/>
                <w:lang w:val="en-GB"/>
              </w:rPr>
              <w:t>Evaluation index</w:t>
            </w:r>
          </w:p>
        </w:tc>
        <w:tc>
          <w:tcPr>
            <w:tcW w:w="711" w:type="dxa"/>
            <w:tcBorders>
              <w:top w:val="single" w:sz="12" w:space="0" w:color="auto"/>
              <w:bottom w:val="single" w:sz="8" w:space="0" w:color="auto"/>
            </w:tcBorders>
          </w:tcPr>
          <w:p w14:paraId="2FB6B0AF" w14:textId="77777777" w:rsidR="00633562" w:rsidRPr="006B6554" w:rsidRDefault="00633562" w:rsidP="006B6554">
            <w:pPr>
              <w:pStyle w:val="CETBodytext"/>
              <w:rPr>
                <w:lang w:val="en-GB"/>
              </w:rPr>
            </w:pPr>
            <w:r w:rsidRPr="006B6554">
              <w:rPr>
                <w:rFonts w:hint="eastAsia"/>
                <w:lang w:val="en-GB"/>
              </w:rPr>
              <w:t>Score of index</w:t>
            </w:r>
          </w:p>
          <w:p w14:paraId="0EA4E658" w14:textId="77777777" w:rsidR="00633562" w:rsidRPr="006B6554" w:rsidRDefault="00633562" w:rsidP="006B6554">
            <w:pPr>
              <w:pStyle w:val="CETBodytext"/>
              <w:rPr>
                <w:lang w:val="en-GB"/>
              </w:rPr>
            </w:pPr>
            <w:r w:rsidRPr="006B6554">
              <w:rPr>
                <w:lang w:val="en-GB"/>
              </w:rPr>
              <w:t>(C)</w:t>
            </w:r>
          </w:p>
        </w:tc>
        <w:tc>
          <w:tcPr>
            <w:tcW w:w="1221" w:type="dxa"/>
            <w:tcBorders>
              <w:top w:val="single" w:sz="12" w:space="0" w:color="auto"/>
              <w:bottom w:val="single" w:sz="8" w:space="0" w:color="auto"/>
            </w:tcBorders>
          </w:tcPr>
          <w:p w14:paraId="67257D5B" w14:textId="77777777" w:rsidR="00633562" w:rsidRPr="006B6554" w:rsidRDefault="00633562" w:rsidP="006B6554">
            <w:pPr>
              <w:pStyle w:val="CETBodytext"/>
              <w:rPr>
                <w:lang w:val="en-GB"/>
              </w:rPr>
            </w:pPr>
            <w:bookmarkStart w:id="20" w:name="OLE_LINK34"/>
            <w:r w:rsidRPr="006B6554">
              <w:rPr>
                <w:lang w:val="en-GB"/>
              </w:rPr>
              <w:t>Normalized</w:t>
            </w:r>
            <w:r w:rsidRPr="006B6554">
              <w:rPr>
                <w:rFonts w:hint="eastAsia"/>
                <w:lang w:val="en-GB"/>
              </w:rPr>
              <w:t xml:space="preserve"> </w:t>
            </w:r>
            <w:bookmarkEnd w:id="20"/>
            <w:r w:rsidRPr="006B6554">
              <w:rPr>
                <w:rFonts w:hint="eastAsia"/>
                <w:lang w:val="en-GB"/>
              </w:rPr>
              <w:t>value of index</w:t>
            </w:r>
            <w:r w:rsidRPr="006B6554">
              <w:rPr>
                <w:lang w:val="en-GB"/>
              </w:rPr>
              <w:t xml:space="preserve"> (C)</w:t>
            </w:r>
          </w:p>
        </w:tc>
        <w:tc>
          <w:tcPr>
            <w:tcW w:w="1233" w:type="dxa"/>
            <w:tcBorders>
              <w:top w:val="single" w:sz="12" w:space="0" w:color="auto"/>
              <w:bottom w:val="single" w:sz="8" w:space="0" w:color="auto"/>
            </w:tcBorders>
          </w:tcPr>
          <w:p w14:paraId="2446FF86" w14:textId="77777777" w:rsidR="00633562" w:rsidRPr="006B6554" w:rsidRDefault="00633562" w:rsidP="006B6554">
            <w:pPr>
              <w:pStyle w:val="CETBodytext"/>
              <w:rPr>
                <w:lang w:val="en-GB"/>
              </w:rPr>
            </w:pPr>
            <w:r w:rsidRPr="006B6554">
              <w:rPr>
                <w:lang w:val="en-GB"/>
              </w:rPr>
              <w:t>Value of criterion layer (B)</w:t>
            </w:r>
          </w:p>
        </w:tc>
        <w:tc>
          <w:tcPr>
            <w:tcW w:w="1210" w:type="dxa"/>
            <w:tcBorders>
              <w:top w:val="single" w:sz="12" w:space="0" w:color="auto"/>
              <w:bottom w:val="single" w:sz="8" w:space="0" w:color="auto"/>
            </w:tcBorders>
          </w:tcPr>
          <w:p w14:paraId="52C58DFF" w14:textId="77777777" w:rsidR="00633562" w:rsidRPr="006B6554" w:rsidRDefault="00633562" w:rsidP="006B6554">
            <w:pPr>
              <w:pStyle w:val="CETBodytext"/>
              <w:rPr>
                <w:lang w:val="en-GB"/>
              </w:rPr>
            </w:pPr>
            <w:r w:rsidRPr="006B6554">
              <w:rPr>
                <w:lang w:val="en-GB"/>
              </w:rPr>
              <w:t>Normalized</w:t>
            </w:r>
            <w:r w:rsidRPr="006B6554">
              <w:rPr>
                <w:rFonts w:hint="eastAsia"/>
                <w:lang w:val="en-GB"/>
              </w:rPr>
              <w:t xml:space="preserve"> value of </w:t>
            </w:r>
            <w:r w:rsidRPr="006B6554">
              <w:rPr>
                <w:lang w:val="en-GB"/>
              </w:rPr>
              <w:t>criterion layer (B)</w:t>
            </w:r>
          </w:p>
        </w:tc>
        <w:tc>
          <w:tcPr>
            <w:tcW w:w="1481" w:type="dxa"/>
            <w:tcBorders>
              <w:top w:val="single" w:sz="12" w:space="0" w:color="auto"/>
              <w:bottom w:val="single" w:sz="8" w:space="0" w:color="auto"/>
            </w:tcBorders>
          </w:tcPr>
          <w:p w14:paraId="7FE55310" w14:textId="77777777" w:rsidR="00633562" w:rsidRPr="006B6554" w:rsidRDefault="00633562" w:rsidP="006B6554">
            <w:pPr>
              <w:pStyle w:val="CETBodytext"/>
              <w:rPr>
                <w:lang w:val="en-GB"/>
              </w:rPr>
            </w:pPr>
            <w:r w:rsidRPr="006B6554">
              <w:rPr>
                <w:lang w:val="en-GB"/>
              </w:rPr>
              <w:t>Comprehensive value of goal layer (A)</w:t>
            </w:r>
          </w:p>
        </w:tc>
      </w:tr>
      <w:tr w:rsidR="00633562" w14:paraId="73D33BE8" w14:textId="77777777" w:rsidTr="0006157F">
        <w:trPr>
          <w:trHeight w:val="213"/>
        </w:trPr>
        <w:tc>
          <w:tcPr>
            <w:tcW w:w="1516" w:type="dxa"/>
            <w:vMerge w:val="restart"/>
            <w:tcBorders>
              <w:top w:val="single" w:sz="8" w:space="0" w:color="auto"/>
            </w:tcBorders>
          </w:tcPr>
          <w:p w14:paraId="5F5541D1" w14:textId="77777777" w:rsidR="00633562" w:rsidRPr="006B6554" w:rsidRDefault="00633562" w:rsidP="006B6554">
            <w:pPr>
              <w:pStyle w:val="CETBodytext"/>
              <w:rPr>
                <w:lang w:val="en-GB"/>
              </w:rPr>
            </w:pPr>
            <w:r w:rsidRPr="006B6554">
              <w:rPr>
                <w:lang w:val="en-GB"/>
              </w:rPr>
              <w:t>Geophysical factors</w:t>
            </w:r>
          </w:p>
          <w:p w14:paraId="64CAD4AD" w14:textId="77777777" w:rsidR="00633562" w:rsidRPr="006B6554" w:rsidRDefault="00633562" w:rsidP="006B6554">
            <w:pPr>
              <w:pStyle w:val="CETBodytext"/>
              <w:rPr>
                <w:lang w:val="en-GB"/>
              </w:rPr>
            </w:pPr>
            <w:r w:rsidRPr="006B6554">
              <w:rPr>
                <w:lang w:val="en-GB"/>
              </w:rPr>
              <w:t xml:space="preserve"> (B1)</w:t>
            </w:r>
          </w:p>
        </w:tc>
        <w:tc>
          <w:tcPr>
            <w:tcW w:w="535" w:type="dxa"/>
            <w:tcBorders>
              <w:top w:val="single" w:sz="8" w:space="0" w:color="auto"/>
            </w:tcBorders>
          </w:tcPr>
          <w:p w14:paraId="544DE450" w14:textId="77777777" w:rsidR="00633562" w:rsidRPr="006B6554" w:rsidRDefault="00633562" w:rsidP="006B6554">
            <w:pPr>
              <w:pStyle w:val="CETBodytext"/>
              <w:rPr>
                <w:lang w:val="en-GB"/>
              </w:rPr>
            </w:pPr>
            <w:r w:rsidRPr="006B6554">
              <w:rPr>
                <w:rFonts w:hint="eastAsia"/>
                <w:lang w:val="en-GB"/>
              </w:rPr>
              <w:t>C1</w:t>
            </w:r>
          </w:p>
        </w:tc>
        <w:tc>
          <w:tcPr>
            <w:tcW w:w="711" w:type="dxa"/>
            <w:tcBorders>
              <w:top w:val="single" w:sz="8" w:space="0" w:color="auto"/>
            </w:tcBorders>
          </w:tcPr>
          <w:p w14:paraId="4B3CA761" w14:textId="77777777" w:rsidR="00633562" w:rsidRPr="006B6554" w:rsidRDefault="00633562" w:rsidP="006B6554">
            <w:pPr>
              <w:pStyle w:val="CETBodytext"/>
              <w:rPr>
                <w:lang w:val="en-GB"/>
              </w:rPr>
            </w:pPr>
            <w:r w:rsidRPr="006B6554">
              <w:rPr>
                <w:rFonts w:hint="eastAsia"/>
                <w:lang w:val="en-GB"/>
              </w:rPr>
              <w:t>0.99</w:t>
            </w:r>
          </w:p>
        </w:tc>
        <w:tc>
          <w:tcPr>
            <w:tcW w:w="1221" w:type="dxa"/>
            <w:tcBorders>
              <w:top w:val="single" w:sz="8" w:space="0" w:color="auto"/>
            </w:tcBorders>
          </w:tcPr>
          <w:p w14:paraId="70EE17AA" w14:textId="77777777" w:rsidR="00633562" w:rsidRPr="006B6554" w:rsidRDefault="00633562" w:rsidP="006B6554">
            <w:pPr>
              <w:pStyle w:val="CETBodytext"/>
              <w:rPr>
                <w:lang w:val="en-GB"/>
              </w:rPr>
            </w:pPr>
            <w:r w:rsidRPr="006B6554">
              <w:rPr>
                <w:rFonts w:hint="eastAsia"/>
                <w:lang w:val="en-GB"/>
              </w:rPr>
              <w:t>0.99</w:t>
            </w:r>
          </w:p>
        </w:tc>
        <w:tc>
          <w:tcPr>
            <w:tcW w:w="1233" w:type="dxa"/>
            <w:vMerge w:val="restart"/>
            <w:tcBorders>
              <w:top w:val="single" w:sz="8" w:space="0" w:color="auto"/>
            </w:tcBorders>
          </w:tcPr>
          <w:p w14:paraId="790ED661" w14:textId="77777777" w:rsidR="00633562" w:rsidRPr="006B6554" w:rsidRDefault="00633562" w:rsidP="006B6554">
            <w:pPr>
              <w:pStyle w:val="CETBodytext"/>
              <w:rPr>
                <w:lang w:val="en-GB"/>
              </w:rPr>
            </w:pPr>
            <w:r w:rsidRPr="006B6554">
              <w:rPr>
                <w:rFonts w:hint="eastAsia"/>
                <w:lang w:val="en-GB"/>
              </w:rPr>
              <w:t>0.92</w:t>
            </w:r>
          </w:p>
        </w:tc>
        <w:tc>
          <w:tcPr>
            <w:tcW w:w="1210" w:type="dxa"/>
            <w:vMerge w:val="restart"/>
            <w:tcBorders>
              <w:top w:val="single" w:sz="8" w:space="0" w:color="auto"/>
            </w:tcBorders>
          </w:tcPr>
          <w:p w14:paraId="494350BB" w14:textId="77777777" w:rsidR="00633562" w:rsidRPr="006B6554" w:rsidRDefault="00633562" w:rsidP="006B6554">
            <w:pPr>
              <w:pStyle w:val="CETBodytext"/>
              <w:rPr>
                <w:lang w:val="en-GB"/>
              </w:rPr>
            </w:pPr>
            <w:r w:rsidRPr="006B6554">
              <w:rPr>
                <w:rFonts w:hint="eastAsia"/>
                <w:lang w:val="en-GB"/>
              </w:rPr>
              <w:t>0.9</w:t>
            </w:r>
            <w:r w:rsidRPr="006B6554">
              <w:rPr>
                <w:lang w:val="en-GB"/>
              </w:rPr>
              <w:t>6</w:t>
            </w:r>
          </w:p>
        </w:tc>
        <w:tc>
          <w:tcPr>
            <w:tcW w:w="1481" w:type="dxa"/>
            <w:vMerge w:val="restart"/>
            <w:tcBorders>
              <w:top w:val="single" w:sz="8" w:space="0" w:color="auto"/>
            </w:tcBorders>
          </w:tcPr>
          <w:p w14:paraId="367CFBC3" w14:textId="77777777" w:rsidR="00633562" w:rsidRPr="006B6554" w:rsidRDefault="00633562" w:rsidP="006B6554">
            <w:pPr>
              <w:pStyle w:val="CETBodytext"/>
              <w:rPr>
                <w:lang w:val="en-GB"/>
              </w:rPr>
            </w:pPr>
            <w:r w:rsidRPr="006B6554">
              <w:rPr>
                <w:rFonts w:hint="eastAsia"/>
                <w:lang w:val="en-GB"/>
              </w:rPr>
              <w:t>0.9</w:t>
            </w:r>
            <w:r w:rsidRPr="006B6554">
              <w:rPr>
                <w:lang w:val="en-GB"/>
              </w:rPr>
              <w:t>4</w:t>
            </w:r>
          </w:p>
        </w:tc>
      </w:tr>
      <w:tr w:rsidR="00633562" w14:paraId="05863EAC" w14:textId="77777777" w:rsidTr="0006157F">
        <w:trPr>
          <w:trHeight w:val="213"/>
        </w:trPr>
        <w:tc>
          <w:tcPr>
            <w:tcW w:w="1516" w:type="dxa"/>
            <w:vMerge/>
          </w:tcPr>
          <w:p w14:paraId="09AE2BD8" w14:textId="77777777" w:rsidR="00633562" w:rsidRPr="006B6554" w:rsidRDefault="00633562" w:rsidP="006B6554">
            <w:pPr>
              <w:pStyle w:val="CETBodytext"/>
              <w:rPr>
                <w:lang w:val="en-GB"/>
              </w:rPr>
            </w:pPr>
          </w:p>
        </w:tc>
        <w:tc>
          <w:tcPr>
            <w:tcW w:w="535" w:type="dxa"/>
          </w:tcPr>
          <w:p w14:paraId="79D4BAFB" w14:textId="77777777" w:rsidR="00633562" w:rsidRPr="006B6554" w:rsidRDefault="00633562" w:rsidP="006B6554">
            <w:pPr>
              <w:pStyle w:val="CETBodytext"/>
              <w:rPr>
                <w:lang w:val="en-GB"/>
              </w:rPr>
            </w:pPr>
            <w:r w:rsidRPr="006B6554">
              <w:rPr>
                <w:rFonts w:hint="eastAsia"/>
                <w:lang w:val="en-GB"/>
              </w:rPr>
              <w:t>C</w:t>
            </w:r>
            <w:r w:rsidRPr="006B6554">
              <w:rPr>
                <w:lang w:val="en-GB"/>
              </w:rPr>
              <w:t>2</w:t>
            </w:r>
          </w:p>
        </w:tc>
        <w:tc>
          <w:tcPr>
            <w:tcW w:w="711" w:type="dxa"/>
          </w:tcPr>
          <w:p w14:paraId="71163441" w14:textId="77777777" w:rsidR="00633562" w:rsidRPr="006B6554" w:rsidRDefault="00633562" w:rsidP="006B6554">
            <w:pPr>
              <w:pStyle w:val="CETBodytext"/>
              <w:rPr>
                <w:lang w:val="en-GB"/>
              </w:rPr>
            </w:pPr>
            <w:r w:rsidRPr="006B6554">
              <w:rPr>
                <w:rFonts w:hint="eastAsia"/>
                <w:lang w:val="en-GB"/>
              </w:rPr>
              <w:t>0.87</w:t>
            </w:r>
          </w:p>
        </w:tc>
        <w:tc>
          <w:tcPr>
            <w:tcW w:w="1221" w:type="dxa"/>
          </w:tcPr>
          <w:p w14:paraId="7BDF923A" w14:textId="77777777" w:rsidR="00633562" w:rsidRPr="006B6554" w:rsidRDefault="00633562" w:rsidP="006B6554">
            <w:pPr>
              <w:pStyle w:val="CETBodytext"/>
              <w:rPr>
                <w:lang w:val="en-GB"/>
              </w:rPr>
            </w:pPr>
            <w:r w:rsidRPr="006B6554">
              <w:rPr>
                <w:rFonts w:hint="eastAsia"/>
                <w:lang w:val="en-GB"/>
              </w:rPr>
              <w:t>0.95</w:t>
            </w:r>
          </w:p>
        </w:tc>
        <w:tc>
          <w:tcPr>
            <w:tcW w:w="1233" w:type="dxa"/>
            <w:vMerge/>
          </w:tcPr>
          <w:p w14:paraId="4AF9BB92" w14:textId="77777777" w:rsidR="00633562" w:rsidRPr="006B6554" w:rsidRDefault="00633562" w:rsidP="006B6554">
            <w:pPr>
              <w:pStyle w:val="CETBodytext"/>
              <w:rPr>
                <w:lang w:val="en-GB"/>
              </w:rPr>
            </w:pPr>
          </w:p>
        </w:tc>
        <w:tc>
          <w:tcPr>
            <w:tcW w:w="1210" w:type="dxa"/>
            <w:vMerge/>
          </w:tcPr>
          <w:p w14:paraId="699DBDA8" w14:textId="77777777" w:rsidR="00633562" w:rsidRPr="006B6554" w:rsidRDefault="00633562" w:rsidP="006B6554">
            <w:pPr>
              <w:pStyle w:val="CETBodytext"/>
              <w:rPr>
                <w:lang w:val="en-GB"/>
              </w:rPr>
            </w:pPr>
          </w:p>
        </w:tc>
        <w:tc>
          <w:tcPr>
            <w:tcW w:w="1481" w:type="dxa"/>
            <w:vMerge/>
          </w:tcPr>
          <w:p w14:paraId="6381CC44" w14:textId="77777777" w:rsidR="00633562" w:rsidRPr="0092498A" w:rsidRDefault="00633562" w:rsidP="004A478D">
            <w:pPr>
              <w:rPr>
                <w:rFonts w:ascii="Times New Roman" w:hAnsi="Times New Roman"/>
                <w:szCs w:val="21"/>
              </w:rPr>
            </w:pPr>
          </w:p>
        </w:tc>
      </w:tr>
      <w:tr w:rsidR="00633562" w14:paraId="781A54BD" w14:textId="77777777" w:rsidTr="0006157F">
        <w:trPr>
          <w:trHeight w:val="213"/>
        </w:trPr>
        <w:tc>
          <w:tcPr>
            <w:tcW w:w="1516" w:type="dxa"/>
            <w:vMerge/>
          </w:tcPr>
          <w:p w14:paraId="0A1F0A87" w14:textId="77777777" w:rsidR="00633562" w:rsidRPr="006B6554" w:rsidRDefault="00633562" w:rsidP="006B6554">
            <w:pPr>
              <w:pStyle w:val="CETBodytext"/>
              <w:rPr>
                <w:lang w:val="en-GB"/>
              </w:rPr>
            </w:pPr>
          </w:p>
        </w:tc>
        <w:tc>
          <w:tcPr>
            <w:tcW w:w="535" w:type="dxa"/>
          </w:tcPr>
          <w:p w14:paraId="63E39FCD" w14:textId="77777777" w:rsidR="00633562" w:rsidRPr="006B6554" w:rsidRDefault="00633562" w:rsidP="006B6554">
            <w:pPr>
              <w:pStyle w:val="CETBodytext"/>
              <w:rPr>
                <w:lang w:val="en-GB"/>
              </w:rPr>
            </w:pPr>
            <w:r w:rsidRPr="006B6554">
              <w:rPr>
                <w:rFonts w:hint="eastAsia"/>
                <w:lang w:val="en-GB"/>
              </w:rPr>
              <w:t>C</w:t>
            </w:r>
            <w:r w:rsidRPr="006B6554">
              <w:rPr>
                <w:lang w:val="en-GB"/>
              </w:rPr>
              <w:t>3</w:t>
            </w:r>
          </w:p>
        </w:tc>
        <w:tc>
          <w:tcPr>
            <w:tcW w:w="711" w:type="dxa"/>
          </w:tcPr>
          <w:p w14:paraId="2E76759B" w14:textId="77777777" w:rsidR="00633562" w:rsidRPr="006B6554" w:rsidRDefault="00633562" w:rsidP="006B6554">
            <w:pPr>
              <w:pStyle w:val="CETBodytext"/>
              <w:rPr>
                <w:lang w:val="en-GB"/>
              </w:rPr>
            </w:pPr>
            <w:r w:rsidRPr="006B6554">
              <w:rPr>
                <w:rFonts w:hint="eastAsia"/>
                <w:lang w:val="en-GB"/>
              </w:rPr>
              <w:t>0.</w:t>
            </w:r>
            <w:r w:rsidRPr="006B6554">
              <w:rPr>
                <w:lang w:val="en-GB"/>
              </w:rPr>
              <w:t>66</w:t>
            </w:r>
          </w:p>
        </w:tc>
        <w:tc>
          <w:tcPr>
            <w:tcW w:w="1221" w:type="dxa"/>
          </w:tcPr>
          <w:p w14:paraId="118A9800" w14:textId="77777777" w:rsidR="00633562" w:rsidRPr="006B6554" w:rsidRDefault="00633562" w:rsidP="006B6554">
            <w:pPr>
              <w:pStyle w:val="CETBodytext"/>
              <w:rPr>
                <w:lang w:val="en-GB"/>
              </w:rPr>
            </w:pPr>
            <w:r w:rsidRPr="006B6554">
              <w:rPr>
                <w:rFonts w:hint="eastAsia"/>
                <w:lang w:val="en-GB"/>
              </w:rPr>
              <w:t>0.9</w:t>
            </w:r>
            <w:r w:rsidRPr="006B6554">
              <w:rPr>
                <w:lang w:val="en-GB"/>
              </w:rPr>
              <w:t>0</w:t>
            </w:r>
          </w:p>
        </w:tc>
        <w:tc>
          <w:tcPr>
            <w:tcW w:w="1233" w:type="dxa"/>
            <w:vMerge/>
          </w:tcPr>
          <w:p w14:paraId="0CF5DF91" w14:textId="77777777" w:rsidR="00633562" w:rsidRPr="006B6554" w:rsidRDefault="00633562" w:rsidP="006B6554">
            <w:pPr>
              <w:pStyle w:val="CETBodytext"/>
              <w:rPr>
                <w:lang w:val="en-GB"/>
              </w:rPr>
            </w:pPr>
          </w:p>
        </w:tc>
        <w:tc>
          <w:tcPr>
            <w:tcW w:w="1210" w:type="dxa"/>
            <w:vMerge/>
          </w:tcPr>
          <w:p w14:paraId="4F8E6D8E" w14:textId="77777777" w:rsidR="00633562" w:rsidRPr="006B6554" w:rsidRDefault="00633562" w:rsidP="006B6554">
            <w:pPr>
              <w:pStyle w:val="CETBodytext"/>
              <w:rPr>
                <w:lang w:val="en-GB"/>
              </w:rPr>
            </w:pPr>
          </w:p>
        </w:tc>
        <w:tc>
          <w:tcPr>
            <w:tcW w:w="1481" w:type="dxa"/>
            <w:vMerge/>
          </w:tcPr>
          <w:p w14:paraId="260DBD0D" w14:textId="77777777" w:rsidR="00633562" w:rsidRPr="0092498A" w:rsidRDefault="00633562" w:rsidP="004A478D">
            <w:pPr>
              <w:rPr>
                <w:rFonts w:ascii="Times New Roman" w:hAnsi="Times New Roman"/>
                <w:szCs w:val="21"/>
              </w:rPr>
            </w:pPr>
          </w:p>
        </w:tc>
      </w:tr>
      <w:tr w:rsidR="00633562" w14:paraId="69FF0889" w14:textId="77777777" w:rsidTr="0006157F">
        <w:trPr>
          <w:trHeight w:val="213"/>
        </w:trPr>
        <w:tc>
          <w:tcPr>
            <w:tcW w:w="1516" w:type="dxa"/>
            <w:vMerge/>
          </w:tcPr>
          <w:p w14:paraId="2531DFA2" w14:textId="77777777" w:rsidR="00633562" w:rsidRPr="006B6554" w:rsidRDefault="00633562" w:rsidP="006B6554">
            <w:pPr>
              <w:pStyle w:val="CETBodytext"/>
              <w:rPr>
                <w:lang w:val="en-GB"/>
              </w:rPr>
            </w:pPr>
          </w:p>
        </w:tc>
        <w:tc>
          <w:tcPr>
            <w:tcW w:w="535" w:type="dxa"/>
          </w:tcPr>
          <w:p w14:paraId="055CFED4" w14:textId="77777777" w:rsidR="00633562" w:rsidRPr="006B6554" w:rsidRDefault="00633562" w:rsidP="006B6554">
            <w:pPr>
              <w:pStyle w:val="CETBodytext"/>
              <w:rPr>
                <w:lang w:val="en-GB"/>
              </w:rPr>
            </w:pPr>
            <w:r w:rsidRPr="006B6554">
              <w:rPr>
                <w:rFonts w:hint="eastAsia"/>
                <w:lang w:val="en-GB"/>
              </w:rPr>
              <w:t>C</w:t>
            </w:r>
            <w:r w:rsidRPr="006B6554">
              <w:rPr>
                <w:lang w:val="en-GB"/>
              </w:rPr>
              <w:t>4</w:t>
            </w:r>
          </w:p>
        </w:tc>
        <w:tc>
          <w:tcPr>
            <w:tcW w:w="711" w:type="dxa"/>
          </w:tcPr>
          <w:p w14:paraId="5BA8CE99" w14:textId="77777777" w:rsidR="00633562" w:rsidRPr="006B6554" w:rsidRDefault="00633562" w:rsidP="006B6554">
            <w:pPr>
              <w:pStyle w:val="CETBodytext"/>
              <w:rPr>
                <w:lang w:val="en-GB"/>
              </w:rPr>
            </w:pPr>
            <w:r w:rsidRPr="006B6554">
              <w:rPr>
                <w:rFonts w:hint="eastAsia"/>
                <w:lang w:val="en-GB"/>
              </w:rPr>
              <w:t>0.</w:t>
            </w:r>
            <w:r w:rsidRPr="006B6554">
              <w:rPr>
                <w:lang w:val="en-GB"/>
              </w:rPr>
              <w:t>41</w:t>
            </w:r>
          </w:p>
        </w:tc>
        <w:tc>
          <w:tcPr>
            <w:tcW w:w="1221" w:type="dxa"/>
          </w:tcPr>
          <w:p w14:paraId="760ABDA3" w14:textId="77777777" w:rsidR="00633562" w:rsidRPr="006B6554" w:rsidRDefault="00633562" w:rsidP="006B6554">
            <w:pPr>
              <w:pStyle w:val="CETBodytext"/>
              <w:rPr>
                <w:lang w:val="en-GB"/>
              </w:rPr>
            </w:pPr>
            <w:r w:rsidRPr="006B6554">
              <w:rPr>
                <w:rFonts w:hint="eastAsia"/>
                <w:lang w:val="en-GB"/>
              </w:rPr>
              <w:t>0.</w:t>
            </w:r>
            <w:r w:rsidRPr="006B6554">
              <w:rPr>
                <w:lang w:val="en-GB"/>
              </w:rPr>
              <w:t>84</w:t>
            </w:r>
          </w:p>
        </w:tc>
        <w:tc>
          <w:tcPr>
            <w:tcW w:w="1233" w:type="dxa"/>
            <w:vMerge/>
          </w:tcPr>
          <w:p w14:paraId="151A124D" w14:textId="77777777" w:rsidR="00633562" w:rsidRPr="006B6554" w:rsidRDefault="00633562" w:rsidP="006B6554">
            <w:pPr>
              <w:pStyle w:val="CETBodytext"/>
              <w:rPr>
                <w:lang w:val="en-GB"/>
              </w:rPr>
            </w:pPr>
          </w:p>
        </w:tc>
        <w:tc>
          <w:tcPr>
            <w:tcW w:w="1210" w:type="dxa"/>
            <w:vMerge/>
          </w:tcPr>
          <w:p w14:paraId="243CBFA8" w14:textId="77777777" w:rsidR="00633562" w:rsidRPr="006B6554" w:rsidRDefault="00633562" w:rsidP="006B6554">
            <w:pPr>
              <w:pStyle w:val="CETBodytext"/>
              <w:rPr>
                <w:lang w:val="en-GB"/>
              </w:rPr>
            </w:pPr>
          </w:p>
        </w:tc>
        <w:tc>
          <w:tcPr>
            <w:tcW w:w="1481" w:type="dxa"/>
            <w:vMerge/>
          </w:tcPr>
          <w:p w14:paraId="499165E6" w14:textId="77777777" w:rsidR="00633562" w:rsidRPr="0092498A" w:rsidRDefault="00633562" w:rsidP="004A478D">
            <w:pPr>
              <w:rPr>
                <w:rFonts w:ascii="Times New Roman" w:hAnsi="Times New Roman"/>
                <w:szCs w:val="21"/>
              </w:rPr>
            </w:pPr>
          </w:p>
        </w:tc>
      </w:tr>
      <w:tr w:rsidR="00633562" w14:paraId="33A1B722" w14:textId="77777777" w:rsidTr="0006157F">
        <w:trPr>
          <w:trHeight w:val="653"/>
        </w:trPr>
        <w:tc>
          <w:tcPr>
            <w:tcW w:w="1516" w:type="dxa"/>
          </w:tcPr>
          <w:p w14:paraId="77F763C1" w14:textId="77777777" w:rsidR="00633562" w:rsidRPr="006B6554" w:rsidRDefault="00633562" w:rsidP="006B6554">
            <w:pPr>
              <w:pStyle w:val="CETBodytext"/>
              <w:rPr>
                <w:lang w:val="en-GB"/>
              </w:rPr>
            </w:pPr>
            <w:r w:rsidRPr="006B6554">
              <w:rPr>
                <w:lang w:val="en-GB"/>
              </w:rPr>
              <w:t xml:space="preserve">Climatological factors </w:t>
            </w:r>
          </w:p>
          <w:p w14:paraId="68BAEA35" w14:textId="77777777" w:rsidR="00633562" w:rsidRPr="006B6554" w:rsidRDefault="00633562" w:rsidP="006B6554">
            <w:pPr>
              <w:pStyle w:val="CETBodytext"/>
              <w:rPr>
                <w:lang w:val="en-GB"/>
              </w:rPr>
            </w:pPr>
            <w:r w:rsidRPr="006B6554">
              <w:rPr>
                <w:lang w:val="en-GB"/>
              </w:rPr>
              <w:t>(B2)</w:t>
            </w:r>
          </w:p>
        </w:tc>
        <w:tc>
          <w:tcPr>
            <w:tcW w:w="535" w:type="dxa"/>
          </w:tcPr>
          <w:p w14:paraId="65B7E046" w14:textId="77777777" w:rsidR="00633562" w:rsidRPr="006B6554" w:rsidRDefault="00633562" w:rsidP="006B6554">
            <w:pPr>
              <w:pStyle w:val="CETBodytext"/>
              <w:rPr>
                <w:lang w:val="en-GB"/>
              </w:rPr>
            </w:pPr>
            <w:r w:rsidRPr="006B6554">
              <w:rPr>
                <w:rFonts w:hint="eastAsia"/>
                <w:lang w:val="en-GB"/>
              </w:rPr>
              <w:t>C</w:t>
            </w:r>
            <w:r w:rsidRPr="006B6554">
              <w:rPr>
                <w:lang w:val="en-GB"/>
              </w:rPr>
              <w:t>5</w:t>
            </w:r>
          </w:p>
        </w:tc>
        <w:tc>
          <w:tcPr>
            <w:tcW w:w="711" w:type="dxa"/>
          </w:tcPr>
          <w:p w14:paraId="5A23C248" w14:textId="77777777" w:rsidR="00633562" w:rsidRPr="006B6554" w:rsidRDefault="00633562" w:rsidP="006B6554">
            <w:pPr>
              <w:pStyle w:val="CETBodytext"/>
              <w:rPr>
                <w:lang w:val="en-GB"/>
              </w:rPr>
            </w:pPr>
            <w:r w:rsidRPr="006B6554">
              <w:rPr>
                <w:rFonts w:hint="eastAsia"/>
                <w:lang w:val="en-GB"/>
              </w:rPr>
              <w:t>0.79</w:t>
            </w:r>
          </w:p>
        </w:tc>
        <w:tc>
          <w:tcPr>
            <w:tcW w:w="1221" w:type="dxa"/>
          </w:tcPr>
          <w:p w14:paraId="28E130BB" w14:textId="77777777" w:rsidR="00633562" w:rsidRPr="006B6554" w:rsidRDefault="00633562" w:rsidP="006B6554">
            <w:pPr>
              <w:pStyle w:val="CETBodytext"/>
              <w:rPr>
                <w:lang w:val="en-GB"/>
              </w:rPr>
            </w:pPr>
            <w:r w:rsidRPr="006B6554">
              <w:rPr>
                <w:rFonts w:hint="eastAsia"/>
                <w:lang w:val="en-GB"/>
              </w:rPr>
              <w:t>0.</w:t>
            </w:r>
            <w:r w:rsidRPr="006B6554">
              <w:rPr>
                <w:lang w:val="en-GB"/>
              </w:rPr>
              <w:t>89</w:t>
            </w:r>
          </w:p>
        </w:tc>
        <w:tc>
          <w:tcPr>
            <w:tcW w:w="1233" w:type="dxa"/>
          </w:tcPr>
          <w:p w14:paraId="621730FA" w14:textId="77777777" w:rsidR="00633562" w:rsidRPr="006B6554" w:rsidRDefault="00633562" w:rsidP="006B6554">
            <w:pPr>
              <w:pStyle w:val="CETBodytext"/>
              <w:rPr>
                <w:lang w:val="en-GB"/>
              </w:rPr>
            </w:pPr>
            <w:r w:rsidRPr="006B6554">
              <w:rPr>
                <w:rFonts w:hint="eastAsia"/>
                <w:lang w:val="en-GB"/>
              </w:rPr>
              <w:t>0.</w:t>
            </w:r>
            <w:r w:rsidRPr="006B6554">
              <w:rPr>
                <w:lang w:val="en-GB"/>
              </w:rPr>
              <w:t>89</w:t>
            </w:r>
          </w:p>
        </w:tc>
        <w:tc>
          <w:tcPr>
            <w:tcW w:w="1210" w:type="dxa"/>
          </w:tcPr>
          <w:p w14:paraId="2EBEC5C1" w14:textId="77777777" w:rsidR="00633562" w:rsidRPr="006B6554" w:rsidRDefault="00633562" w:rsidP="006B6554">
            <w:pPr>
              <w:pStyle w:val="CETBodytext"/>
              <w:rPr>
                <w:lang w:val="en-GB"/>
              </w:rPr>
            </w:pPr>
            <w:r w:rsidRPr="006B6554">
              <w:rPr>
                <w:rFonts w:hint="eastAsia"/>
                <w:lang w:val="en-GB"/>
              </w:rPr>
              <w:t>0.9</w:t>
            </w:r>
            <w:r w:rsidRPr="006B6554">
              <w:rPr>
                <w:lang w:val="en-GB"/>
              </w:rPr>
              <w:t>4</w:t>
            </w:r>
          </w:p>
        </w:tc>
        <w:tc>
          <w:tcPr>
            <w:tcW w:w="1481" w:type="dxa"/>
            <w:vMerge/>
          </w:tcPr>
          <w:p w14:paraId="67B55C45" w14:textId="77777777" w:rsidR="00633562" w:rsidRPr="0092498A" w:rsidRDefault="00633562" w:rsidP="004A478D">
            <w:pPr>
              <w:rPr>
                <w:rFonts w:ascii="Times New Roman" w:hAnsi="Times New Roman"/>
                <w:szCs w:val="21"/>
              </w:rPr>
            </w:pPr>
          </w:p>
        </w:tc>
      </w:tr>
      <w:tr w:rsidR="00633562" w14:paraId="73AB4059" w14:textId="77777777" w:rsidTr="0006157F">
        <w:trPr>
          <w:trHeight w:val="213"/>
        </w:trPr>
        <w:tc>
          <w:tcPr>
            <w:tcW w:w="1516" w:type="dxa"/>
            <w:vMerge w:val="restart"/>
          </w:tcPr>
          <w:p w14:paraId="5DFB54B0" w14:textId="77777777" w:rsidR="00633562" w:rsidRPr="006B6554" w:rsidRDefault="00633562" w:rsidP="006B6554">
            <w:pPr>
              <w:pStyle w:val="CETBodytext"/>
              <w:rPr>
                <w:lang w:val="en-GB"/>
              </w:rPr>
            </w:pPr>
            <w:r w:rsidRPr="006B6554">
              <w:rPr>
                <w:lang w:val="en-GB"/>
              </w:rPr>
              <w:t>Meteorological factors</w:t>
            </w:r>
          </w:p>
          <w:p w14:paraId="0DECCCC4" w14:textId="77777777" w:rsidR="00633562" w:rsidRPr="006B6554" w:rsidRDefault="00633562" w:rsidP="006B6554">
            <w:pPr>
              <w:pStyle w:val="CETBodytext"/>
              <w:rPr>
                <w:lang w:val="en-GB"/>
              </w:rPr>
            </w:pPr>
            <w:r w:rsidRPr="006B6554">
              <w:rPr>
                <w:lang w:val="en-GB"/>
              </w:rPr>
              <w:t>(B3)</w:t>
            </w:r>
          </w:p>
        </w:tc>
        <w:tc>
          <w:tcPr>
            <w:tcW w:w="535" w:type="dxa"/>
          </w:tcPr>
          <w:p w14:paraId="50783319" w14:textId="77777777" w:rsidR="00633562" w:rsidRPr="006B6554" w:rsidRDefault="00633562" w:rsidP="006B6554">
            <w:pPr>
              <w:pStyle w:val="CETBodytext"/>
              <w:rPr>
                <w:lang w:val="en-GB"/>
              </w:rPr>
            </w:pPr>
            <w:r w:rsidRPr="006B6554">
              <w:rPr>
                <w:rFonts w:hint="eastAsia"/>
                <w:lang w:val="en-GB"/>
              </w:rPr>
              <w:t>C</w:t>
            </w:r>
            <w:r w:rsidRPr="006B6554">
              <w:rPr>
                <w:lang w:val="en-GB"/>
              </w:rPr>
              <w:t>6</w:t>
            </w:r>
          </w:p>
        </w:tc>
        <w:tc>
          <w:tcPr>
            <w:tcW w:w="711" w:type="dxa"/>
          </w:tcPr>
          <w:p w14:paraId="2E4D3341" w14:textId="77777777" w:rsidR="00633562" w:rsidRPr="006B6554" w:rsidRDefault="00633562" w:rsidP="006B6554">
            <w:pPr>
              <w:pStyle w:val="CETBodytext"/>
              <w:rPr>
                <w:lang w:val="en-GB"/>
              </w:rPr>
            </w:pPr>
            <w:r w:rsidRPr="006B6554">
              <w:rPr>
                <w:rFonts w:hint="eastAsia"/>
                <w:lang w:val="en-GB"/>
              </w:rPr>
              <w:t>0.</w:t>
            </w:r>
            <w:r w:rsidRPr="006B6554">
              <w:rPr>
                <w:lang w:val="en-GB"/>
              </w:rPr>
              <w:t>69</w:t>
            </w:r>
          </w:p>
        </w:tc>
        <w:tc>
          <w:tcPr>
            <w:tcW w:w="1221" w:type="dxa"/>
          </w:tcPr>
          <w:p w14:paraId="62B4110A" w14:textId="77777777" w:rsidR="00633562" w:rsidRPr="006B6554" w:rsidRDefault="00633562" w:rsidP="006B6554">
            <w:pPr>
              <w:pStyle w:val="CETBodytext"/>
              <w:rPr>
                <w:lang w:val="en-GB"/>
              </w:rPr>
            </w:pPr>
            <w:r w:rsidRPr="006B6554">
              <w:rPr>
                <w:rFonts w:hint="eastAsia"/>
                <w:lang w:val="en-GB"/>
              </w:rPr>
              <w:t>0.83</w:t>
            </w:r>
          </w:p>
        </w:tc>
        <w:tc>
          <w:tcPr>
            <w:tcW w:w="1233" w:type="dxa"/>
            <w:vMerge w:val="restart"/>
          </w:tcPr>
          <w:p w14:paraId="30FE90F7" w14:textId="77777777" w:rsidR="00633562" w:rsidRPr="006B6554" w:rsidRDefault="00633562" w:rsidP="006B6554">
            <w:pPr>
              <w:pStyle w:val="CETBodytext"/>
              <w:rPr>
                <w:lang w:val="en-GB"/>
              </w:rPr>
            </w:pPr>
            <w:r w:rsidRPr="006B6554">
              <w:rPr>
                <w:rFonts w:hint="eastAsia"/>
                <w:lang w:val="en-GB"/>
              </w:rPr>
              <w:t>0.9</w:t>
            </w:r>
            <w:r w:rsidRPr="006B6554">
              <w:rPr>
                <w:lang w:val="en-GB"/>
              </w:rPr>
              <w:t>0</w:t>
            </w:r>
          </w:p>
        </w:tc>
        <w:tc>
          <w:tcPr>
            <w:tcW w:w="1210" w:type="dxa"/>
            <w:vMerge w:val="restart"/>
          </w:tcPr>
          <w:p w14:paraId="310C0F86" w14:textId="77777777" w:rsidR="00633562" w:rsidRPr="006B6554" w:rsidRDefault="00633562" w:rsidP="006B6554">
            <w:pPr>
              <w:pStyle w:val="CETBodytext"/>
              <w:rPr>
                <w:lang w:val="en-GB"/>
              </w:rPr>
            </w:pPr>
            <w:r w:rsidRPr="006B6554">
              <w:rPr>
                <w:rFonts w:hint="eastAsia"/>
                <w:lang w:val="en-GB"/>
              </w:rPr>
              <w:t>0.9</w:t>
            </w:r>
            <w:r w:rsidRPr="006B6554">
              <w:rPr>
                <w:lang w:val="en-GB"/>
              </w:rPr>
              <w:t>5</w:t>
            </w:r>
          </w:p>
        </w:tc>
        <w:tc>
          <w:tcPr>
            <w:tcW w:w="1481" w:type="dxa"/>
            <w:vMerge/>
          </w:tcPr>
          <w:p w14:paraId="36BC5F92" w14:textId="77777777" w:rsidR="00633562" w:rsidRPr="0092498A" w:rsidRDefault="00633562" w:rsidP="004A478D">
            <w:pPr>
              <w:rPr>
                <w:rFonts w:ascii="Times New Roman" w:hAnsi="Times New Roman"/>
                <w:szCs w:val="21"/>
              </w:rPr>
            </w:pPr>
          </w:p>
        </w:tc>
      </w:tr>
      <w:tr w:rsidR="00633562" w14:paraId="0DAC5EC9" w14:textId="77777777" w:rsidTr="0006157F">
        <w:trPr>
          <w:trHeight w:val="213"/>
        </w:trPr>
        <w:tc>
          <w:tcPr>
            <w:tcW w:w="1516" w:type="dxa"/>
            <w:vMerge/>
          </w:tcPr>
          <w:p w14:paraId="0BD08E25" w14:textId="77777777" w:rsidR="00633562" w:rsidRPr="006B6554" w:rsidRDefault="00633562" w:rsidP="006B6554">
            <w:pPr>
              <w:pStyle w:val="CETBodytext"/>
              <w:rPr>
                <w:lang w:val="en-GB"/>
              </w:rPr>
            </w:pPr>
          </w:p>
        </w:tc>
        <w:tc>
          <w:tcPr>
            <w:tcW w:w="535" w:type="dxa"/>
          </w:tcPr>
          <w:p w14:paraId="5AE9E600" w14:textId="77777777" w:rsidR="00633562" w:rsidRPr="006B6554" w:rsidRDefault="00633562" w:rsidP="006B6554">
            <w:pPr>
              <w:pStyle w:val="CETBodytext"/>
              <w:rPr>
                <w:lang w:val="en-GB"/>
              </w:rPr>
            </w:pPr>
            <w:r w:rsidRPr="006B6554">
              <w:rPr>
                <w:rFonts w:hint="eastAsia"/>
                <w:lang w:val="en-GB"/>
              </w:rPr>
              <w:t>C</w:t>
            </w:r>
            <w:r w:rsidRPr="006B6554">
              <w:rPr>
                <w:lang w:val="en-GB"/>
              </w:rPr>
              <w:t>7</w:t>
            </w:r>
          </w:p>
        </w:tc>
        <w:tc>
          <w:tcPr>
            <w:tcW w:w="711" w:type="dxa"/>
          </w:tcPr>
          <w:p w14:paraId="5A296F8E" w14:textId="77777777" w:rsidR="00633562" w:rsidRPr="006B6554" w:rsidRDefault="00633562" w:rsidP="006B6554">
            <w:pPr>
              <w:pStyle w:val="CETBodytext"/>
              <w:rPr>
                <w:lang w:val="en-GB"/>
              </w:rPr>
            </w:pPr>
            <w:r w:rsidRPr="006B6554">
              <w:rPr>
                <w:rFonts w:hint="eastAsia"/>
                <w:lang w:val="en-GB"/>
              </w:rPr>
              <w:t>0.</w:t>
            </w:r>
            <w:r w:rsidRPr="006B6554">
              <w:rPr>
                <w:lang w:val="en-GB"/>
              </w:rPr>
              <w:t>76</w:t>
            </w:r>
          </w:p>
        </w:tc>
        <w:tc>
          <w:tcPr>
            <w:tcW w:w="1221" w:type="dxa"/>
          </w:tcPr>
          <w:p w14:paraId="02A98776" w14:textId="77777777" w:rsidR="00633562" w:rsidRPr="006B6554" w:rsidRDefault="00633562" w:rsidP="006B6554">
            <w:pPr>
              <w:pStyle w:val="CETBodytext"/>
              <w:rPr>
                <w:lang w:val="en-GB"/>
              </w:rPr>
            </w:pPr>
            <w:r w:rsidRPr="006B6554">
              <w:rPr>
                <w:rFonts w:hint="eastAsia"/>
                <w:lang w:val="en-GB"/>
              </w:rPr>
              <w:t>0.9</w:t>
            </w:r>
            <w:r w:rsidRPr="006B6554">
              <w:rPr>
                <w:lang w:val="en-GB"/>
              </w:rPr>
              <w:t>1</w:t>
            </w:r>
          </w:p>
        </w:tc>
        <w:tc>
          <w:tcPr>
            <w:tcW w:w="1233" w:type="dxa"/>
            <w:vMerge/>
          </w:tcPr>
          <w:p w14:paraId="3CBE6A6C" w14:textId="77777777" w:rsidR="00633562" w:rsidRPr="006B6554" w:rsidRDefault="00633562" w:rsidP="006B6554">
            <w:pPr>
              <w:pStyle w:val="CETBodytext"/>
              <w:rPr>
                <w:lang w:val="en-GB"/>
              </w:rPr>
            </w:pPr>
          </w:p>
        </w:tc>
        <w:tc>
          <w:tcPr>
            <w:tcW w:w="1210" w:type="dxa"/>
            <w:vMerge/>
          </w:tcPr>
          <w:p w14:paraId="70057FAF" w14:textId="77777777" w:rsidR="00633562" w:rsidRPr="006B6554" w:rsidRDefault="00633562" w:rsidP="006B6554">
            <w:pPr>
              <w:pStyle w:val="CETBodytext"/>
              <w:rPr>
                <w:lang w:val="en-GB"/>
              </w:rPr>
            </w:pPr>
          </w:p>
        </w:tc>
        <w:tc>
          <w:tcPr>
            <w:tcW w:w="1481" w:type="dxa"/>
            <w:vMerge/>
          </w:tcPr>
          <w:p w14:paraId="1E00543D" w14:textId="77777777" w:rsidR="00633562" w:rsidRPr="0092498A" w:rsidRDefault="00633562" w:rsidP="004A478D">
            <w:pPr>
              <w:rPr>
                <w:rFonts w:ascii="Times New Roman" w:hAnsi="Times New Roman"/>
                <w:szCs w:val="21"/>
              </w:rPr>
            </w:pPr>
          </w:p>
        </w:tc>
      </w:tr>
      <w:tr w:rsidR="00633562" w14:paraId="1D38A063" w14:textId="77777777" w:rsidTr="0006157F">
        <w:trPr>
          <w:trHeight w:val="225"/>
        </w:trPr>
        <w:tc>
          <w:tcPr>
            <w:tcW w:w="1516" w:type="dxa"/>
            <w:vMerge/>
          </w:tcPr>
          <w:p w14:paraId="28BD0875" w14:textId="77777777" w:rsidR="00633562" w:rsidRPr="006B6554" w:rsidRDefault="00633562" w:rsidP="006B6554">
            <w:pPr>
              <w:pStyle w:val="CETBodytext"/>
              <w:rPr>
                <w:lang w:val="en-GB"/>
              </w:rPr>
            </w:pPr>
          </w:p>
        </w:tc>
        <w:tc>
          <w:tcPr>
            <w:tcW w:w="535" w:type="dxa"/>
          </w:tcPr>
          <w:p w14:paraId="76FA3642" w14:textId="77777777" w:rsidR="00633562" w:rsidRPr="006B6554" w:rsidRDefault="00633562" w:rsidP="006B6554">
            <w:pPr>
              <w:pStyle w:val="CETBodytext"/>
              <w:rPr>
                <w:lang w:val="en-GB"/>
              </w:rPr>
            </w:pPr>
            <w:r w:rsidRPr="006B6554">
              <w:rPr>
                <w:rFonts w:hint="eastAsia"/>
                <w:lang w:val="en-GB"/>
              </w:rPr>
              <w:t>C8</w:t>
            </w:r>
          </w:p>
        </w:tc>
        <w:tc>
          <w:tcPr>
            <w:tcW w:w="711" w:type="dxa"/>
          </w:tcPr>
          <w:p w14:paraId="7800864C" w14:textId="77777777" w:rsidR="00633562" w:rsidRPr="006B6554" w:rsidRDefault="00633562" w:rsidP="006B6554">
            <w:pPr>
              <w:pStyle w:val="CETBodytext"/>
              <w:rPr>
                <w:lang w:val="en-GB"/>
              </w:rPr>
            </w:pPr>
            <w:r w:rsidRPr="006B6554">
              <w:rPr>
                <w:rFonts w:hint="eastAsia"/>
                <w:lang w:val="en-GB"/>
              </w:rPr>
              <w:t>0.</w:t>
            </w:r>
            <w:r w:rsidRPr="006B6554">
              <w:rPr>
                <w:lang w:val="en-GB"/>
              </w:rPr>
              <w:t>90</w:t>
            </w:r>
          </w:p>
        </w:tc>
        <w:tc>
          <w:tcPr>
            <w:tcW w:w="1221" w:type="dxa"/>
          </w:tcPr>
          <w:p w14:paraId="472D096B" w14:textId="77777777" w:rsidR="00633562" w:rsidRPr="006B6554" w:rsidRDefault="00633562" w:rsidP="006B6554">
            <w:pPr>
              <w:pStyle w:val="CETBodytext"/>
              <w:rPr>
                <w:lang w:val="en-GB"/>
              </w:rPr>
            </w:pPr>
            <w:r w:rsidRPr="006B6554">
              <w:rPr>
                <w:rFonts w:hint="eastAsia"/>
                <w:lang w:val="en-GB"/>
              </w:rPr>
              <w:t>0.9</w:t>
            </w:r>
            <w:r w:rsidRPr="006B6554">
              <w:rPr>
                <w:lang w:val="en-GB"/>
              </w:rPr>
              <w:t>7</w:t>
            </w:r>
          </w:p>
        </w:tc>
        <w:tc>
          <w:tcPr>
            <w:tcW w:w="1233" w:type="dxa"/>
            <w:vMerge/>
          </w:tcPr>
          <w:p w14:paraId="25CF38CC" w14:textId="77777777" w:rsidR="00633562" w:rsidRPr="006B6554" w:rsidRDefault="00633562" w:rsidP="006B6554">
            <w:pPr>
              <w:pStyle w:val="CETBodytext"/>
              <w:rPr>
                <w:lang w:val="en-GB"/>
              </w:rPr>
            </w:pPr>
          </w:p>
        </w:tc>
        <w:tc>
          <w:tcPr>
            <w:tcW w:w="1210" w:type="dxa"/>
            <w:vMerge/>
          </w:tcPr>
          <w:p w14:paraId="19C2A54E" w14:textId="77777777" w:rsidR="00633562" w:rsidRPr="006B6554" w:rsidRDefault="00633562" w:rsidP="006B6554">
            <w:pPr>
              <w:pStyle w:val="CETBodytext"/>
              <w:rPr>
                <w:lang w:val="en-GB"/>
              </w:rPr>
            </w:pPr>
          </w:p>
        </w:tc>
        <w:tc>
          <w:tcPr>
            <w:tcW w:w="1481" w:type="dxa"/>
            <w:vMerge/>
          </w:tcPr>
          <w:p w14:paraId="5B4C67D8" w14:textId="77777777" w:rsidR="00633562" w:rsidRPr="0092498A" w:rsidRDefault="00633562" w:rsidP="004A478D">
            <w:pPr>
              <w:rPr>
                <w:rFonts w:ascii="Times New Roman" w:hAnsi="Times New Roman"/>
                <w:szCs w:val="21"/>
              </w:rPr>
            </w:pPr>
          </w:p>
        </w:tc>
      </w:tr>
      <w:tr w:rsidR="00633562" w14:paraId="33E5D3B6" w14:textId="77777777" w:rsidTr="0006157F">
        <w:trPr>
          <w:trHeight w:val="213"/>
        </w:trPr>
        <w:tc>
          <w:tcPr>
            <w:tcW w:w="1516" w:type="dxa"/>
            <w:vMerge w:val="restart"/>
          </w:tcPr>
          <w:p w14:paraId="206DC46B" w14:textId="77777777" w:rsidR="00633562" w:rsidRPr="006B6554" w:rsidRDefault="00633562" w:rsidP="006B6554">
            <w:pPr>
              <w:pStyle w:val="CETBodytext"/>
              <w:rPr>
                <w:lang w:val="en-GB"/>
              </w:rPr>
            </w:pPr>
            <w:r w:rsidRPr="006B6554">
              <w:rPr>
                <w:lang w:val="en-GB"/>
              </w:rPr>
              <w:t>Hydrological factors</w:t>
            </w:r>
          </w:p>
          <w:p w14:paraId="2E14F72B" w14:textId="77777777" w:rsidR="00633562" w:rsidRPr="006B6554" w:rsidRDefault="00633562" w:rsidP="006B6554">
            <w:pPr>
              <w:pStyle w:val="CETBodytext"/>
              <w:rPr>
                <w:lang w:val="en-GB"/>
              </w:rPr>
            </w:pPr>
            <w:r w:rsidRPr="006B6554">
              <w:rPr>
                <w:lang w:val="en-GB"/>
              </w:rPr>
              <w:t>(B4)</w:t>
            </w:r>
          </w:p>
        </w:tc>
        <w:tc>
          <w:tcPr>
            <w:tcW w:w="535" w:type="dxa"/>
          </w:tcPr>
          <w:p w14:paraId="755AEC3B" w14:textId="77777777" w:rsidR="00633562" w:rsidRPr="006B6554" w:rsidRDefault="00633562" w:rsidP="006B6554">
            <w:pPr>
              <w:pStyle w:val="CETBodytext"/>
              <w:rPr>
                <w:lang w:val="en-GB"/>
              </w:rPr>
            </w:pPr>
            <w:r w:rsidRPr="006B6554">
              <w:rPr>
                <w:rFonts w:hint="eastAsia"/>
                <w:lang w:val="en-GB"/>
              </w:rPr>
              <w:t>C9</w:t>
            </w:r>
          </w:p>
        </w:tc>
        <w:tc>
          <w:tcPr>
            <w:tcW w:w="711" w:type="dxa"/>
          </w:tcPr>
          <w:p w14:paraId="3C259BCE" w14:textId="77777777" w:rsidR="00633562" w:rsidRPr="006B6554" w:rsidRDefault="00633562" w:rsidP="006B6554">
            <w:pPr>
              <w:pStyle w:val="CETBodytext"/>
              <w:rPr>
                <w:lang w:val="en-GB"/>
              </w:rPr>
            </w:pPr>
            <w:r w:rsidRPr="006B6554">
              <w:rPr>
                <w:rFonts w:hint="eastAsia"/>
                <w:lang w:val="en-GB"/>
              </w:rPr>
              <w:t>0.89</w:t>
            </w:r>
          </w:p>
        </w:tc>
        <w:tc>
          <w:tcPr>
            <w:tcW w:w="1221" w:type="dxa"/>
          </w:tcPr>
          <w:p w14:paraId="09D6F7CB" w14:textId="77777777" w:rsidR="00633562" w:rsidRPr="006B6554" w:rsidRDefault="00633562" w:rsidP="006B6554">
            <w:pPr>
              <w:pStyle w:val="CETBodytext"/>
              <w:rPr>
                <w:lang w:val="en-GB"/>
              </w:rPr>
            </w:pPr>
            <w:r w:rsidRPr="006B6554">
              <w:rPr>
                <w:rFonts w:hint="eastAsia"/>
                <w:lang w:val="en-GB"/>
              </w:rPr>
              <w:t>0.9</w:t>
            </w:r>
            <w:r w:rsidRPr="006B6554">
              <w:rPr>
                <w:lang w:val="en-GB"/>
              </w:rPr>
              <w:t>4</w:t>
            </w:r>
          </w:p>
        </w:tc>
        <w:tc>
          <w:tcPr>
            <w:tcW w:w="1233" w:type="dxa"/>
            <w:vMerge w:val="restart"/>
          </w:tcPr>
          <w:p w14:paraId="16ECE4F0" w14:textId="77777777" w:rsidR="00633562" w:rsidRPr="006B6554" w:rsidRDefault="00633562" w:rsidP="006B6554">
            <w:pPr>
              <w:pStyle w:val="CETBodytext"/>
              <w:rPr>
                <w:lang w:val="en-GB"/>
              </w:rPr>
            </w:pPr>
            <w:r w:rsidRPr="006B6554">
              <w:rPr>
                <w:rFonts w:hint="eastAsia"/>
                <w:lang w:val="en-GB"/>
              </w:rPr>
              <w:t>0.9</w:t>
            </w:r>
            <w:r w:rsidRPr="006B6554">
              <w:rPr>
                <w:lang w:val="en-GB"/>
              </w:rPr>
              <w:t>5</w:t>
            </w:r>
          </w:p>
        </w:tc>
        <w:tc>
          <w:tcPr>
            <w:tcW w:w="1210" w:type="dxa"/>
            <w:vMerge w:val="restart"/>
          </w:tcPr>
          <w:p w14:paraId="19179BE3" w14:textId="77777777" w:rsidR="00633562" w:rsidRPr="006B6554" w:rsidRDefault="00633562" w:rsidP="006B6554">
            <w:pPr>
              <w:pStyle w:val="CETBodytext"/>
              <w:rPr>
                <w:lang w:val="en-GB"/>
              </w:rPr>
            </w:pPr>
            <w:r w:rsidRPr="006B6554">
              <w:rPr>
                <w:rFonts w:hint="eastAsia"/>
                <w:lang w:val="en-GB"/>
              </w:rPr>
              <w:t>0.97</w:t>
            </w:r>
          </w:p>
        </w:tc>
        <w:tc>
          <w:tcPr>
            <w:tcW w:w="1481" w:type="dxa"/>
            <w:vMerge/>
          </w:tcPr>
          <w:p w14:paraId="39C41EFE" w14:textId="77777777" w:rsidR="00633562" w:rsidRPr="0092498A" w:rsidRDefault="00633562" w:rsidP="004A478D">
            <w:pPr>
              <w:rPr>
                <w:rFonts w:ascii="Times New Roman" w:hAnsi="Times New Roman"/>
                <w:szCs w:val="21"/>
              </w:rPr>
            </w:pPr>
          </w:p>
        </w:tc>
      </w:tr>
      <w:tr w:rsidR="00633562" w14:paraId="443808BD" w14:textId="77777777" w:rsidTr="0006157F">
        <w:trPr>
          <w:trHeight w:val="428"/>
        </w:trPr>
        <w:tc>
          <w:tcPr>
            <w:tcW w:w="1516" w:type="dxa"/>
            <w:vMerge/>
          </w:tcPr>
          <w:p w14:paraId="12F7B401" w14:textId="77777777" w:rsidR="00633562" w:rsidRPr="0092498A" w:rsidRDefault="00633562" w:rsidP="004A478D">
            <w:pPr>
              <w:rPr>
                <w:rFonts w:ascii="Times New Roman" w:hAnsi="Times New Roman"/>
                <w:szCs w:val="21"/>
              </w:rPr>
            </w:pPr>
          </w:p>
        </w:tc>
        <w:tc>
          <w:tcPr>
            <w:tcW w:w="535" w:type="dxa"/>
          </w:tcPr>
          <w:p w14:paraId="43C13765" w14:textId="77777777" w:rsidR="00633562" w:rsidRPr="0092498A" w:rsidRDefault="00633562" w:rsidP="00FE6317">
            <w:pPr>
              <w:rPr>
                <w:rFonts w:ascii="Times New Roman" w:hAnsi="Times New Roman"/>
                <w:szCs w:val="21"/>
              </w:rPr>
            </w:pPr>
            <w:r w:rsidRPr="000B602C">
              <w:rPr>
                <w:rFonts w:ascii="Times New Roman" w:hAnsi="Times New Roman" w:hint="eastAsia"/>
                <w:szCs w:val="21"/>
              </w:rPr>
              <w:t>C</w:t>
            </w:r>
            <w:r w:rsidRPr="000B602C">
              <w:rPr>
                <w:rFonts w:ascii="Times New Roman" w:hAnsi="Times New Roman" w:hint="eastAsia"/>
                <w:szCs w:val="21"/>
                <w:vertAlign w:val="subscript"/>
              </w:rPr>
              <w:t>1</w:t>
            </w:r>
            <w:r>
              <w:rPr>
                <w:rFonts w:ascii="Times New Roman" w:hAnsi="Times New Roman"/>
                <w:szCs w:val="21"/>
                <w:vertAlign w:val="subscript"/>
              </w:rPr>
              <w:t>0</w:t>
            </w:r>
          </w:p>
        </w:tc>
        <w:tc>
          <w:tcPr>
            <w:tcW w:w="711" w:type="dxa"/>
          </w:tcPr>
          <w:p w14:paraId="6676FDE6" w14:textId="77777777" w:rsidR="00633562" w:rsidRPr="0092498A" w:rsidRDefault="00633562" w:rsidP="00FE6317">
            <w:pPr>
              <w:rPr>
                <w:rFonts w:ascii="Times New Roman" w:hAnsi="Times New Roman"/>
                <w:szCs w:val="21"/>
              </w:rPr>
            </w:pPr>
            <w:r>
              <w:rPr>
                <w:rFonts w:ascii="Times New Roman" w:hAnsi="Times New Roman" w:hint="eastAsia"/>
                <w:szCs w:val="21"/>
              </w:rPr>
              <w:t>0.90</w:t>
            </w:r>
          </w:p>
        </w:tc>
        <w:tc>
          <w:tcPr>
            <w:tcW w:w="1221" w:type="dxa"/>
          </w:tcPr>
          <w:p w14:paraId="7DF74315" w14:textId="77777777" w:rsidR="00633562" w:rsidRPr="0092498A" w:rsidRDefault="00633562" w:rsidP="00FE6317">
            <w:pPr>
              <w:rPr>
                <w:rFonts w:ascii="Times New Roman" w:hAnsi="Times New Roman"/>
                <w:szCs w:val="21"/>
              </w:rPr>
            </w:pPr>
            <w:r>
              <w:rPr>
                <w:rFonts w:ascii="Times New Roman" w:hAnsi="Times New Roman" w:hint="eastAsia"/>
                <w:szCs w:val="21"/>
              </w:rPr>
              <w:t>0.9</w:t>
            </w:r>
            <w:r>
              <w:rPr>
                <w:rFonts w:ascii="Times New Roman" w:hAnsi="Times New Roman"/>
                <w:szCs w:val="21"/>
              </w:rPr>
              <w:t>7</w:t>
            </w:r>
          </w:p>
        </w:tc>
        <w:tc>
          <w:tcPr>
            <w:tcW w:w="1233" w:type="dxa"/>
            <w:vMerge/>
          </w:tcPr>
          <w:p w14:paraId="11D5775D" w14:textId="77777777" w:rsidR="00633562" w:rsidRPr="0092498A" w:rsidRDefault="00633562" w:rsidP="004A478D">
            <w:pPr>
              <w:rPr>
                <w:rFonts w:ascii="Times New Roman" w:hAnsi="Times New Roman"/>
                <w:szCs w:val="21"/>
              </w:rPr>
            </w:pPr>
          </w:p>
        </w:tc>
        <w:tc>
          <w:tcPr>
            <w:tcW w:w="1210" w:type="dxa"/>
            <w:vMerge/>
          </w:tcPr>
          <w:p w14:paraId="4550F2A4" w14:textId="77777777" w:rsidR="00633562" w:rsidRPr="0092498A" w:rsidRDefault="00633562" w:rsidP="004A478D">
            <w:pPr>
              <w:rPr>
                <w:rFonts w:ascii="Times New Roman" w:hAnsi="Times New Roman"/>
                <w:szCs w:val="21"/>
              </w:rPr>
            </w:pPr>
          </w:p>
        </w:tc>
        <w:tc>
          <w:tcPr>
            <w:tcW w:w="1481" w:type="dxa"/>
            <w:vMerge/>
          </w:tcPr>
          <w:p w14:paraId="4D795ED6" w14:textId="77777777" w:rsidR="00633562" w:rsidRPr="0092498A" w:rsidRDefault="00633562" w:rsidP="004A478D">
            <w:pPr>
              <w:rPr>
                <w:rFonts w:ascii="Times New Roman" w:hAnsi="Times New Roman"/>
                <w:szCs w:val="21"/>
              </w:rPr>
            </w:pPr>
          </w:p>
        </w:tc>
      </w:tr>
    </w:tbl>
    <w:p w14:paraId="73C5B998" w14:textId="191A71DD" w:rsidR="00C83F1A" w:rsidRPr="00C83F1A" w:rsidRDefault="00C83F1A" w:rsidP="00C83F1A">
      <w:pPr>
        <w:pStyle w:val="CETheadingx"/>
      </w:pPr>
      <w:r w:rsidRPr="00C83F1A">
        <w:t xml:space="preserve">Quantification of </w:t>
      </w:r>
      <w:r w:rsidRPr="00C83F1A">
        <w:rPr>
          <w:rFonts w:hint="eastAsia"/>
        </w:rPr>
        <w:t>the system resilience</w:t>
      </w:r>
    </w:p>
    <w:p w14:paraId="3AC4330F" w14:textId="61DEFCE7" w:rsidR="002E3F17" w:rsidRPr="00C83F1A" w:rsidRDefault="00C83F1A" w:rsidP="002E3F17">
      <w:pPr>
        <w:rPr>
          <w:rFonts w:cs="Arial"/>
          <w:szCs w:val="24"/>
        </w:rPr>
      </w:pPr>
      <w:r>
        <w:rPr>
          <w:rFonts w:cs="Arial"/>
          <w:szCs w:val="24"/>
        </w:rPr>
        <w:t xml:space="preserve">The DBN model for the </w:t>
      </w:r>
      <w:r w:rsidR="002E3F17" w:rsidRPr="00C83F1A">
        <w:rPr>
          <w:rFonts w:cs="Arial"/>
          <w:szCs w:val="24"/>
        </w:rPr>
        <w:t>release prevention barrier (RPB)</w:t>
      </w:r>
      <w:r w:rsidR="00DE4C56">
        <w:rPr>
          <w:rFonts w:cs="Arial"/>
          <w:szCs w:val="24"/>
        </w:rPr>
        <w:t xml:space="preserve"> is developed and shown in Figure </w:t>
      </w:r>
      <w:r w:rsidR="0089592D">
        <w:rPr>
          <w:rFonts w:cs="Arial"/>
          <w:szCs w:val="24"/>
        </w:rPr>
        <w:t>4</w:t>
      </w:r>
      <w:r w:rsidR="002E3F17">
        <w:rPr>
          <w:rFonts w:cs="Arial"/>
          <w:szCs w:val="24"/>
        </w:rPr>
        <w:t xml:space="preserve">, which </w:t>
      </w:r>
      <w:r w:rsidR="002E3F17" w:rsidRPr="00C83F1A">
        <w:rPr>
          <w:rFonts w:cs="Arial"/>
          <w:szCs w:val="24"/>
        </w:rPr>
        <w:t>is employed to quantify the performance change of the</w:t>
      </w:r>
      <w:r w:rsidR="002E3F17">
        <w:rPr>
          <w:rFonts w:cs="Arial"/>
          <w:szCs w:val="24"/>
        </w:rPr>
        <w:t xml:space="preserve"> RPB</w:t>
      </w:r>
      <w:r w:rsidR="002E3F17" w:rsidRPr="00C83F1A">
        <w:rPr>
          <w:rFonts w:cs="Arial"/>
          <w:szCs w:val="24"/>
        </w:rPr>
        <w:t xml:space="preserve">. </w:t>
      </w:r>
      <w:r w:rsidR="002E3F17">
        <w:rPr>
          <w:rFonts w:cs="Arial"/>
          <w:szCs w:val="24"/>
        </w:rPr>
        <w:t>The</w:t>
      </w:r>
      <w:r w:rsidR="002E3F17" w:rsidRPr="00C83F1A">
        <w:rPr>
          <w:rFonts w:cs="Arial"/>
          <w:szCs w:val="24"/>
        </w:rPr>
        <w:t xml:space="preserve"> system performance under the normal condition (i.e., before the disruption) should be identified by the DBN. The initial data (i.e., prior probability, failure rate, and repair rate) of each component of the DBN model are identified by </w:t>
      </w:r>
      <w:r w:rsidR="0067311C">
        <w:rPr>
          <w:rFonts w:cs="Arial"/>
          <w:szCs w:val="24"/>
        </w:rPr>
        <w:t>historical</w:t>
      </w:r>
      <w:r w:rsidR="002E3F17" w:rsidRPr="00C83F1A">
        <w:rPr>
          <w:rFonts w:cs="Arial"/>
          <w:szCs w:val="24"/>
        </w:rPr>
        <w:t xml:space="preserve"> data (e.g., OREDA and relevant </w:t>
      </w:r>
      <w:r w:rsidR="0067311C">
        <w:rPr>
          <w:rFonts w:cs="Arial"/>
          <w:szCs w:val="24"/>
        </w:rPr>
        <w:t>literature</w:t>
      </w:r>
      <w:r w:rsidR="002E3F17" w:rsidRPr="00C83F1A">
        <w:rPr>
          <w:rFonts w:cs="Arial"/>
          <w:szCs w:val="24"/>
        </w:rPr>
        <w:t xml:space="preserve">) and expert </w:t>
      </w:r>
      <w:r w:rsidR="002E3F17" w:rsidRPr="009806D4">
        <w:rPr>
          <w:rFonts w:cs="Arial"/>
          <w:szCs w:val="24"/>
        </w:rPr>
        <w:t xml:space="preserve">judgment (Cai et al., 2021). </w:t>
      </w:r>
      <w:r w:rsidR="002E3F17" w:rsidRPr="00C83F1A">
        <w:rPr>
          <w:rFonts w:cs="Arial"/>
          <w:szCs w:val="24"/>
        </w:rPr>
        <w:t>The comprehensive intensity (</w:t>
      </w:r>
      <w:r w:rsidR="002E3F17" w:rsidRPr="00C83F1A">
        <w:rPr>
          <w:rFonts w:cs="Arial"/>
          <w:i/>
          <w:szCs w:val="24"/>
        </w:rPr>
        <w:t>I</w:t>
      </w:r>
      <w:r w:rsidR="002E3F17" w:rsidRPr="00C83F1A">
        <w:rPr>
          <w:rFonts w:cs="Arial"/>
          <w:szCs w:val="24"/>
        </w:rPr>
        <w:t xml:space="preserve">) of the natural disruption is employed to measure the prior probability of each </w:t>
      </w:r>
      <w:r w:rsidR="001B6F6C">
        <w:rPr>
          <w:rFonts w:cs="Arial"/>
          <w:szCs w:val="24"/>
        </w:rPr>
        <w:t>component</w:t>
      </w:r>
      <w:r w:rsidR="002E3F17" w:rsidRPr="00C83F1A">
        <w:rPr>
          <w:rFonts w:cs="Arial"/>
          <w:szCs w:val="24"/>
        </w:rPr>
        <w:t xml:space="preserve"> </w:t>
      </w:r>
      <w:r w:rsidR="00910764">
        <w:rPr>
          <w:rFonts w:cs="Arial"/>
          <w:szCs w:val="24"/>
        </w:rPr>
        <w:t>under the disruption condition. Thus, t</w:t>
      </w:r>
      <w:r w:rsidR="002E3F17" w:rsidRPr="00C83F1A">
        <w:rPr>
          <w:rFonts w:cs="Arial"/>
          <w:szCs w:val="24"/>
        </w:rPr>
        <w:t xml:space="preserve">he </w:t>
      </w:r>
      <w:r w:rsidR="008C0B27">
        <w:rPr>
          <w:rFonts w:cs="Arial"/>
          <w:szCs w:val="24"/>
        </w:rPr>
        <w:t xml:space="preserve">PRF </w:t>
      </w:r>
      <w:r w:rsidR="002E3F17" w:rsidRPr="00C83F1A">
        <w:rPr>
          <w:rFonts w:cs="Arial"/>
          <w:szCs w:val="24"/>
        </w:rPr>
        <w:t>of the system under the normal and disruption condition can be determined</w:t>
      </w:r>
      <w:r w:rsidR="00EB03B3">
        <w:rPr>
          <w:rFonts w:cs="Arial"/>
          <w:szCs w:val="24"/>
        </w:rPr>
        <w:t xml:space="preserve">. </w:t>
      </w:r>
      <w:r w:rsidR="002E3F17" w:rsidRPr="00C83F1A">
        <w:rPr>
          <w:rFonts w:cs="Arial"/>
          <w:szCs w:val="24"/>
        </w:rPr>
        <w:t xml:space="preserve">According to the aforementioned above, the </w:t>
      </w:r>
      <w:r w:rsidR="007F5BFB">
        <w:rPr>
          <w:rFonts w:cs="Arial"/>
          <w:szCs w:val="24"/>
        </w:rPr>
        <w:t>resilience</w:t>
      </w:r>
      <w:r w:rsidR="002E3F17" w:rsidRPr="00C83F1A">
        <w:rPr>
          <w:rFonts w:cs="Arial"/>
          <w:szCs w:val="24"/>
        </w:rPr>
        <w:t xml:space="preserve"> of the RPB</w:t>
      </w:r>
      <w:r w:rsidR="0094082E">
        <w:rPr>
          <w:rFonts w:cs="Arial"/>
          <w:szCs w:val="24"/>
        </w:rPr>
        <w:t xml:space="preserve"> can be </w:t>
      </w:r>
      <w:r w:rsidR="002E3F17" w:rsidRPr="00C83F1A">
        <w:rPr>
          <w:rFonts w:cs="Arial"/>
          <w:szCs w:val="24"/>
        </w:rPr>
        <w:t xml:space="preserve">presented in </w:t>
      </w:r>
      <w:r w:rsidR="007F5BFB">
        <w:rPr>
          <w:rFonts w:cs="Arial"/>
          <w:szCs w:val="24"/>
        </w:rPr>
        <w:t xml:space="preserve">Figure </w:t>
      </w:r>
      <w:r w:rsidR="0089592D">
        <w:rPr>
          <w:rFonts w:cs="Arial"/>
          <w:szCs w:val="24"/>
        </w:rPr>
        <w:t>5</w:t>
      </w:r>
      <w:r w:rsidR="002E3F17" w:rsidRPr="00C83F1A">
        <w:rPr>
          <w:rFonts w:cs="Arial"/>
          <w:szCs w:val="24"/>
        </w:rPr>
        <w:t xml:space="preserve">. </w:t>
      </w:r>
    </w:p>
    <w:p w14:paraId="602FFEC3" w14:textId="77777777" w:rsidR="00C83F1A" w:rsidRDefault="00C83F1A" w:rsidP="002E3F17">
      <w:pPr>
        <w:jc w:val="left"/>
        <w:rPr>
          <w:rFonts w:ascii="Times New Roman" w:hAnsi="Times New Roman"/>
          <w:sz w:val="24"/>
          <w:szCs w:val="24"/>
        </w:rPr>
      </w:pPr>
      <w:r>
        <w:rPr>
          <w:noProof/>
          <w:lang w:val="en-US"/>
        </w:rPr>
        <w:drawing>
          <wp:inline distT="0" distB="0" distL="0" distR="0" wp14:anchorId="25EF20AF" wp14:editId="62B7CAD7">
            <wp:extent cx="2797836" cy="15505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57797" cy="1583734"/>
                    </a:xfrm>
                    <a:prstGeom prst="rect">
                      <a:avLst/>
                    </a:prstGeom>
                  </pic:spPr>
                </pic:pic>
              </a:graphicData>
            </a:graphic>
          </wp:inline>
        </w:drawing>
      </w:r>
    </w:p>
    <w:p w14:paraId="3FBDFEBD" w14:textId="21CE035C" w:rsidR="00DE4C56" w:rsidRPr="00FE6317" w:rsidRDefault="00DE4C56" w:rsidP="00DE4C56">
      <w:pPr>
        <w:pStyle w:val="CETCaption"/>
        <w:rPr>
          <w:rFonts w:eastAsia="SimHei" w:cs="Arial"/>
          <w:color w:val="000000" w:themeColor="text1"/>
          <w:szCs w:val="21"/>
        </w:rPr>
      </w:pPr>
      <w:r w:rsidRPr="0013380B">
        <w:rPr>
          <w:rStyle w:val="CETCaptionCarattere"/>
          <w:rFonts w:cs="Arial"/>
          <w:i/>
        </w:rPr>
        <w:t xml:space="preserve">Figure </w:t>
      </w:r>
      <w:r w:rsidR="0089592D" w:rsidRPr="0013380B">
        <w:rPr>
          <w:rStyle w:val="CETCaptionCarattere"/>
          <w:rFonts w:cs="Arial"/>
          <w:i/>
        </w:rPr>
        <w:t>4</w:t>
      </w:r>
      <w:r w:rsidRPr="0013380B">
        <w:rPr>
          <w:rStyle w:val="CETCaptionCarattere"/>
          <w:rFonts w:cs="Arial"/>
          <w:i/>
        </w:rPr>
        <w:t xml:space="preserve">: </w:t>
      </w:r>
      <w:r w:rsidRPr="00FE6317">
        <w:rPr>
          <w:rFonts w:eastAsia="SimHei" w:cs="Arial"/>
          <w:color w:val="000000" w:themeColor="text1"/>
          <w:szCs w:val="21"/>
        </w:rPr>
        <w:t>The DBN model for the RPB</w:t>
      </w:r>
    </w:p>
    <w:p w14:paraId="4499C330" w14:textId="78005555" w:rsidR="00934783" w:rsidRPr="006B6554" w:rsidRDefault="00934783" w:rsidP="00DE4C56">
      <w:pPr>
        <w:pStyle w:val="CETCaption"/>
        <w:rPr>
          <w:rStyle w:val="CETCaptionCarattere"/>
          <w:rFonts w:eastAsia="SimHei"/>
          <w:i/>
        </w:rPr>
      </w:pPr>
      <w:r w:rsidRPr="00934783">
        <w:rPr>
          <w:rStyle w:val="CETCaptionCarattere"/>
          <w:rFonts w:eastAsia="SimHei"/>
          <w:i/>
          <w:noProof/>
          <w:lang w:val="en-US"/>
        </w:rPr>
        <w:drawing>
          <wp:inline distT="0" distB="0" distL="0" distR="0" wp14:anchorId="5FF2663C" wp14:editId="337EBA6B">
            <wp:extent cx="2138901" cy="1616922"/>
            <wp:effectExtent l="0" t="0" r="0" b="2540"/>
            <wp:docPr id="8" name="Picture 8" descr="O:\A-最近工作存放\A-最近工作存放\1-意大利-佛罗伦萨-安全会议-2021.01.01交初稿-2022.05.08-11\屏幕截图 2022-01-04 125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O:\A-最近工作存放\A-最近工作存放\1-意大利-佛罗伦萨-安全会议-2021.01.01交初稿-2022.05.08-11\屏幕截图 2022-01-04 12590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6583" cy="1630289"/>
                    </a:xfrm>
                    <a:prstGeom prst="rect">
                      <a:avLst/>
                    </a:prstGeom>
                    <a:noFill/>
                    <a:ln>
                      <a:noFill/>
                    </a:ln>
                  </pic:spPr>
                </pic:pic>
              </a:graphicData>
            </a:graphic>
          </wp:inline>
        </w:drawing>
      </w:r>
    </w:p>
    <w:p w14:paraId="764B74E4" w14:textId="2B720848" w:rsidR="00934783" w:rsidRPr="00FE6317" w:rsidRDefault="00934783" w:rsidP="00934783">
      <w:pPr>
        <w:pStyle w:val="CETCaption"/>
        <w:rPr>
          <w:rFonts w:eastAsia="SimHei" w:cs="Arial"/>
          <w:color w:val="000000" w:themeColor="text1"/>
          <w:szCs w:val="21"/>
        </w:rPr>
      </w:pPr>
      <w:r w:rsidRPr="0013380B">
        <w:rPr>
          <w:rStyle w:val="CETCaptionCarattere"/>
          <w:rFonts w:cs="Arial"/>
          <w:i/>
        </w:rPr>
        <w:t xml:space="preserve">Figure </w:t>
      </w:r>
      <w:r w:rsidR="0089592D" w:rsidRPr="0013380B">
        <w:rPr>
          <w:rStyle w:val="CETCaptionCarattere"/>
          <w:rFonts w:cs="Arial"/>
          <w:i/>
        </w:rPr>
        <w:t>5</w:t>
      </w:r>
      <w:r w:rsidRPr="0013380B">
        <w:rPr>
          <w:rStyle w:val="CETCaptionCarattere"/>
          <w:rFonts w:cs="Arial"/>
          <w:i/>
        </w:rPr>
        <w:t xml:space="preserve">: </w:t>
      </w:r>
      <w:r w:rsidRPr="00FE6317">
        <w:rPr>
          <w:rFonts w:eastAsia="SimHei" w:cs="Arial"/>
          <w:color w:val="000000" w:themeColor="text1"/>
          <w:szCs w:val="21"/>
        </w:rPr>
        <w:t xml:space="preserve">The </w:t>
      </w:r>
      <w:r w:rsidR="00203477" w:rsidRPr="00203477">
        <w:rPr>
          <w:rFonts w:eastAsia="SimHei" w:cs="Arial"/>
          <w:color w:val="000000" w:themeColor="text1"/>
          <w:szCs w:val="21"/>
        </w:rPr>
        <w:t>resilience for</w:t>
      </w:r>
      <w:r w:rsidRPr="00FE6317">
        <w:rPr>
          <w:rFonts w:eastAsia="SimHei" w:cs="Arial"/>
          <w:color w:val="000000" w:themeColor="text1"/>
          <w:szCs w:val="21"/>
        </w:rPr>
        <w:t xml:space="preserve"> the RPB</w:t>
      </w:r>
    </w:p>
    <w:p w14:paraId="147DD38A" w14:textId="3CF113B9" w:rsidR="00E86D5B" w:rsidRPr="00E86D5B" w:rsidRDefault="00E86D5B" w:rsidP="00E86D5B">
      <w:pPr>
        <w:ind w:firstLineChars="200" w:firstLine="360"/>
        <w:rPr>
          <w:rFonts w:cs="Arial"/>
          <w:szCs w:val="24"/>
        </w:rPr>
      </w:pPr>
      <w:r w:rsidRPr="00E86D5B">
        <w:rPr>
          <w:rFonts w:cs="Arial"/>
          <w:szCs w:val="24"/>
        </w:rPr>
        <w:t xml:space="preserve">The performance of the system under the normal condition (i.e., without the disruption) is 0.775, which is determined by </w:t>
      </w:r>
      <w:r w:rsidR="001B6F6C">
        <w:rPr>
          <w:rFonts w:cs="Arial"/>
          <w:szCs w:val="24"/>
        </w:rPr>
        <w:t>the developed</w:t>
      </w:r>
      <w:r w:rsidRPr="00E86D5B">
        <w:rPr>
          <w:rFonts w:cs="Arial"/>
          <w:szCs w:val="24"/>
        </w:rPr>
        <w:t xml:space="preserve"> DBN model. The steady value of the system performance is less than 1, </w:t>
      </w:r>
      <w:r w:rsidR="001B6F6C">
        <w:rPr>
          <w:rFonts w:cs="Arial"/>
          <w:szCs w:val="24"/>
        </w:rPr>
        <w:t xml:space="preserve">caused </w:t>
      </w:r>
      <w:r w:rsidR="001B6F6C">
        <w:rPr>
          <w:rFonts w:cs="Arial"/>
          <w:szCs w:val="24"/>
        </w:rPr>
        <w:lastRenderedPageBreak/>
        <w:t>by the</w:t>
      </w:r>
      <w:r w:rsidRPr="00E86D5B">
        <w:rPr>
          <w:rFonts w:cs="Arial"/>
          <w:szCs w:val="24"/>
        </w:rPr>
        <w:t xml:space="preserve"> degradation of components. When the disruption occurs, the components of the system will be affected, leading to the performance suddenly </w:t>
      </w:r>
      <w:r w:rsidR="001B6F6C">
        <w:rPr>
          <w:rFonts w:cs="Arial"/>
          <w:szCs w:val="24"/>
        </w:rPr>
        <w:t>dropping</w:t>
      </w:r>
      <w:r w:rsidRPr="00E86D5B">
        <w:rPr>
          <w:rFonts w:cs="Arial"/>
          <w:szCs w:val="24"/>
        </w:rPr>
        <w:t xml:space="preserve"> to 0.327. After that, with the intervention of maintenance activities, the system performance gradually restored to equilibrium. The performance curve can be determined by the developed DBN and fitting technology</w:t>
      </w:r>
      <w:r w:rsidRPr="00E86D5B">
        <w:rPr>
          <w:rFonts w:eastAsiaTheme="minorEastAsia" w:cs="Arial"/>
          <w:szCs w:val="24"/>
          <w:lang w:eastAsia="zh-CN"/>
        </w:rPr>
        <w:t>.</w:t>
      </w:r>
      <w:r>
        <w:rPr>
          <w:rFonts w:eastAsiaTheme="minorEastAsia" w:cs="Arial"/>
          <w:szCs w:val="24"/>
          <w:lang w:eastAsia="zh-CN"/>
        </w:rPr>
        <w:t xml:space="preserve"> </w:t>
      </w:r>
      <w:r w:rsidRPr="00E86D5B">
        <w:rPr>
          <w:rFonts w:cs="Arial"/>
          <w:szCs w:val="24"/>
        </w:rPr>
        <w:t xml:space="preserve">According to the performance </w:t>
      </w:r>
      <w:r>
        <w:rPr>
          <w:rFonts w:cs="Arial"/>
          <w:szCs w:val="24"/>
        </w:rPr>
        <w:t xml:space="preserve">curve, </w:t>
      </w:r>
      <w:r w:rsidRPr="00E86D5B">
        <w:rPr>
          <w:rFonts w:cs="Arial"/>
          <w:szCs w:val="24"/>
        </w:rPr>
        <w:t>the system resilience of the RPB can be determined, as shown in Fig</w:t>
      </w:r>
      <w:r>
        <w:rPr>
          <w:rFonts w:cs="Arial"/>
          <w:szCs w:val="24"/>
        </w:rPr>
        <w:t>ure 5</w:t>
      </w:r>
      <w:r w:rsidRPr="00E86D5B">
        <w:rPr>
          <w:rFonts w:cs="Arial"/>
          <w:szCs w:val="24"/>
        </w:rPr>
        <w:t>. The system resilience starts from</w:t>
      </w:r>
      <w:r>
        <w:rPr>
          <w:rFonts w:cs="Arial"/>
          <w:szCs w:val="24"/>
        </w:rPr>
        <w:t xml:space="preserve"> 0.422</w:t>
      </w:r>
      <w:r w:rsidRPr="00E86D5B">
        <w:rPr>
          <w:rFonts w:cs="Arial"/>
          <w:szCs w:val="24"/>
        </w:rPr>
        <w:t xml:space="preserve"> (i.e., the minimum value), which can be employed to indicate </w:t>
      </w:r>
      <w:r w:rsidR="001B6F6C">
        <w:rPr>
          <w:rFonts w:cs="Arial"/>
          <w:szCs w:val="24"/>
        </w:rPr>
        <w:t xml:space="preserve">the </w:t>
      </w:r>
      <w:r w:rsidRPr="00E86D5B">
        <w:rPr>
          <w:rFonts w:cs="Arial"/>
          <w:szCs w:val="24"/>
        </w:rPr>
        <w:t xml:space="preserve">absorptive capacity of the system. The stronger the absorptive capacity of the system, the higher the minimum value. Moreover, the system resilience </w:t>
      </w:r>
      <w:r w:rsidR="001B6F6C">
        <w:rPr>
          <w:rFonts w:cs="Arial"/>
          <w:szCs w:val="24"/>
        </w:rPr>
        <w:t xml:space="preserve">is </w:t>
      </w:r>
      <w:r w:rsidRPr="00E86D5B">
        <w:rPr>
          <w:rFonts w:cs="Arial"/>
          <w:szCs w:val="24"/>
        </w:rPr>
        <w:t xml:space="preserve">also subject to its capability of adaptation and restoration. For instance, it takes the system </w:t>
      </w:r>
      <w:r>
        <w:rPr>
          <w:rFonts w:cs="Arial"/>
          <w:szCs w:val="24"/>
        </w:rPr>
        <w:t>15</w:t>
      </w:r>
      <w:r w:rsidRPr="00E86D5B">
        <w:rPr>
          <w:rFonts w:cs="Arial"/>
          <w:szCs w:val="24"/>
        </w:rPr>
        <w:t xml:space="preserve"> hours to restore to an equilibrium state (i.e., </w:t>
      </w:r>
      <w:r>
        <w:rPr>
          <w:rFonts w:cs="Arial"/>
          <w:szCs w:val="24"/>
        </w:rPr>
        <w:t>0.831</w:t>
      </w:r>
      <w:r w:rsidRPr="00E86D5B">
        <w:rPr>
          <w:rFonts w:cs="Arial"/>
          <w:szCs w:val="24"/>
        </w:rPr>
        <w:t xml:space="preserve">), which is determined by the capability of adaptation and restoration of the system. The stronger the capability </w:t>
      </w:r>
      <w:r w:rsidR="001B6F6C">
        <w:rPr>
          <w:rFonts w:cs="Arial"/>
          <w:szCs w:val="24"/>
        </w:rPr>
        <w:t>to adapt and restore</w:t>
      </w:r>
      <w:r w:rsidRPr="00E86D5B">
        <w:rPr>
          <w:rFonts w:cs="Arial"/>
          <w:szCs w:val="24"/>
        </w:rPr>
        <w:t xml:space="preserve"> the system, the shorter the time required for the system to recover to the equilibrium state.</w:t>
      </w:r>
    </w:p>
    <w:p w14:paraId="68D26B83" w14:textId="77777777" w:rsidR="00600535" w:rsidRPr="002478BE" w:rsidRDefault="00600535" w:rsidP="00600535">
      <w:pPr>
        <w:pStyle w:val="CETHeading1"/>
        <w:rPr>
          <w:lang w:val="en-GB"/>
        </w:rPr>
      </w:pPr>
      <w:r w:rsidRPr="002478BE">
        <w:rPr>
          <w:lang w:val="en-GB"/>
        </w:rPr>
        <w:t>Conclusions</w:t>
      </w:r>
    </w:p>
    <w:p w14:paraId="509FCEF4" w14:textId="50B48D45" w:rsidR="00934783" w:rsidRPr="00934783" w:rsidRDefault="00934783" w:rsidP="00934783">
      <w:pPr>
        <w:pStyle w:val="CETBodytext"/>
        <w:rPr>
          <w:lang w:val="en-GB"/>
        </w:rPr>
      </w:pPr>
      <w:r w:rsidRPr="00934783">
        <w:rPr>
          <w:lang w:val="en-GB"/>
        </w:rPr>
        <w:t xml:space="preserve">The proposed methodology integrates the evaluation index system with the Catastrophe theory (CT) to determine the comprehensive intensity of disruption and the failure probability of basic factors under the disrupted condition. The dynamic Bayesian network (DBN) is </w:t>
      </w:r>
      <w:r w:rsidR="000F6175">
        <w:rPr>
          <w:lang w:val="en-GB"/>
        </w:rPr>
        <w:t xml:space="preserve">then </w:t>
      </w:r>
      <w:r w:rsidRPr="00934783">
        <w:rPr>
          <w:lang w:val="en-GB"/>
        </w:rPr>
        <w:t xml:space="preserve">used to calculate the performance curve </w:t>
      </w:r>
      <w:r w:rsidR="001B6F6C">
        <w:rPr>
          <w:lang w:val="en-GB"/>
        </w:rPr>
        <w:t xml:space="preserve">in </w:t>
      </w:r>
      <w:r w:rsidRPr="00934783">
        <w:rPr>
          <w:lang w:val="en-GB"/>
        </w:rPr>
        <w:t xml:space="preserve">two different conditions (i.e., normal </w:t>
      </w:r>
      <w:r w:rsidR="001B6F6C">
        <w:rPr>
          <w:lang w:val="en-GB"/>
        </w:rPr>
        <w:t>and disrupted conditions</w:t>
      </w:r>
      <w:r w:rsidRPr="00934783">
        <w:rPr>
          <w:lang w:val="en-GB"/>
        </w:rPr>
        <w:t xml:space="preserve">). </w:t>
      </w:r>
      <w:r w:rsidR="00997F3E">
        <w:rPr>
          <w:lang w:val="en-GB"/>
        </w:rPr>
        <w:t>Based on</w:t>
      </w:r>
      <w:r w:rsidR="000F6175">
        <w:rPr>
          <w:lang w:val="en-GB"/>
        </w:rPr>
        <w:t xml:space="preserve"> </w:t>
      </w:r>
      <w:r w:rsidR="00997F3E" w:rsidRPr="002478BE">
        <w:rPr>
          <w:lang w:val="en-GB"/>
        </w:rPr>
        <w:t xml:space="preserve">the </w:t>
      </w:r>
      <w:r w:rsidR="00997F3E">
        <w:rPr>
          <w:lang w:val="en-GB"/>
        </w:rPr>
        <w:t>performance response function (</w:t>
      </w:r>
      <w:r w:rsidR="000F6175">
        <w:rPr>
          <w:lang w:val="en-GB"/>
        </w:rPr>
        <w:t>PRF</w:t>
      </w:r>
      <w:r w:rsidR="00997F3E">
        <w:rPr>
          <w:lang w:val="en-GB"/>
        </w:rPr>
        <w:t>)</w:t>
      </w:r>
      <w:r w:rsidR="000F6175">
        <w:rPr>
          <w:lang w:val="en-GB"/>
        </w:rPr>
        <w:t>, t</w:t>
      </w:r>
      <w:r w:rsidRPr="00934783">
        <w:rPr>
          <w:lang w:val="en-GB"/>
        </w:rPr>
        <w:t xml:space="preserve">he system resilience is determined by the proposed resilience metric. </w:t>
      </w:r>
      <w:r w:rsidR="00F23F3B">
        <w:rPr>
          <w:lang w:val="en-GB"/>
        </w:rPr>
        <w:t xml:space="preserve">The main contribution of the proposed methodology is </w:t>
      </w:r>
      <w:r w:rsidR="001B6F6C">
        <w:rPr>
          <w:lang w:val="en-GB"/>
        </w:rPr>
        <w:t>to develop</w:t>
      </w:r>
      <w:r w:rsidR="00F23F3B">
        <w:rPr>
          <w:lang w:val="en-GB"/>
        </w:rPr>
        <w:t xml:space="preserve"> a way to take the disruption intensity into account when measuring system resilience. </w:t>
      </w:r>
      <w:r w:rsidRPr="00934783">
        <w:rPr>
          <w:lang w:val="en-GB"/>
        </w:rPr>
        <w:t>The presented approach can determine the disruption intensity</w:t>
      </w:r>
      <w:r w:rsidR="001B6F6C">
        <w:rPr>
          <w:lang w:val="en-GB"/>
        </w:rPr>
        <w:t xml:space="preserve"> and</w:t>
      </w:r>
      <w:r w:rsidRPr="00934783">
        <w:rPr>
          <w:lang w:val="en-GB"/>
        </w:rPr>
        <w:t xml:space="preserve"> quantify the system performance and resilience under uncertain conditions. Based on which, the system resilience can be enhanced to address uncertain disruptions to ensure system safety.</w:t>
      </w:r>
    </w:p>
    <w:p w14:paraId="428B022A" w14:textId="59E5976B" w:rsidR="00E65B91" w:rsidRPr="002478BE" w:rsidRDefault="00600535" w:rsidP="00633562">
      <w:pPr>
        <w:pStyle w:val="CETReference"/>
      </w:pPr>
      <w:r w:rsidRPr="002478BE">
        <w:t>References</w:t>
      </w:r>
    </w:p>
    <w:p w14:paraId="51BC2BB7" w14:textId="4B69ED80" w:rsidR="009806D4" w:rsidRPr="005A7A03" w:rsidRDefault="009806D4" w:rsidP="005A7A03">
      <w:pPr>
        <w:pStyle w:val="CETReferencetext"/>
      </w:pPr>
      <w:r w:rsidRPr="005A7A03">
        <w:t xml:space="preserve">Cai, B.P., Zhang, Y.P., Wang, H.F., </w:t>
      </w:r>
      <w:r w:rsidR="0066485D">
        <w:t xml:space="preserve">Liu, Y.H., Ji, R.J., Gao, C.T., </w:t>
      </w:r>
      <w:r w:rsidRPr="005A7A03">
        <w:t>et al., 2021</w:t>
      </w:r>
      <w:r w:rsidR="005A7A03">
        <w:t>,</w:t>
      </w:r>
      <w:r w:rsidRPr="005A7A03">
        <w:t xml:space="preserve"> Resilience evaluation methodology of engineering systems with dynamic-Bayesian-network-based degradation and maintenance. Reliab. Eng. Syst. Saf. 209, 107464.</w:t>
      </w:r>
    </w:p>
    <w:p w14:paraId="0BF190C6" w14:textId="01D56C77" w:rsidR="009806D4" w:rsidRPr="005A7A03" w:rsidRDefault="009806D4" w:rsidP="005A7A03">
      <w:pPr>
        <w:pStyle w:val="CETReferencetext"/>
      </w:pPr>
      <w:r w:rsidRPr="005A7A03">
        <w:t>Casciano, M., Khakzad, N., Reniers, G., Cozzani, V., 2019</w:t>
      </w:r>
      <w:r w:rsidR="005A7A03">
        <w:t>,</w:t>
      </w:r>
      <w:r w:rsidRPr="005A7A03">
        <w:t xml:space="preserve"> Ranking chemical industrial clusters with respect to safety and security using analytic network process. Process. Saf. Environ. Prot. 132, 200–213.</w:t>
      </w:r>
    </w:p>
    <w:p w14:paraId="11DC93E5" w14:textId="14555311" w:rsidR="009806D4" w:rsidRPr="005A7A03" w:rsidRDefault="009806D4" w:rsidP="005A7A03">
      <w:pPr>
        <w:pStyle w:val="CETReferencetext"/>
      </w:pPr>
      <w:r w:rsidRPr="005A7A03">
        <w:t>Chen, C., Reniers, G., Khakzad, N., 2019</w:t>
      </w:r>
      <w:r w:rsidR="005A7A03">
        <w:t>,</w:t>
      </w:r>
      <w:r w:rsidRPr="005A7A03">
        <w:t xml:space="preserve"> Integrating safety and security resources to protect chemical industrial parks from man-made domino effects: A dynamic graph approach. Reliab. Eng. Syst. Saf. 191, 106470.</w:t>
      </w:r>
    </w:p>
    <w:p w14:paraId="444432C9" w14:textId="4EA61B65" w:rsidR="009806D4" w:rsidRPr="005A7A03" w:rsidRDefault="009806D4" w:rsidP="005A7A03">
      <w:pPr>
        <w:pStyle w:val="CETReferencetext"/>
      </w:pPr>
      <w:r w:rsidRPr="005A7A03">
        <w:t xml:space="preserve">Chen, H.Y., Zhang, Y.S., Liu, H., </w:t>
      </w:r>
      <w:r w:rsidR="0066485D">
        <w:t>Meng, X.B., Du, W.Z.,</w:t>
      </w:r>
      <w:r w:rsidRPr="005A7A03">
        <w:t xml:space="preserve"> 2018</w:t>
      </w:r>
      <w:r w:rsidR="005A7A03">
        <w:t>,</w:t>
      </w:r>
      <w:r w:rsidRPr="005A7A03">
        <w:t xml:space="preserve"> Cause analysis and safety evaluation of aluminum powder explosion on the basis of catastrophe theory. J. Loss Prev. Process. Ind. 55, 19–24.</w:t>
      </w:r>
    </w:p>
    <w:p w14:paraId="075D17D9" w14:textId="0B58D920" w:rsidR="009806D4" w:rsidRPr="005A7A03" w:rsidRDefault="009806D4" w:rsidP="005A7A03">
      <w:pPr>
        <w:pStyle w:val="CETReferencetext"/>
      </w:pPr>
      <w:r w:rsidRPr="005A7A03">
        <w:t>CSB, 2014</w:t>
      </w:r>
      <w:r w:rsidR="005A7A03">
        <w:t>,</w:t>
      </w:r>
      <w:r w:rsidRPr="005A7A03">
        <w:t xml:space="preserve"> Chevron Richmond Refinery Pipe Rupture and Fire California, CA, August 6, 2012 Final Report Finding, http://www.csb.gov/, (last checked 17.11.14).</w:t>
      </w:r>
    </w:p>
    <w:p w14:paraId="65C70A64" w14:textId="3BFD1284" w:rsidR="009806D4" w:rsidRPr="005A7A03" w:rsidRDefault="009806D4" w:rsidP="005A7A03">
      <w:pPr>
        <w:pStyle w:val="CETReferencetext"/>
      </w:pPr>
      <w:r w:rsidRPr="005A7A03">
        <w:t>Ji, Z.Z., Ya</w:t>
      </w:r>
      <w:r w:rsidR="005A7A03">
        <w:t xml:space="preserve">ng, S.H., Cao, Y., </w:t>
      </w:r>
      <w:r w:rsidR="0066485D">
        <w:t xml:space="preserve">Wang, Y.C., Zhou, C.C., Yue, L., </w:t>
      </w:r>
      <w:r w:rsidR="005A7A03">
        <w:t>et al., 2021,</w:t>
      </w:r>
      <w:r w:rsidRPr="005A7A03">
        <w:t xml:space="preserve"> Harmonizing safety and security risk analysis and prevention in cyber-physical systems. Process. Saf. Environ. Prot. 148, </w:t>
      </w:r>
      <w:bookmarkStart w:id="21" w:name="OLE_LINK7"/>
      <w:r w:rsidRPr="005A7A03">
        <w:t>1279–1291.</w:t>
      </w:r>
      <w:bookmarkEnd w:id="21"/>
    </w:p>
    <w:p w14:paraId="150A010E" w14:textId="70C1A0AD" w:rsidR="009806D4" w:rsidRPr="005A7A03" w:rsidRDefault="009806D4" w:rsidP="005A7A03">
      <w:pPr>
        <w:pStyle w:val="CETReferencetext"/>
      </w:pPr>
      <w:r w:rsidRPr="005A7A03">
        <w:t>Khan, F., Rathnayaka, S., Ahmed, S., 2015</w:t>
      </w:r>
      <w:r w:rsidR="005A7A03">
        <w:t>,</w:t>
      </w:r>
      <w:r w:rsidRPr="005A7A03">
        <w:t xml:space="preserve"> Methods and models in process safety and risk management: Past, present and future Process. Saf. Environ. Prot. 98, 116–147.</w:t>
      </w:r>
    </w:p>
    <w:p w14:paraId="0221EC73" w14:textId="1845B78B" w:rsidR="009806D4" w:rsidRPr="005A7A03" w:rsidRDefault="009806D4" w:rsidP="005A7A03">
      <w:pPr>
        <w:pStyle w:val="CETReferencetext"/>
      </w:pPr>
      <w:r w:rsidRPr="005A7A03">
        <w:t>Landucci, G., Argenti, F., Cozzani, V., Reniers, G., 2017</w:t>
      </w:r>
      <w:r w:rsidR="005A7A03">
        <w:t>,</w:t>
      </w:r>
      <w:r w:rsidRPr="005A7A03">
        <w:t xml:space="preserve"> Assessment of attack likelihood to support security risk assessment studies for chemical facilities. Process. Saf. Environ. Prot. 110, 102–114.</w:t>
      </w:r>
    </w:p>
    <w:p w14:paraId="6A78A542" w14:textId="6935B437" w:rsidR="009806D4" w:rsidRPr="005A7A03" w:rsidRDefault="009806D4" w:rsidP="005A7A03">
      <w:pPr>
        <w:pStyle w:val="CETReferencetext"/>
      </w:pPr>
      <w:r w:rsidRPr="005A7A03">
        <w:t xml:space="preserve">Liu, Z.K., Ma, Q., Cai, B.P., </w:t>
      </w:r>
      <w:r w:rsidR="0066485D">
        <w:t>Liu, Y.H., Zheng, C.,</w:t>
      </w:r>
      <w:r w:rsidRPr="005A7A03">
        <w:t xml:space="preserve"> 2021</w:t>
      </w:r>
      <w:r w:rsidR="005A7A03">
        <w:t>,</w:t>
      </w:r>
      <w:r w:rsidRPr="005A7A03">
        <w:t xml:space="preserve"> Risk assessment on deepwater drilling well control based on dynamic Bayesian network. Process. Saf. Environ. Prot. 149, 643–654.</w:t>
      </w:r>
    </w:p>
    <w:p w14:paraId="253F3818" w14:textId="2C30BC96" w:rsidR="009806D4" w:rsidRPr="005A7A03" w:rsidRDefault="009806D4" w:rsidP="005A7A03">
      <w:pPr>
        <w:pStyle w:val="CETReferencetext"/>
      </w:pPr>
      <w:r w:rsidRPr="005A7A03">
        <w:t>Ricci, F., Moreno, V., Cozzani, V., 2021</w:t>
      </w:r>
      <w:r w:rsidR="005A7A03">
        <w:t>,</w:t>
      </w:r>
      <w:r w:rsidRPr="005A7A03">
        <w:t xml:space="preserve"> A comprehensive analysis of the occurrence of Natech events in the process industry. Process. Saf. Environ. Prot. 147, 703–713.</w:t>
      </w:r>
    </w:p>
    <w:p w14:paraId="09C1B5E4" w14:textId="55398A41" w:rsidR="009806D4" w:rsidRPr="005A7A03" w:rsidRDefault="009806D4" w:rsidP="005A7A03">
      <w:pPr>
        <w:pStyle w:val="CETReferencetext"/>
      </w:pPr>
      <w:r w:rsidRPr="005A7A03">
        <w:t>Sun, H., Wang, H., Yang, M., Reniers, G., 2021</w:t>
      </w:r>
      <w:r w:rsidR="005A7A03">
        <w:t>,</w:t>
      </w:r>
      <w:r w:rsidRPr="005A7A03">
        <w:t xml:space="preserve"> Resilience-based approach to safety barrier performance assessment in process systems. J. Loss Prev. Process. Ind. 73, 104599.</w:t>
      </w:r>
    </w:p>
    <w:p w14:paraId="676BA0F3" w14:textId="7D09DB5B" w:rsidR="009806D4" w:rsidRPr="005A7A03" w:rsidRDefault="009806D4" w:rsidP="005A7A03">
      <w:pPr>
        <w:pStyle w:val="CETReferencetext"/>
      </w:pPr>
      <w:r w:rsidRPr="005A7A03">
        <w:t>Thom, R., English Translation of Stabilite Str</w:t>
      </w:r>
      <w:r w:rsidR="005A7A03">
        <w:t>ucturelle et Morphogenese, 1973,</w:t>
      </w:r>
      <w:r w:rsidRPr="005A7A03">
        <w:t xml:space="preserve"> Translated by D. H. Fowler. W. A. Benjamin, Inc.</w:t>
      </w:r>
    </w:p>
    <w:p w14:paraId="270A822A" w14:textId="5C979896" w:rsidR="009806D4" w:rsidRPr="005A7A03" w:rsidRDefault="009806D4" w:rsidP="005A7A03">
      <w:pPr>
        <w:pStyle w:val="CETReferencetext"/>
      </w:pPr>
      <w:r w:rsidRPr="005A7A03">
        <w:t xml:space="preserve">Tong, Q., </w:t>
      </w:r>
      <w:r w:rsidR="005A7A03">
        <w:t>Yang, M., Zinetullina, A., 2020,</w:t>
      </w:r>
      <w:r w:rsidRPr="005A7A03">
        <w:t xml:space="preserve"> A Dynamic Bayesian Network-based approach to Resilience Assessment of Engineered Systems. J. Loss Prev. Process. Ind. 65, 104152.</w:t>
      </w:r>
    </w:p>
    <w:p w14:paraId="593050B6" w14:textId="399C651C" w:rsidR="009806D4" w:rsidRPr="005A7A03" w:rsidRDefault="009806D4" w:rsidP="005A7A03">
      <w:pPr>
        <w:pStyle w:val="CETReferencetext"/>
      </w:pPr>
      <w:r w:rsidRPr="005A7A03">
        <w:t>Wu, J.S., Bai, Y.P., Zhao</w:t>
      </w:r>
      <w:r w:rsidR="00FB7036">
        <w:t xml:space="preserve">, </w:t>
      </w:r>
      <w:r w:rsidRPr="005A7A03">
        <w:t xml:space="preserve">H.H., </w:t>
      </w:r>
      <w:r w:rsidR="005A7A03">
        <w:t>Hu, X.F., Cozzani, V., 2021,</w:t>
      </w:r>
      <w:r w:rsidRPr="005A7A03">
        <w:t xml:space="preserve"> A quantitative LNG risk assessment model based on integrated Bayesian-Catastrophe-EPE method. Saf. Sci. 137, 105184.</w:t>
      </w:r>
    </w:p>
    <w:p w14:paraId="2D952C96" w14:textId="46D422A1" w:rsidR="009806D4" w:rsidRPr="005A7A03" w:rsidRDefault="005A7A03" w:rsidP="005A7A03">
      <w:pPr>
        <w:pStyle w:val="CETReferencetext"/>
      </w:pPr>
      <w:r>
        <w:t>Yang, M., 2020,</w:t>
      </w:r>
      <w:r w:rsidR="009806D4" w:rsidRPr="005A7A03">
        <w:t xml:space="preserve"> Safety system assessment using safety entropy. J. Loss Prev. Process. Ind. 66, 104174.</w:t>
      </w:r>
    </w:p>
    <w:p w14:paraId="5B0F31D7" w14:textId="3FDFC33B" w:rsidR="00583408" w:rsidRPr="005A7A03" w:rsidRDefault="00583408" w:rsidP="00583408">
      <w:pPr>
        <w:pStyle w:val="CETReferencetext"/>
      </w:pPr>
      <w:r w:rsidRPr="005A7A03">
        <w:t xml:space="preserve">Zhang, Y.P., Cai, B.P., </w:t>
      </w:r>
      <w:r>
        <w:t xml:space="preserve">Liu, Y.L., Jiang, Q.Q., Li, W.C., </w:t>
      </w:r>
      <w:r w:rsidR="00FB7036">
        <w:t>Feng, Q.</w:t>
      </w:r>
      <w:r>
        <w:t>,</w:t>
      </w:r>
      <w:r w:rsidRPr="005A7A03">
        <w:t xml:space="preserve"> et al., 2021</w:t>
      </w:r>
      <w:r>
        <w:t>,</w:t>
      </w:r>
      <w:r w:rsidRPr="005A7A03">
        <w:t xml:space="preserve"> </w:t>
      </w:r>
      <w:r w:rsidRPr="00583408">
        <w:t>Re</w:t>
      </w:r>
      <w:r>
        <w:t xml:space="preserve">silience assessment approach of mechanical structure combining </w:t>
      </w:r>
      <w:r w:rsidRPr="00583408">
        <w:t>finite</w:t>
      </w:r>
      <w:r>
        <w:t xml:space="preserve"> </w:t>
      </w:r>
      <w:r w:rsidRPr="00583408">
        <w:t>element models and dynamic Bayesian networks</w:t>
      </w:r>
      <w:r w:rsidRPr="005A7A03">
        <w:t xml:space="preserve">. Reliab. Eng. Syst. Saf. </w:t>
      </w:r>
      <w:r>
        <w:t>216</w:t>
      </w:r>
      <w:r w:rsidRPr="005A7A03">
        <w:t>, 10</w:t>
      </w:r>
      <w:r>
        <w:t>8043</w:t>
      </w:r>
      <w:r w:rsidRPr="005A7A03">
        <w:t>.</w:t>
      </w:r>
    </w:p>
    <w:p w14:paraId="4233D6F0" w14:textId="77777777" w:rsidR="009806D4" w:rsidRPr="009806D4" w:rsidRDefault="009806D4" w:rsidP="00633562">
      <w:pPr>
        <w:pStyle w:val="CETReferencetext"/>
      </w:pPr>
    </w:p>
    <w:sectPr w:rsidR="009806D4" w:rsidRPr="009806D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6EDD" w14:textId="77777777" w:rsidR="00906A57" w:rsidRDefault="00906A57" w:rsidP="004F5E36">
      <w:r>
        <w:separator/>
      </w:r>
    </w:p>
  </w:endnote>
  <w:endnote w:type="continuationSeparator" w:id="0">
    <w:p w14:paraId="705BF20C" w14:textId="77777777" w:rsidR="00906A57" w:rsidRDefault="00906A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ulliverRM">
    <w:altName w:val="Times New Roman"/>
    <w:panose1 w:val="020B0604020202020204"/>
    <w:charset w:val="00"/>
    <w:family w:val="roman"/>
    <w:notTrueType/>
    <w:pitch w:val="default"/>
  </w:font>
  <w:font w:name="AdvP6960">
    <w:altName w:val="Cambria"/>
    <w:panose1 w:val="020B0604020202020204"/>
    <w:charset w:val="4D"/>
    <w:family w:val="roman"/>
    <w:notTrueType/>
    <w:pitch w:val="default"/>
    <w:sig w:usb0="00000003" w:usb1="00000000" w:usb2="00000000" w:usb3="00000000" w:csb0="00000001" w:csb1="00000000"/>
  </w:font>
  <w:font w:name="FangSong">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2750492"/>
      <w:docPartObj>
        <w:docPartGallery w:val="Page Numbers (Bottom of Page)"/>
        <w:docPartUnique/>
      </w:docPartObj>
    </w:sdtPr>
    <w:sdtContent>
      <w:p w14:paraId="7A855EB6" w14:textId="3FCDC56E" w:rsidR="0051123A" w:rsidRDefault="0051123A" w:rsidP="00332D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B7E2D3" w14:textId="77777777" w:rsidR="0051123A" w:rsidRDefault="0051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9089666"/>
      <w:docPartObj>
        <w:docPartGallery w:val="Page Numbers (Bottom of Page)"/>
        <w:docPartUnique/>
      </w:docPartObj>
    </w:sdtPr>
    <w:sdtContent>
      <w:p w14:paraId="393094C9" w14:textId="401E5D25" w:rsidR="0051123A" w:rsidRDefault="0051123A" w:rsidP="00332D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F8E330" w14:textId="77777777" w:rsidR="0051123A" w:rsidRDefault="0051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6CD7" w14:textId="77777777" w:rsidR="00906A57" w:rsidRDefault="00906A57" w:rsidP="004F5E36">
      <w:r>
        <w:separator/>
      </w:r>
    </w:p>
  </w:footnote>
  <w:footnote w:type="continuationSeparator" w:id="0">
    <w:p w14:paraId="00F01E51" w14:textId="77777777" w:rsidR="00906A57" w:rsidRDefault="00906A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157F"/>
    <w:rsid w:val="00062A9A"/>
    <w:rsid w:val="00064224"/>
    <w:rsid w:val="00065058"/>
    <w:rsid w:val="00086C39"/>
    <w:rsid w:val="000A03B2"/>
    <w:rsid w:val="000A5A03"/>
    <w:rsid w:val="000C3793"/>
    <w:rsid w:val="000D0268"/>
    <w:rsid w:val="000D34BE"/>
    <w:rsid w:val="000E102F"/>
    <w:rsid w:val="000E1BC4"/>
    <w:rsid w:val="000E36F1"/>
    <w:rsid w:val="000E3A73"/>
    <w:rsid w:val="000E414A"/>
    <w:rsid w:val="000F093C"/>
    <w:rsid w:val="000F6175"/>
    <w:rsid w:val="000F787B"/>
    <w:rsid w:val="001149E5"/>
    <w:rsid w:val="0012091F"/>
    <w:rsid w:val="00126BC2"/>
    <w:rsid w:val="001308B6"/>
    <w:rsid w:val="0013121F"/>
    <w:rsid w:val="00131FE6"/>
    <w:rsid w:val="0013263F"/>
    <w:rsid w:val="001331DF"/>
    <w:rsid w:val="0013380B"/>
    <w:rsid w:val="00134DE4"/>
    <w:rsid w:val="00134EAD"/>
    <w:rsid w:val="0014034D"/>
    <w:rsid w:val="00144D16"/>
    <w:rsid w:val="00150E59"/>
    <w:rsid w:val="00152DE3"/>
    <w:rsid w:val="00164CF9"/>
    <w:rsid w:val="001667A6"/>
    <w:rsid w:val="00184AD6"/>
    <w:rsid w:val="001A4AF7"/>
    <w:rsid w:val="001B0349"/>
    <w:rsid w:val="001B1E93"/>
    <w:rsid w:val="001B65C1"/>
    <w:rsid w:val="001B6F6C"/>
    <w:rsid w:val="001C684B"/>
    <w:rsid w:val="001D0CFB"/>
    <w:rsid w:val="001D53FC"/>
    <w:rsid w:val="001F42A5"/>
    <w:rsid w:val="001F7B9D"/>
    <w:rsid w:val="00201C93"/>
    <w:rsid w:val="00203477"/>
    <w:rsid w:val="002224B4"/>
    <w:rsid w:val="002447EF"/>
    <w:rsid w:val="002478BE"/>
    <w:rsid w:val="00251550"/>
    <w:rsid w:val="00263B05"/>
    <w:rsid w:val="0027221A"/>
    <w:rsid w:val="00275B61"/>
    <w:rsid w:val="00276EF1"/>
    <w:rsid w:val="00280FAF"/>
    <w:rsid w:val="00282656"/>
    <w:rsid w:val="00292A86"/>
    <w:rsid w:val="00296B83"/>
    <w:rsid w:val="002A1C3F"/>
    <w:rsid w:val="002A28D6"/>
    <w:rsid w:val="002B4015"/>
    <w:rsid w:val="002B78CE"/>
    <w:rsid w:val="002C2FB6"/>
    <w:rsid w:val="002C3D7A"/>
    <w:rsid w:val="002E3F17"/>
    <w:rsid w:val="002E5FA7"/>
    <w:rsid w:val="002F3309"/>
    <w:rsid w:val="002F643B"/>
    <w:rsid w:val="003008CE"/>
    <w:rsid w:val="003009B7"/>
    <w:rsid w:val="00300E56"/>
    <w:rsid w:val="0030469C"/>
    <w:rsid w:val="00321CA6"/>
    <w:rsid w:val="00323763"/>
    <w:rsid w:val="00334C09"/>
    <w:rsid w:val="00352007"/>
    <w:rsid w:val="003723D4"/>
    <w:rsid w:val="00381905"/>
    <w:rsid w:val="00384CC8"/>
    <w:rsid w:val="003871FD"/>
    <w:rsid w:val="003A1E30"/>
    <w:rsid w:val="003A2829"/>
    <w:rsid w:val="003A7D1C"/>
    <w:rsid w:val="003B304B"/>
    <w:rsid w:val="003B3146"/>
    <w:rsid w:val="003C00C7"/>
    <w:rsid w:val="003F015E"/>
    <w:rsid w:val="00400414"/>
    <w:rsid w:val="00405681"/>
    <w:rsid w:val="0041446B"/>
    <w:rsid w:val="00432973"/>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1D52"/>
    <w:rsid w:val="00507B47"/>
    <w:rsid w:val="00507BEF"/>
    <w:rsid w:val="00507CC9"/>
    <w:rsid w:val="0051123A"/>
    <w:rsid w:val="005119A5"/>
    <w:rsid w:val="005278B7"/>
    <w:rsid w:val="00532016"/>
    <w:rsid w:val="005346C8"/>
    <w:rsid w:val="00543E7D"/>
    <w:rsid w:val="00547A68"/>
    <w:rsid w:val="005531C9"/>
    <w:rsid w:val="00555A0B"/>
    <w:rsid w:val="00570C43"/>
    <w:rsid w:val="00583408"/>
    <w:rsid w:val="005A7A03"/>
    <w:rsid w:val="005B2110"/>
    <w:rsid w:val="005B61E6"/>
    <w:rsid w:val="005C494C"/>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33562"/>
    <w:rsid w:val="0064184D"/>
    <w:rsid w:val="006422CC"/>
    <w:rsid w:val="00657A02"/>
    <w:rsid w:val="00660C25"/>
    <w:rsid w:val="00660E3E"/>
    <w:rsid w:val="00662E74"/>
    <w:rsid w:val="0066485D"/>
    <w:rsid w:val="0067311C"/>
    <w:rsid w:val="00680C23"/>
    <w:rsid w:val="0068349C"/>
    <w:rsid w:val="006865AA"/>
    <w:rsid w:val="00693766"/>
    <w:rsid w:val="006A034C"/>
    <w:rsid w:val="006A3281"/>
    <w:rsid w:val="006B4888"/>
    <w:rsid w:val="006B6554"/>
    <w:rsid w:val="006C2E45"/>
    <w:rsid w:val="006C359C"/>
    <w:rsid w:val="006C5579"/>
    <w:rsid w:val="006D6E8B"/>
    <w:rsid w:val="006E737D"/>
    <w:rsid w:val="007019E8"/>
    <w:rsid w:val="00713973"/>
    <w:rsid w:val="00720A24"/>
    <w:rsid w:val="00732386"/>
    <w:rsid w:val="0073514D"/>
    <w:rsid w:val="007447F3"/>
    <w:rsid w:val="0075499F"/>
    <w:rsid w:val="007661C8"/>
    <w:rsid w:val="0077098D"/>
    <w:rsid w:val="00772C61"/>
    <w:rsid w:val="007931FA"/>
    <w:rsid w:val="007A4861"/>
    <w:rsid w:val="007A7BBA"/>
    <w:rsid w:val="007B0C50"/>
    <w:rsid w:val="007B3353"/>
    <w:rsid w:val="007B48F9"/>
    <w:rsid w:val="007C1A43"/>
    <w:rsid w:val="007D2F26"/>
    <w:rsid w:val="007F5BFB"/>
    <w:rsid w:val="0080013E"/>
    <w:rsid w:val="00813288"/>
    <w:rsid w:val="008168FC"/>
    <w:rsid w:val="00830996"/>
    <w:rsid w:val="008345F1"/>
    <w:rsid w:val="008458A9"/>
    <w:rsid w:val="0085791C"/>
    <w:rsid w:val="00865B07"/>
    <w:rsid w:val="008667EA"/>
    <w:rsid w:val="0087637F"/>
    <w:rsid w:val="00892AD5"/>
    <w:rsid w:val="0089592D"/>
    <w:rsid w:val="008A1512"/>
    <w:rsid w:val="008B26A2"/>
    <w:rsid w:val="008C0B27"/>
    <w:rsid w:val="008D32B9"/>
    <w:rsid w:val="008D433B"/>
    <w:rsid w:val="008E1C05"/>
    <w:rsid w:val="008E566E"/>
    <w:rsid w:val="0090161A"/>
    <w:rsid w:val="00901EB6"/>
    <w:rsid w:val="00904C62"/>
    <w:rsid w:val="00906A57"/>
    <w:rsid w:val="00910764"/>
    <w:rsid w:val="00922989"/>
    <w:rsid w:val="00922BA8"/>
    <w:rsid w:val="00924DAC"/>
    <w:rsid w:val="00927058"/>
    <w:rsid w:val="00934783"/>
    <w:rsid w:val="0094082E"/>
    <w:rsid w:val="00942750"/>
    <w:rsid w:val="009450CE"/>
    <w:rsid w:val="00947179"/>
    <w:rsid w:val="0095164B"/>
    <w:rsid w:val="00954090"/>
    <w:rsid w:val="009573E7"/>
    <w:rsid w:val="00963E05"/>
    <w:rsid w:val="00967843"/>
    <w:rsid w:val="00967D54"/>
    <w:rsid w:val="00971028"/>
    <w:rsid w:val="009806D4"/>
    <w:rsid w:val="00986EF5"/>
    <w:rsid w:val="00993B84"/>
    <w:rsid w:val="00996483"/>
    <w:rsid w:val="00996F5A"/>
    <w:rsid w:val="00997F3E"/>
    <w:rsid w:val="009B041A"/>
    <w:rsid w:val="009C37C3"/>
    <w:rsid w:val="009C7C86"/>
    <w:rsid w:val="009D2FF7"/>
    <w:rsid w:val="009E7884"/>
    <w:rsid w:val="009E788A"/>
    <w:rsid w:val="009F0E08"/>
    <w:rsid w:val="00A1763D"/>
    <w:rsid w:val="00A17CEC"/>
    <w:rsid w:val="00A25E6C"/>
    <w:rsid w:val="00A27EF0"/>
    <w:rsid w:val="00A42361"/>
    <w:rsid w:val="00A50B20"/>
    <w:rsid w:val="00A51390"/>
    <w:rsid w:val="00A60D13"/>
    <w:rsid w:val="00A72745"/>
    <w:rsid w:val="00A76EFC"/>
    <w:rsid w:val="00A91010"/>
    <w:rsid w:val="00A97F29"/>
    <w:rsid w:val="00AA702E"/>
    <w:rsid w:val="00AA7A45"/>
    <w:rsid w:val="00AB0964"/>
    <w:rsid w:val="00AB5011"/>
    <w:rsid w:val="00AC7368"/>
    <w:rsid w:val="00AD16B9"/>
    <w:rsid w:val="00AE377D"/>
    <w:rsid w:val="00AF0DF9"/>
    <w:rsid w:val="00AF0EBA"/>
    <w:rsid w:val="00AF1380"/>
    <w:rsid w:val="00AF1FB5"/>
    <w:rsid w:val="00B02C8A"/>
    <w:rsid w:val="00B07DFB"/>
    <w:rsid w:val="00B12859"/>
    <w:rsid w:val="00B17FBD"/>
    <w:rsid w:val="00B20DF1"/>
    <w:rsid w:val="00B24F6D"/>
    <w:rsid w:val="00B315A6"/>
    <w:rsid w:val="00B31813"/>
    <w:rsid w:val="00B33365"/>
    <w:rsid w:val="00B57B36"/>
    <w:rsid w:val="00B57E6F"/>
    <w:rsid w:val="00B63E4D"/>
    <w:rsid w:val="00B8686D"/>
    <w:rsid w:val="00B93F69"/>
    <w:rsid w:val="00BA730C"/>
    <w:rsid w:val="00BA7CB0"/>
    <w:rsid w:val="00BB1DDC"/>
    <w:rsid w:val="00BC30C9"/>
    <w:rsid w:val="00BD077D"/>
    <w:rsid w:val="00BE3E58"/>
    <w:rsid w:val="00BF1D9B"/>
    <w:rsid w:val="00C01616"/>
    <w:rsid w:val="00C0162B"/>
    <w:rsid w:val="00C068ED"/>
    <w:rsid w:val="00C22E0C"/>
    <w:rsid w:val="00C345B1"/>
    <w:rsid w:val="00C40142"/>
    <w:rsid w:val="00C45BC3"/>
    <w:rsid w:val="00C52C3C"/>
    <w:rsid w:val="00C57182"/>
    <w:rsid w:val="00C57863"/>
    <w:rsid w:val="00C655FD"/>
    <w:rsid w:val="00C75407"/>
    <w:rsid w:val="00C75D51"/>
    <w:rsid w:val="00C83F1A"/>
    <w:rsid w:val="00C870A8"/>
    <w:rsid w:val="00C94434"/>
    <w:rsid w:val="00CA0D75"/>
    <w:rsid w:val="00CA1C95"/>
    <w:rsid w:val="00CA5A9C"/>
    <w:rsid w:val="00CC4C20"/>
    <w:rsid w:val="00CD3517"/>
    <w:rsid w:val="00CD5FE2"/>
    <w:rsid w:val="00CE70F8"/>
    <w:rsid w:val="00CE7C68"/>
    <w:rsid w:val="00D02B4C"/>
    <w:rsid w:val="00D040C4"/>
    <w:rsid w:val="00D06B21"/>
    <w:rsid w:val="00D30764"/>
    <w:rsid w:val="00D46B7E"/>
    <w:rsid w:val="00D57C84"/>
    <w:rsid w:val="00D6057D"/>
    <w:rsid w:val="00D836C5"/>
    <w:rsid w:val="00D8448C"/>
    <w:rsid w:val="00D84576"/>
    <w:rsid w:val="00DA1399"/>
    <w:rsid w:val="00DA24C6"/>
    <w:rsid w:val="00DA4D7B"/>
    <w:rsid w:val="00DA70E0"/>
    <w:rsid w:val="00DE264A"/>
    <w:rsid w:val="00DE4C56"/>
    <w:rsid w:val="00DF5072"/>
    <w:rsid w:val="00E02D18"/>
    <w:rsid w:val="00E041E7"/>
    <w:rsid w:val="00E23CA1"/>
    <w:rsid w:val="00E409A8"/>
    <w:rsid w:val="00E45F8A"/>
    <w:rsid w:val="00E50C12"/>
    <w:rsid w:val="00E65B91"/>
    <w:rsid w:val="00E7209D"/>
    <w:rsid w:val="00E72EAD"/>
    <w:rsid w:val="00E7638F"/>
    <w:rsid w:val="00E77223"/>
    <w:rsid w:val="00E8528B"/>
    <w:rsid w:val="00E85B94"/>
    <w:rsid w:val="00E86D5B"/>
    <w:rsid w:val="00E978D0"/>
    <w:rsid w:val="00EA4613"/>
    <w:rsid w:val="00EA7F91"/>
    <w:rsid w:val="00EB03B3"/>
    <w:rsid w:val="00EB1523"/>
    <w:rsid w:val="00EB5EFE"/>
    <w:rsid w:val="00EC0E49"/>
    <w:rsid w:val="00EC101F"/>
    <w:rsid w:val="00EC1D9F"/>
    <w:rsid w:val="00EE0131"/>
    <w:rsid w:val="00EE17B0"/>
    <w:rsid w:val="00EF06D9"/>
    <w:rsid w:val="00F23F3B"/>
    <w:rsid w:val="00F30C64"/>
    <w:rsid w:val="00F32BA2"/>
    <w:rsid w:val="00F32CDB"/>
    <w:rsid w:val="00F565FE"/>
    <w:rsid w:val="00F63A70"/>
    <w:rsid w:val="00F7534E"/>
    <w:rsid w:val="00F8124B"/>
    <w:rsid w:val="00FA21D0"/>
    <w:rsid w:val="00FA5F5F"/>
    <w:rsid w:val="00FB7036"/>
    <w:rsid w:val="00FB730C"/>
    <w:rsid w:val="00FC2695"/>
    <w:rsid w:val="00FC3E03"/>
    <w:rsid w:val="00FC3FC1"/>
    <w:rsid w:val="00FD708F"/>
    <w:rsid w:val="00FE63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5BA2158-756E-4F70-9D52-5C8808B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1">
    <w:name w:val="样式1"/>
    <w:basedOn w:val="Normal"/>
    <w:link w:val="10"/>
    <w:autoRedefine/>
    <w:qFormat/>
    <w:rsid w:val="008B26A2"/>
    <w:pPr>
      <w:widowControl w:val="0"/>
      <w:tabs>
        <w:tab w:val="clear" w:pos="7100"/>
        <w:tab w:val="center" w:pos="4326"/>
        <w:tab w:val="right" w:pos="8589"/>
      </w:tabs>
      <w:overflowPunct w:val="0"/>
      <w:autoSpaceDN w:val="0"/>
      <w:adjustRightInd w:val="0"/>
      <w:snapToGrid w:val="0"/>
      <w:spacing w:line="240" w:lineRule="auto"/>
      <w:textAlignment w:val="center"/>
    </w:pPr>
    <w:rPr>
      <w:rFonts w:eastAsiaTheme="minorEastAsia" w:cs="Arial"/>
      <w:kern w:val="2"/>
      <w:szCs w:val="24"/>
      <w:lang w:val="en-US" w:eastAsia="zh-CN"/>
    </w:rPr>
  </w:style>
  <w:style w:type="character" w:customStyle="1" w:styleId="10">
    <w:name w:val="样式1 字符"/>
    <w:basedOn w:val="DefaultParagraphFont"/>
    <w:link w:val="1"/>
    <w:rsid w:val="008B26A2"/>
    <w:rPr>
      <w:rFonts w:ascii="Arial" w:hAnsi="Arial" w:cs="Arial"/>
      <w:kern w:val="2"/>
      <w:sz w:val="18"/>
      <w:szCs w:val="24"/>
      <w:lang w:val="en-US" w:eastAsia="zh-CN"/>
    </w:rPr>
  </w:style>
  <w:style w:type="character" w:customStyle="1" w:styleId="fontstyle01">
    <w:name w:val="fontstyle01"/>
    <w:basedOn w:val="DefaultParagraphFont"/>
    <w:rsid w:val="00E7638F"/>
    <w:rPr>
      <w:rFonts w:ascii="GulliverRM" w:hAnsi="GulliverRM" w:hint="default"/>
      <w:b w:val="0"/>
      <w:bCs w:val="0"/>
      <w:i w:val="0"/>
      <w:iCs w:val="0"/>
      <w:color w:val="000000"/>
      <w:sz w:val="16"/>
      <w:szCs w:val="16"/>
    </w:rPr>
  </w:style>
  <w:style w:type="paragraph" w:customStyle="1" w:styleId="2">
    <w:name w:val="参考文献文2"/>
    <w:basedOn w:val="Normal"/>
    <w:qFormat/>
    <w:rsid w:val="009806D4"/>
    <w:pPr>
      <w:widowControl w:val="0"/>
      <w:tabs>
        <w:tab w:val="clear" w:pos="7100"/>
      </w:tabs>
      <w:adjustRightInd w:val="0"/>
      <w:snapToGrid w:val="0"/>
      <w:spacing w:line="240" w:lineRule="exact"/>
      <w:ind w:left="270" w:hangingChars="270" w:hanging="270"/>
    </w:pPr>
    <w:rPr>
      <w:rFonts w:ascii="Times New Roman" w:eastAsia="SimSun" w:hAnsi="Times New Roman"/>
      <w:kern w:val="2"/>
      <w:sz w:val="15"/>
      <w:szCs w:val="15"/>
      <w:lang w:val="en-US" w:eastAsia="zh-CN"/>
    </w:rPr>
  </w:style>
  <w:style w:type="paragraph" w:styleId="Revision">
    <w:name w:val="Revision"/>
    <w:hidden/>
    <w:uiPriority w:val="99"/>
    <w:semiHidden/>
    <w:rsid w:val="00AA7A45"/>
    <w:pPr>
      <w:spacing w:after="0" w:line="240" w:lineRule="auto"/>
    </w:pPr>
    <w:rPr>
      <w:rFonts w:ascii="Arial" w:eastAsia="Times New Roman" w:hAnsi="Arial" w:cs="Times New Roman"/>
      <w:sz w:val="18"/>
      <w:szCs w:val="20"/>
      <w:lang w:val="en-GB"/>
    </w:rPr>
  </w:style>
  <w:style w:type="character" w:styleId="PageNumber">
    <w:name w:val="page number"/>
    <w:basedOn w:val="DefaultParagraphFont"/>
    <w:uiPriority w:val="99"/>
    <w:semiHidden/>
    <w:unhideWhenUsed/>
    <w:rsid w:val="0051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683390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javascript:;" TargetMode="Externa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png"/><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wanghaiqing@upc.edu.cn"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hyperlink" Target="javascrip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E073CA-5D39-744F-9BCD-DDAAE1C5309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2851-2D43-43F7-BD4F-EF39A74B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3401</Words>
  <Characters>18780</Characters>
  <Application>Microsoft Office Word</Application>
  <DocSecurity>0</DocSecurity>
  <Lines>469</Lines>
  <Paragraphs>260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Ming Yang</cp:lastModifiedBy>
  <cp:revision>5</cp:revision>
  <cp:lastPrinted>2015-05-12T18:31:00Z</cp:lastPrinted>
  <dcterms:created xsi:type="dcterms:W3CDTF">2022-03-02T10:41:00Z</dcterms:created>
  <dcterms:modified xsi:type="dcterms:W3CDTF">2022-03-02T10:43:00Z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documentId_4456</vt:lpwstr>
  </property>
  <property fmtid="{D5CDD505-2E9C-101B-9397-08002B2CF9AE}" pid="5" name="grammarly_documentContext">
    <vt:lpwstr>{"goals":[],"domain":"general","emotions":[],"dialect":"american"}</vt:lpwstr>
  </property>
</Properties>
</file>