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F84A9C" w:rsidRDefault="00300E56" w:rsidP="00B57E6F">
            <w:pPr>
              <w:ind w:left="-107"/>
              <w:outlineLvl w:val="2"/>
              <w:rPr>
                <w:rFonts w:ascii="Tahoma" w:hAnsi="Tahoma" w:cs="Tahoma"/>
                <w:bCs/>
                <w:color w:val="000000"/>
                <w:sz w:val="14"/>
                <w:szCs w:val="14"/>
                <w:lang w:val="it-IT" w:eastAsia="it-IT"/>
              </w:rPr>
            </w:pPr>
            <w:r w:rsidRPr="00F84A9C">
              <w:rPr>
                <w:rFonts w:ascii="Tahoma" w:hAnsi="Tahoma" w:cs="Tahoma"/>
                <w:iCs/>
                <w:color w:val="333333"/>
                <w:sz w:val="14"/>
                <w:szCs w:val="14"/>
                <w:lang w:val="it-IT" w:eastAsia="it-IT"/>
              </w:rPr>
              <w:t>Guest Editors:</w:t>
            </w:r>
            <w:r w:rsidR="00904C62" w:rsidRPr="00F84A9C">
              <w:rPr>
                <w:rFonts w:ascii="Tahoma" w:hAnsi="Tahoma" w:cs="Tahoma"/>
                <w:iCs/>
                <w:color w:val="333333"/>
                <w:sz w:val="14"/>
                <w:szCs w:val="14"/>
                <w:lang w:val="it-IT" w:eastAsia="it-IT"/>
              </w:rPr>
              <w:t xml:space="preserve"> </w:t>
            </w:r>
            <w:r w:rsidR="00B57E6F" w:rsidRPr="00F84A9C">
              <w:rPr>
                <w:rFonts w:ascii="Tahoma" w:hAnsi="Tahoma" w:cs="Tahoma"/>
                <w:color w:val="000000"/>
                <w:sz w:val="14"/>
                <w:szCs w:val="14"/>
                <w:shd w:val="clear" w:color="auto" w:fill="FFFFFF"/>
                <w:lang w:val="it-IT"/>
              </w:rPr>
              <w:t xml:space="preserve">Valerio Cozzani, </w:t>
            </w:r>
            <w:r w:rsidR="001331DF" w:rsidRPr="00F84A9C">
              <w:rPr>
                <w:rFonts w:ascii="Tahoma" w:hAnsi="Tahoma" w:cs="Tahoma"/>
                <w:color w:val="000000"/>
                <w:sz w:val="14"/>
                <w:szCs w:val="14"/>
                <w:shd w:val="clear" w:color="auto" w:fill="FFFFFF"/>
                <w:lang w:val="it-IT"/>
              </w:rPr>
              <w:t>Bruno Fabiano</w:t>
            </w:r>
            <w:r w:rsidR="00B57E6F" w:rsidRPr="00F84A9C">
              <w:rPr>
                <w:rFonts w:ascii="Tahoma" w:hAnsi="Tahoma" w:cs="Tahoma"/>
                <w:color w:val="000000"/>
                <w:sz w:val="14"/>
                <w:szCs w:val="14"/>
                <w:shd w:val="clear" w:color="auto" w:fill="FFFFFF"/>
                <w:lang w:val="it-IT"/>
              </w:rPr>
              <w:t xml:space="preserve">, </w:t>
            </w:r>
            <w:r w:rsidR="00B57E6F" w:rsidRPr="00F84A9C">
              <w:rPr>
                <w:rFonts w:ascii="Tahoma" w:hAnsi="Tahoma" w:cs="Tahoma"/>
                <w:bCs/>
                <w:color w:val="000000"/>
                <w:sz w:val="14"/>
                <w:szCs w:val="14"/>
                <w:lang w:val="it-IT" w:eastAsia="it-IT"/>
              </w:rPr>
              <w:t>Genserik Reniers</w:t>
            </w:r>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footerReference w:type="default" r:id="rId10"/>
          <w:footerReference w:type="first" r:id="rId11"/>
          <w:type w:val="continuous"/>
          <w:pgSz w:w="11906" w:h="16838" w:code="9"/>
          <w:pgMar w:top="1701" w:right="1418" w:bottom="1701" w:left="1701" w:header="1701" w:footer="0" w:gutter="0"/>
          <w:cols w:space="708"/>
          <w:titlePg/>
          <w:docGrid w:linePitch="360"/>
        </w:sectPr>
      </w:pPr>
    </w:p>
    <w:p w14:paraId="5C3C45EB" w14:textId="188CE43F" w:rsidR="00BA6E07" w:rsidRPr="00BA6E07" w:rsidRDefault="00BA6E07" w:rsidP="00BA6E07">
      <w:pPr>
        <w:pStyle w:val="CETAuthors"/>
        <w:jc w:val="center"/>
        <w:rPr>
          <w:rFonts w:cs="Arial"/>
          <w:sz w:val="32"/>
          <w:szCs w:val="32"/>
        </w:rPr>
      </w:pPr>
      <w:r w:rsidRPr="00BA6E07">
        <w:rPr>
          <w:rFonts w:cs="Arial"/>
          <w:sz w:val="32"/>
          <w:szCs w:val="32"/>
        </w:rPr>
        <w:t xml:space="preserve">Biomethane </w:t>
      </w:r>
      <w:r>
        <w:rPr>
          <w:rFonts w:cs="Arial"/>
          <w:sz w:val="32"/>
          <w:szCs w:val="32"/>
        </w:rPr>
        <w:t>P</w:t>
      </w:r>
      <w:r w:rsidRPr="00BA6E07">
        <w:rPr>
          <w:rFonts w:cs="Arial"/>
          <w:sz w:val="32"/>
          <w:szCs w:val="32"/>
        </w:rPr>
        <w:t xml:space="preserve">roduction: </w:t>
      </w:r>
      <w:r>
        <w:rPr>
          <w:rFonts w:cs="Arial"/>
          <w:sz w:val="32"/>
          <w:szCs w:val="32"/>
        </w:rPr>
        <w:t>P</w:t>
      </w:r>
      <w:r w:rsidRPr="00BA6E07">
        <w:rPr>
          <w:rFonts w:cs="Arial"/>
          <w:sz w:val="32"/>
          <w:szCs w:val="32"/>
        </w:rPr>
        <w:t xml:space="preserve">ressure </w:t>
      </w:r>
      <w:r>
        <w:rPr>
          <w:rFonts w:cs="Arial"/>
          <w:sz w:val="32"/>
          <w:szCs w:val="32"/>
        </w:rPr>
        <w:t>I</w:t>
      </w:r>
      <w:r w:rsidRPr="00BA6E07">
        <w:rPr>
          <w:rFonts w:cs="Arial"/>
          <w:sz w:val="32"/>
          <w:szCs w:val="32"/>
        </w:rPr>
        <w:t xml:space="preserve">nfluence on </w:t>
      </w:r>
      <w:r>
        <w:rPr>
          <w:rFonts w:cs="Arial"/>
          <w:sz w:val="32"/>
          <w:szCs w:val="32"/>
        </w:rPr>
        <w:t>C</w:t>
      </w:r>
      <w:r w:rsidRPr="00BA6E07">
        <w:rPr>
          <w:rFonts w:cs="Arial"/>
          <w:sz w:val="32"/>
          <w:szCs w:val="32"/>
        </w:rPr>
        <w:t xml:space="preserve">lassification of Atex </w:t>
      </w:r>
      <w:r>
        <w:rPr>
          <w:rFonts w:cs="Arial"/>
          <w:sz w:val="32"/>
          <w:szCs w:val="32"/>
        </w:rPr>
        <w:t>Z</w:t>
      </w:r>
      <w:r w:rsidRPr="00BA6E07">
        <w:rPr>
          <w:rFonts w:cs="Arial"/>
          <w:sz w:val="32"/>
          <w:szCs w:val="32"/>
        </w:rPr>
        <w:t>ones</w:t>
      </w:r>
    </w:p>
    <w:p w14:paraId="7BAA5E2A" w14:textId="77777777" w:rsidR="00BA6E07" w:rsidRDefault="00BA6E07" w:rsidP="00A521AF">
      <w:pPr>
        <w:pStyle w:val="CETAuthors"/>
        <w:rPr>
          <w:rFonts w:cs="Arial"/>
          <w:szCs w:val="24"/>
          <w:vertAlign w:val="superscript"/>
        </w:rPr>
      </w:pPr>
      <w:r w:rsidRPr="00BA6E07">
        <w:rPr>
          <w:rFonts w:cs="Arial"/>
          <w:szCs w:val="24"/>
        </w:rPr>
        <w:t>Roberto Lauri</w:t>
      </w:r>
      <w:r>
        <w:rPr>
          <w:rFonts w:cs="Arial"/>
          <w:szCs w:val="24"/>
          <w:vertAlign w:val="superscript"/>
        </w:rPr>
        <w:t>a</w:t>
      </w:r>
    </w:p>
    <w:p w14:paraId="23A6E58D" w14:textId="7FD9603A" w:rsidR="00BA6E07" w:rsidRDefault="00BA6E07" w:rsidP="00BA6E07">
      <w:pPr>
        <w:pStyle w:val="CETAuthors"/>
        <w:spacing w:after="0"/>
        <w:rPr>
          <w:rFonts w:cs="Arial"/>
          <w:sz w:val="16"/>
          <w:szCs w:val="16"/>
        </w:rPr>
      </w:pPr>
      <w:r w:rsidRPr="00BA6E07">
        <w:rPr>
          <w:rFonts w:cs="Arial"/>
          <w:sz w:val="16"/>
          <w:szCs w:val="16"/>
          <w:vertAlign w:val="superscript"/>
        </w:rPr>
        <w:t>a</w:t>
      </w:r>
      <w:r w:rsidRPr="00BA6E07">
        <w:rPr>
          <w:rFonts w:cs="Arial"/>
          <w:sz w:val="16"/>
          <w:szCs w:val="16"/>
        </w:rPr>
        <w:t xml:space="preserve">INAIL, Department of Technological Innovations and Safety of Plants, Products and Human Settlements, Via del Torraccio di Torrenova 7, 00133 Rome, Italy. </w:t>
      </w:r>
    </w:p>
    <w:p w14:paraId="2632CE8B" w14:textId="77777777" w:rsidR="00BA6E07" w:rsidRPr="00BA6E07" w:rsidRDefault="00BA6E07" w:rsidP="00BA6E07">
      <w:pPr>
        <w:pStyle w:val="CETemail"/>
        <w:jc w:val="both"/>
        <w:rPr>
          <w:rFonts w:cs="Arial"/>
          <w:szCs w:val="16"/>
        </w:rPr>
      </w:pPr>
      <w:r w:rsidRPr="00BA6E07">
        <w:rPr>
          <w:rFonts w:cs="Arial"/>
          <w:szCs w:val="16"/>
        </w:rPr>
        <w:t>r.lauri@inail.it</w:t>
      </w:r>
    </w:p>
    <w:p w14:paraId="514D86A2" w14:textId="4E82F8F1" w:rsidR="00BA6E07" w:rsidRDefault="00A521AF" w:rsidP="00847CE1">
      <w:pPr>
        <w:pStyle w:val="CETAuthors"/>
        <w:rPr>
          <w:rFonts w:cs="Arial"/>
          <w:color w:val="000000" w:themeColor="text1"/>
          <w:sz w:val="18"/>
          <w:szCs w:val="18"/>
          <w:lang w:val="en-US"/>
        </w:rPr>
      </w:pPr>
      <w:r w:rsidRPr="00A521AF">
        <w:rPr>
          <w:rStyle w:val="Enfasigrassetto"/>
          <w:rFonts w:cs="Arial"/>
          <w:b w:val="0"/>
          <w:color w:val="000000" w:themeColor="text1"/>
          <w:sz w:val="18"/>
          <w:szCs w:val="18"/>
          <w:bdr w:val="none" w:sz="0" w:space="0" w:color="auto" w:frame="1"/>
          <w:lang w:val="en-US"/>
        </w:rPr>
        <w:t>The smart combination of renewable energy sources and technologies will be a fundamental tool for developing the energy systems of the future and achieving carbon-neutrality by 2050. Biomethane produced by biogas upgrading is a renewable alternative to natural gas and it is able</w:t>
      </w:r>
      <w:r w:rsidRPr="00A521AF">
        <w:rPr>
          <w:rFonts w:cs="Arial"/>
          <w:color w:val="000000" w:themeColor="text1"/>
          <w:sz w:val="18"/>
          <w:szCs w:val="18"/>
          <w:lang w:val="en-US"/>
        </w:rPr>
        <w:t xml:space="preserve"> to abate </w:t>
      </w:r>
      <w:r w:rsidR="00EF2533">
        <w:rPr>
          <w:rFonts w:cs="Arial"/>
          <w:color w:val="000000" w:themeColor="text1"/>
          <w:sz w:val="18"/>
          <w:szCs w:val="18"/>
          <w:lang w:val="en-US"/>
        </w:rPr>
        <w:t>greenhouse gas</w:t>
      </w:r>
      <w:r w:rsidRPr="00A521AF">
        <w:rPr>
          <w:rFonts w:cs="Arial"/>
          <w:color w:val="000000" w:themeColor="text1"/>
          <w:sz w:val="18"/>
          <w:szCs w:val="18"/>
          <w:lang w:val="en-US"/>
        </w:rPr>
        <w:t xml:space="preserve"> emissions from transport, which represent 25% of the total emissions in European Union. </w:t>
      </w:r>
      <w:r w:rsidRPr="00A521AF">
        <w:rPr>
          <w:rFonts w:cs="Arial"/>
          <w:color w:val="000000" w:themeColor="text1"/>
          <w:sz w:val="18"/>
          <w:szCs w:val="18"/>
          <w:shd w:val="clear" w:color="auto" w:fill="FFFFFF"/>
          <w:lang w:val="en-US"/>
        </w:rPr>
        <w:t xml:space="preserve"> This biofuel can be used in applications such as heating, transport and electric energy generation, since it has the same properties as natural gas. It can be directly injected into the existing gas network as a low-carbon alternative to natural gas, using the </w:t>
      </w:r>
      <w:r w:rsidR="0039058B">
        <w:rPr>
          <w:rFonts w:cs="Arial"/>
          <w:color w:val="000000" w:themeColor="text1"/>
          <w:sz w:val="18"/>
          <w:szCs w:val="18"/>
          <w:shd w:val="clear" w:color="auto" w:fill="FFFFFF"/>
          <w:lang w:val="en-US"/>
        </w:rPr>
        <w:t>current</w:t>
      </w:r>
      <w:r w:rsidRPr="00A521AF">
        <w:rPr>
          <w:rFonts w:cs="Arial"/>
          <w:color w:val="000000" w:themeColor="text1"/>
          <w:sz w:val="18"/>
          <w:szCs w:val="18"/>
          <w:shd w:val="clear" w:color="auto" w:fill="FFFFFF"/>
          <w:lang w:val="en-US"/>
        </w:rPr>
        <w:t xml:space="preserve"> infrastructure</w:t>
      </w:r>
      <w:r w:rsidR="0039058B">
        <w:rPr>
          <w:rFonts w:cs="Arial"/>
          <w:color w:val="000000" w:themeColor="text1"/>
          <w:sz w:val="18"/>
          <w:szCs w:val="18"/>
          <w:shd w:val="clear" w:color="auto" w:fill="FFFFFF"/>
          <w:lang w:val="en-US"/>
        </w:rPr>
        <w:t>s</w:t>
      </w:r>
      <w:r w:rsidRPr="00A521AF">
        <w:rPr>
          <w:rFonts w:cs="Arial"/>
          <w:color w:val="000000" w:themeColor="text1"/>
          <w:sz w:val="18"/>
          <w:szCs w:val="18"/>
          <w:shd w:val="clear" w:color="auto" w:fill="FFFFFF"/>
          <w:lang w:val="en-US"/>
        </w:rPr>
        <w:t>. </w:t>
      </w:r>
      <w:r w:rsidRPr="00A521AF">
        <w:rPr>
          <w:rFonts w:cs="Arial"/>
          <w:color w:val="000000" w:themeColor="text1"/>
          <w:sz w:val="18"/>
          <w:szCs w:val="18"/>
          <w:lang w:val="en-US"/>
        </w:rPr>
        <w:t xml:space="preserve">The strategic biomethane role determines a particular attention to potential hazards associated with its production. In particular, one of the main hazards is the possible formation of potentially explosive atmospheres due to accidental releases from components, such as valves, </w:t>
      </w:r>
      <w:r w:rsidR="00573B05">
        <w:rPr>
          <w:rFonts w:cs="Arial"/>
          <w:color w:val="000000" w:themeColor="text1"/>
          <w:sz w:val="18"/>
          <w:szCs w:val="18"/>
          <w:lang w:val="en-US"/>
        </w:rPr>
        <w:t xml:space="preserve">flanges, </w:t>
      </w:r>
      <w:r w:rsidRPr="00A521AF">
        <w:rPr>
          <w:rFonts w:cs="Arial"/>
          <w:color w:val="000000" w:themeColor="text1"/>
          <w:sz w:val="18"/>
          <w:szCs w:val="18"/>
          <w:lang w:val="en-US"/>
        </w:rPr>
        <w:t xml:space="preserve">compressors, etc.  The biomethane compression is the most hazardous phase of its production process, because it occurs in an indoor place (compression unit) and it is characterized by the maximum pressure values, which can </w:t>
      </w:r>
      <w:r w:rsidR="005F4E7C">
        <w:rPr>
          <w:rFonts w:cs="Arial"/>
          <w:color w:val="000000" w:themeColor="text1"/>
          <w:sz w:val="18"/>
          <w:szCs w:val="18"/>
          <w:lang w:val="en-US"/>
        </w:rPr>
        <w:t>exceed</w:t>
      </w:r>
      <w:r w:rsidRPr="00A521AF">
        <w:rPr>
          <w:rFonts w:cs="Arial"/>
          <w:color w:val="000000" w:themeColor="text1"/>
          <w:sz w:val="18"/>
          <w:szCs w:val="18"/>
          <w:lang w:val="en-US"/>
        </w:rPr>
        <w:t xml:space="preserve"> 70-80 bar. The paper </w:t>
      </w:r>
      <w:r w:rsidR="004C7A13">
        <w:rPr>
          <w:rFonts w:cs="Arial"/>
          <w:color w:val="000000" w:themeColor="text1"/>
          <w:sz w:val="18"/>
          <w:szCs w:val="18"/>
          <w:lang w:val="en-US"/>
        </w:rPr>
        <w:t>is</w:t>
      </w:r>
      <w:r w:rsidRPr="00A521AF">
        <w:rPr>
          <w:rFonts w:cs="Arial"/>
          <w:color w:val="000000" w:themeColor="text1"/>
          <w:sz w:val="18"/>
          <w:szCs w:val="18"/>
          <w:lang w:val="en-US"/>
        </w:rPr>
        <w:t xml:space="preserve"> focused on compression unit and the influence of </w:t>
      </w:r>
      <w:r w:rsidR="004C7A13">
        <w:rPr>
          <w:rFonts w:cs="Arial"/>
          <w:color w:val="000000" w:themeColor="text1"/>
          <w:sz w:val="18"/>
          <w:szCs w:val="18"/>
          <w:lang w:val="en-US"/>
        </w:rPr>
        <w:t xml:space="preserve">levels of </w:t>
      </w:r>
      <w:r w:rsidRPr="00A521AF">
        <w:rPr>
          <w:rFonts w:cs="Arial"/>
          <w:color w:val="000000" w:themeColor="text1"/>
          <w:sz w:val="18"/>
          <w:szCs w:val="18"/>
          <w:lang w:val="en-US"/>
        </w:rPr>
        <w:t xml:space="preserve">biomethane production pressure on Atex zones classification </w:t>
      </w:r>
      <w:r w:rsidR="00C07560">
        <w:rPr>
          <w:rFonts w:cs="Arial"/>
          <w:color w:val="000000" w:themeColor="text1"/>
          <w:sz w:val="18"/>
          <w:szCs w:val="18"/>
          <w:lang w:val="en-US"/>
        </w:rPr>
        <w:t>has been</w:t>
      </w:r>
      <w:r w:rsidRPr="00A521AF">
        <w:rPr>
          <w:rFonts w:cs="Arial"/>
          <w:color w:val="000000" w:themeColor="text1"/>
          <w:sz w:val="18"/>
          <w:szCs w:val="18"/>
          <w:lang w:val="en-US"/>
        </w:rPr>
        <w:t xml:space="preserve"> studied.</w:t>
      </w:r>
      <w:r w:rsidR="004C7A13">
        <w:rPr>
          <w:rFonts w:cs="Arial"/>
          <w:color w:val="000000" w:themeColor="text1"/>
          <w:sz w:val="18"/>
          <w:szCs w:val="18"/>
          <w:lang w:val="en-US"/>
        </w:rPr>
        <w:t xml:space="preserve"> </w:t>
      </w:r>
      <w:r w:rsidR="00B765FD">
        <w:rPr>
          <w:rFonts w:cs="Arial"/>
          <w:color w:val="000000" w:themeColor="text1"/>
          <w:sz w:val="18"/>
          <w:szCs w:val="18"/>
          <w:lang w:val="en-US"/>
        </w:rPr>
        <w:t>In particular, t</w:t>
      </w:r>
      <w:r w:rsidR="004C7A13">
        <w:rPr>
          <w:rFonts w:cs="Arial"/>
          <w:color w:val="000000" w:themeColor="text1"/>
          <w:sz w:val="18"/>
          <w:szCs w:val="18"/>
          <w:lang w:val="en-US"/>
        </w:rPr>
        <w:t xml:space="preserve">he study is aimed at indicating the air velocity values, which allow to achieve the best dilution degree and </w:t>
      </w:r>
      <w:r w:rsidR="00B765FD">
        <w:rPr>
          <w:rFonts w:cs="Arial"/>
          <w:color w:val="000000" w:themeColor="text1"/>
          <w:sz w:val="18"/>
          <w:szCs w:val="18"/>
          <w:lang w:val="en-US"/>
        </w:rPr>
        <w:t xml:space="preserve">consequently </w:t>
      </w:r>
      <w:r w:rsidR="004C7A13">
        <w:rPr>
          <w:rFonts w:cs="Arial"/>
          <w:color w:val="000000" w:themeColor="text1"/>
          <w:sz w:val="18"/>
          <w:szCs w:val="18"/>
          <w:lang w:val="en-US"/>
        </w:rPr>
        <w:t xml:space="preserve">decrease </w:t>
      </w:r>
      <w:r w:rsidR="00B765FD">
        <w:rPr>
          <w:rFonts w:cs="Arial"/>
          <w:color w:val="000000" w:themeColor="text1"/>
          <w:sz w:val="18"/>
          <w:szCs w:val="18"/>
          <w:lang w:val="en-US"/>
        </w:rPr>
        <w:t>the hazard</w:t>
      </w:r>
      <w:r w:rsidR="008250E8">
        <w:rPr>
          <w:rFonts w:cs="Arial"/>
          <w:color w:val="000000" w:themeColor="text1"/>
          <w:sz w:val="18"/>
          <w:szCs w:val="18"/>
          <w:lang w:val="en-US"/>
        </w:rPr>
        <w:t>ousness</w:t>
      </w:r>
      <w:r w:rsidR="00B765FD">
        <w:rPr>
          <w:rFonts w:cs="Arial"/>
          <w:color w:val="000000" w:themeColor="text1"/>
          <w:sz w:val="18"/>
          <w:szCs w:val="18"/>
          <w:lang w:val="en-US"/>
        </w:rPr>
        <w:t xml:space="preserve"> of </w:t>
      </w:r>
      <w:r w:rsidR="008250E8">
        <w:rPr>
          <w:rFonts w:cs="Arial"/>
          <w:color w:val="000000" w:themeColor="text1"/>
          <w:sz w:val="18"/>
          <w:szCs w:val="18"/>
          <w:lang w:val="en-US"/>
        </w:rPr>
        <w:t>zone generated by the accidental biomethane emission from compressor.</w:t>
      </w:r>
    </w:p>
    <w:p w14:paraId="5EEC78B6" w14:textId="46F9FBEB" w:rsidR="00A521AF" w:rsidRPr="00A521AF" w:rsidRDefault="00A521AF" w:rsidP="003861AB">
      <w:pPr>
        <w:pStyle w:val="CETAuthors"/>
        <w:numPr>
          <w:ilvl w:val="0"/>
          <w:numId w:val="23"/>
        </w:numPr>
        <w:tabs>
          <w:tab w:val="left" w:pos="284"/>
        </w:tabs>
        <w:jc w:val="left"/>
        <w:rPr>
          <w:rFonts w:cs="Arial"/>
          <w:b/>
          <w:sz w:val="20"/>
        </w:rPr>
      </w:pPr>
      <w:r w:rsidRPr="00A521AF">
        <w:rPr>
          <w:rFonts w:cs="Arial"/>
          <w:b/>
          <w:color w:val="000000" w:themeColor="text1"/>
          <w:sz w:val="20"/>
          <w:lang w:val="en-US"/>
        </w:rPr>
        <w:t>Introduction</w:t>
      </w:r>
    </w:p>
    <w:p w14:paraId="7DEEA6C4" w14:textId="775D915C" w:rsidR="000B5398" w:rsidRPr="008D39AE" w:rsidRDefault="00CE5578" w:rsidP="0039058B">
      <w:pPr>
        <w:tabs>
          <w:tab w:val="clear" w:pos="7100"/>
        </w:tabs>
        <w:autoSpaceDE w:val="0"/>
        <w:autoSpaceDN w:val="0"/>
        <w:adjustRightInd w:val="0"/>
        <w:spacing w:line="22" w:lineRule="atLeast"/>
        <w:rPr>
          <w:rFonts w:eastAsiaTheme="minorHAnsi" w:cs="Arial"/>
          <w:szCs w:val="18"/>
          <w:lang w:val="en-US"/>
        </w:rPr>
      </w:pPr>
      <w:r>
        <w:t xml:space="preserve">In </w:t>
      </w:r>
      <w:r w:rsidRPr="00D17E91">
        <w:t>order to mitigate the climate change, it is essential to develop sustainable and decarbonized renewable energy systems. Heat</w:t>
      </w:r>
      <w:r w:rsidR="004F7522" w:rsidRPr="00D17E91">
        <w:t>ing</w:t>
      </w:r>
      <w:r w:rsidRPr="00D17E91">
        <w:t xml:space="preserve"> and transport account for about 80% of final energy consumption.</w:t>
      </w:r>
      <w:r w:rsidR="0066145B" w:rsidRPr="00D17E91">
        <w:t xml:space="preserve"> </w:t>
      </w:r>
      <w:r w:rsidRPr="00D17E91">
        <w:t xml:space="preserve">In particular, biomethane can have a considerable </w:t>
      </w:r>
      <w:r w:rsidR="00E01A80" w:rsidRPr="00D17E91">
        <w:t>influence</w:t>
      </w:r>
      <w:r w:rsidRPr="00D17E91">
        <w:t xml:space="preserve"> in future energy systems and play a key role in decarbonizing heat</w:t>
      </w:r>
      <w:r w:rsidR="004F7522" w:rsidRPr="00D17E91">
        <w:t>ing</w:t>
      </w:r>
      <w:r w:rsidRPr="00D17E91">
        <w:t xml:space="preserve"> and transport. </w:t>
      </w:r>
      <w:r w:rsidR="00577064" w:rsidRPr="00D17E91">
        <w:t>The b</w:t>
      </w:r>
      <w:r w:rsidR="00577064" w:rsidRPr="00D17E91">
        <w:rPr>
          <w:rFonts w:cs="Arial"/>
          <w:szCs w:val="18"/>
        </w:rPr>
        <w:t>iogas upgrading or the solid biomass gasification followed by methanation can produce biomethane</w:t>
      </w:r>
      <w:r w:rsidR="008C5F31" w:rsidRPr="00D17E91">
        <w:rPr>
          <w:rFonts w:cs="Arial"/>
          <w:szCs w:val="18"/>
        </w:rPr>
        <w:t xml:space="preserve"> (Molino et al., 2012)</w:t>
      </w:r>
      <w:r w:rsidR="0066145B" w:rsidRPr="00D17E91">
        <w:rPr>
          <w:rFonts w:cs="Arial"/>
          <w:szCs w:val="18"/>
          <w:shd w:val="clear" w:color="auto" w:fill="FFFFFF"/>
        </w:rPr>
        <w:t xml:space="preserve">. </w:t>
      </w:r>
      <w:r w:rsidR="0066145B" w:rsidRPr="00D17E91">
        <w:rPr>
          <w:rFonts w:cs="Arial"/>
        </w:rPr>
        <w:t xml:space="preserve">This </w:t>
      </w:r>
      <w:r w:rsidR="00D7397B" w:rsidRPr="00D17E91">
        <w:rPr>
          <w:rFonts w:cs="Arial"/>
        </w:rPr>
        <w:t xml:space="preserve">biofuel is </w:t>
      </w:r>
      <w:r w:rsidR="0066145B" w:rsidRPr="00D17E91">
        <w:rPr>
          <w:rFonts w:cs="Arial"/>
        </w:rPr>
        <w:t xml:space="preserve">essential </w:t>
      </w:r>
      <w:r w:rsidR="00D7397B" w:rsidRPr="00D17E91">
        <w:rPr>
          <w:rFonts w:cs="Arial"/>
        </w:rPr>
        <w:t>for</w:t>
      </w:r>
      <w:r w:rsidR="0066145B" w:rsidRPr="00D17E91">
        <w:rPr>
          <w:rFonts w:cs="Arial"/>
        </w:rPr>
        <w:t xml:space="preserve"> accelerat</w:t>
      </w:r>
      <w:r w:rsidR="00D7397B" w:rsidRPr="00D17E91">
        <w:rPr>
          <w:rFonts w:cs="Arial"/>
        </w:rPr>
        <w:t>ing</w:t>
      </w:r>
      <w:r w:rsidR="0066145B" w:rsidRPr="00D17E91">
        <w:rPr>
          <w:rFonts w:cs="Arial"/>
        </w:rPr>
        <w:t xml:space="preserve"> the reduction of </w:t>
      </w:r>
      <w:r w:rsidR="00D7397B" w:rsidRPr="00D17E91">
        <w:rPr>
          <w:rFonts w:cs="Arial"/>
        </w:rPr>
        <w:t xml:space="preserve">greenhouse gases </w:t>
      </w:r>
      <w:r w:rsidR="0066145B" w:rsidRPr="00D17E91">
        <w:rPr>
          <w:rFonts w:cs="Arial"/>
        </w:rPr>
        <w:t>emissions in multiple sectors, including buildings, transport and agriculture</w:t>
      </w:r>
      <w:r w:rsidR="00F1176E" w:rsidRPr="00D17E91">
        <w:rPr>
          <w:rFonts w:cs="Arial"/>
        </w:rPr>
        <w:t xml:space="preserve"> (Rafiee et al., 2021)</w:t>
      </w:r>
      <w:r w:rsidR="0066145B" w:rsidRPr="00D17E91">
        <w:rPr>
          <w:rFonts w:cs="Arial"/>
        </w:rPr>
        <w:t>.</w:t>
      </w:r>
      <w:r w:rsidR="00D1554A" w:rsidRPr="00D17E91">
        <w:rPr>
          <w:rFonts w:cs="Arial"/>
        </w:rPr>
        <w:t xml:space="preserve"> The biomethane deployment to replace fossil fuels does not require the investment of additional resources to develop new infrastructure</w:t>
      </w:r>
      <w:r w:rsidR="00D17E91">
        <w:rPr>
          <w:rFonts w:cs="Arial"/>
        </w:rPr>
        <w:t>s</w:t>
      </w:r>
      <w:r w:rsidR="00D1554A" w:rsidRPr="00D17E91">
        <w:rPr>
          <w:rFonts w:cs="Arial"/>
        </w:rPr>
        <w:t>. Indeed, the existing gas infrastructure is biomethane-ready. This is an important key</w:t>
      </w:r>
      <w:r w:rsidR="00843E95" w:rsidRPr="00D17E91">
        <w:rPr>
          <w:rFonts w:cs="Arial"/>
        </w:rPr>
        <w:t>, which will</w:t>
      </w:r>
      <w:r w:rsidR="00D1554A" w:rsidRPr="00D17E91">
        <w:rPr>
          <w:rFonts w:cs="Arial"/>
        </w:rPr>
        <w:t xml:space="preserve"> </w:t>
      </w:r>
      <w:r w:rsidR="00843E95" w:rsidRPr="00D17E91">
        <w:rPr>
          <w:rFonts w:cs="Arial"/>
        </w:rPr>
        <w:t>accelerate</w:t>
      </w:r>
      <w:r w:rsidR="00D1554A" w:rsidRPr="00D17E91">
        <w:rPr>
          <w:rFonts w:cs="Arial"/>
        </w:rPr>
        <w:t xml:space="preserve"> </w:t>
      </w:r>
      <w:r w:rsidR="00C07560" w:rsidRPr="00D17E91">
        <w:rPr>
          <w:rFonts w:cs="Arial"/>
        </w:rPr>
        <w:t xml:space="preserve">the </w:t>
      </w:r>
      <w:r w:rsidR="00D1554A" w:rsidRPr="00D17E91">
        <w:rPr>
          <w:rFonts w:cs="Arial"/>
        </w:rPr>
        <w:t>decarbonization and provid</w:t>
      </w:r>
      <w:r w:rsidR="00843E95" w:rsidRPr="00D17E91">
        <w:rPr>
          <w:rFonts w:cs="Arial"/>
        </w:rPr>
        <w:t>e</w:t>
      </w:r>
      <w:r w:rsidR="00D1554A" w:rsidRPr="00D17E91">
        <w:rPr>
          <w:rFonts w:cs="Arial"/>
        </w:rPr>
        <w:t xml:space="preserve"> affordable renewable energy for consumers.</w:t>
      </w:r>
      <w:r w:rsidR="00F3256C" w:rsidRPr="00D17E91">
        <w:rPr>
          <w:rFonts w:cs="Arial"/>
        </w:rPr>
        <w:t xml:space="preserve"> The growing number of biomethane production plants</w:t>
      </w:r>
      <w:r w:rsidR="00A23616" w:rsidRPr="00D17E91">
        <w:rPr>
          <w:rFonts w:cs="Arial"/>
        </w:rPr>
        <w:t xml:space="preserve"> determines a particular attention to the process safety. Indeed, </w:t>
      </w:r>
      <w:r w:rsidR="00A23616" w:rsidRPr="00D17E91">
        <w:rPr>
          <w:rFonts w:cs="Arial"/>
          <w:szCs w:val="18"/>
        </w:rPr>
        <w:t>one of the main hazards</w:t>
      </w:r>
      <w:r w:rsidR="008C5F3B" w:rsidRPr="00D17E91">
        <w:rPr>
          <w:rFonts w:cs="Arial"/>
          <w:szCs w:val="18"/>
        </w:rPr>
        <w:t>, associated with gaseous biofuel production,</w:t>
      </w:r>
      <w:r w:rsidR="00A23616" w:rsidRPr="00D17E91">
        <w:rPr>
          <w:rFonts w:cs="Arial"/>
          <w:szCs w:val="18"/>
        </w:rPr>
        <w:t xml:space="preserve"> is the possible formation of potentially explosive atmospheres due to accidental releases from components, such as valves, flanges, compressors, which can become potential emission sources in case of failure. The bio</w:t>
      </w:r>
      <w:r w:rsidR="00EE0E26" w:rsidRPr="00D17E91">
        <w:rPr>
          <w:rFonts w:cs="Arial"/>
          <w:szCs w:val="18"/>
        </w:rPr>
        <w:t>methane</w:t>
      </w:r>
      <w:r w:rsidR="00A23616" w:rsidRPr="00D17E91">
        <w:rPr>
          <w:rFonts w:cs="Arial"/>
          <w:szCs w:val="18"/>
        </w:rPr>
        <w:t xml:space="preserve"> compression is the most hazardous phase of its production process, because it occurs in an indoor place (compression unit) and it is characterized by the maximum pressure values, which can </w:t>
      </w:r>
      <w:r w:rsidR="00CB7B5A" w:rsidRPr="00D17E91">
        <w:rPr>
          <w:rFonts w:cs="Arial"/>
          <w:szCs w:val="18"/>
        </w:rPr>
        <w:t xml:space="preserve">exceed </w:t>
      </w:r>
      <w:r w:rsidR="00A23616" w:rsidRPr="00D17E91">
        <w:rPr>
          <w:rFonts w:cs="Arial"/>
          <w:szCs w:val="18"/>
        </w:rPr>
        <w:t>70-80 bar.</w:t>
      </w:r>
      <w:r w:rsidR="006B5364" w:rsidRPr="00D17E91">
        <w:rPr>
          <w:rFonts w:cs="Arial"/>
          <w:szCs w:val="18"/>
        </w:rPr>
        <w:t xml:space="preserve"> Reciprocating and centrifugal compressors are </w:t>
      </w:r>
      <w:r w:rsidR="00E33511" w:rsidRPr="00D17E91">
        <w:rPr>
          <w:rFonts w:cs="Arial"/>
          <w:szCs w:val="18"/>
        </w:rPr>
        <w:t>generall</w:t>
      </w:r>
      <w:r w:rsidR="006B5364" w:rsidRPr="00D17E91">
        <w:rPr>
          <w:rFonts w:cs="Arial"/>
          <w:szCs w:val="18"/>
        </w:rPr>
        <w:t>y used to increase the bio</w:t>
      </w:r>
      <w:r w:rsidR="00CB7B5A" w:rsidRPr="00D17E91">
        <w:rPr>
          <w:rFonts w:cs="Arial"/>
          <w:szCs w:val="18"/>
        </w:rPr>
        <w:t>fuel</w:t>
      </w:r>
      <w:r w:rsidR="006B5364" w:rsidRPr="00D17E91">
        <w:rPr>
          <w:rFonts w:cs="Arial"/>
          <w:szCs w:val="18"/>
        </w:rPr>
        <w:t xml:space="preserve"> pressure.</w:t>
      </w:r>
      <w:r w:rsidR="00990CC0" w:rsidRPr="00D17E91">
        <w:rPr>
          <w:rFonts w:cs="Arial"/>
          <w:szCs w:val="18"/>
        </w:rPr>
        <w:t xml:space="preserve"> The Atex zones </w:t>
      </w:r>
      <w:r w:rsidR="00B73273" w:rsidRPr="00D17E91">
        <w:rPr>
          <w:rFonts w:cs="Arial"/>
          <w:szCs w:val="18"/>
        </w:rPr>
        <w:t>are generated by potential sources, which release flammable gas/</w:t>
      </w:r>
      <w:r w:rsidR="00E01A80" w:rsidRPr="00D17E91">
        <w:rPr>
          <w:rFonts w:cs="Arial"/>
          <w:szCs w:val="18"/>
        </w:rPr>
        <w:t>vapour</w:t>
      </w:r>
      <w:r w:rsidR="00B73273" w:rsidRPr="00D17E91">
        <w:rPr>
          <w:rFonts w:cs="Arial"/>
          <w:szCs w:val="18"/>
        </w:rPr>
        <w:t xml:space="preserve"> or combustible dusts. </w:t>
      </w:r>
      <w:r w:rsidR="00CB7B5A" w:rsidRPr="00D17E91">
        <w:rPr>
          <w:rFonts w:cs="Arial"/>
          <w:szCs w:val="18"/>
        </w:rPr>
        <w:t xml:space="preserve">In accordance with Atex Directive 99/92/EC, the employer is obliged to classify these zones and </w:t>
      </w:r>
      <w:r w:rsidR="0020153F">
        <w:rPr>
          <w:rFonts w:cs="Arial"/>
          <w:color w:val="000000" w:themeColor="text1"/>
          <w:szCs w:val="18"/>
        </w:rPr>
        <w:t>such</w:t>
      </w:r>
      <w:r w:rsidR="00CB7B5A">
        <w:rPr>
          <w:rFonts w:cs="Arial"/>
          <w:color w:val="000000" w:themeColor="text1"/>
          <w:szCs w:val="18"/>
        </w:rPr>
        <w:t xml:space="preserve"> a </w:t>
      </w:r>
      <w:r w:rsidR="00990CC0">
        <w:rPr>
          <w:rFonts w:cs="Arial"/>
          <w:color w:val="000000" w:themeColor="text1"/>
          <w:szCs w:val="18"/>
        </w:rPr>
        <w:t xml:space="preserve">classification is aimed at improving the </w:t>
      </w:r>
      <w:r w:rsidR="00564424">
        <w:rPr>
          <w:rFonts w:cs="Arial"/>
          <w:color w:val="000000" w:themeColor="text1"/>
          <w:szCs w:val="18"/>
        </w:rPr>
        <w:t xml:space="preserve">safety of </w:t>
      </w:r>
      <w:r w:rsidR="00CD4312">
        <w:rPr>
          <w:rFonts w:cs="Arial"/>
          <w:color w:val="000000" w:themeColor="text1"/>
          <w:szCs w:val="18"/>
        </w:rPr>
        <w:t>biomethane</w:t>
      </w:r>
      <w:r w:rsidR="00564424">
        <w:rPr>
          <w:rFonts w:cs="Arial"/>
          <w:color w:val="000000" w:themeColor="text1"/>
          <w:szCs w:val="18"/>
        </w:rPr>
        <w:t xml:space="preserve"> production units. The paper </w:t>
      </w:r>
      <w:r w:rsidR="00564424" w:rsidRPr="00034635">
        <w:rPr>
          <w:rFonts w:cs="Arial"/>
          <w:color w:val="000000" w:themeColor="text1"/>
          <w:szCs w:val="18"/>
        </w:rPr>
        <w:t xml:space="preserve">investigates the influence of gaseous biofuel pressure on hazardousness level of areas characterized by the possible formation of potentially explosive </w:t>
      </w:r>
      <w:r w:rsidR="0054790B">
        <w:rPr>
          <w:rFonts w:cs="Arial"/>
          <w:color w:val="000000" w:themeColor="text1"/>
          <w:szCs w:val="18"/>
        </w:rPr>
        <w:t>mixtures (air/biomethane)</w:t>
      </w:r>
      <w:r w:rsidR="00564424" w:rsidRPr="00034635">
        <w:rPr>
          <w:rFonts w:cs="Arial"/>
          <w:color w:val="000000" w:themeColor="text1"/>
          <w:szCs w:val="18"/>
        </w:rPr>
        <w:t xml:space="preserve">. </w:t>
      </w:r>
      <w:r w:rsidR="00B73273" w:rsidRPr="00034635">
        <w:rPr>
          <w:rFonts w:cs="Arial"/>
          <w:color w:val="000000" w:themeColor="text1"/>
          <w:szCs w:val="18"/>
        </w:rPr>
        <w:t xml:space="preserve">In particular, the study has been focused on biomethane release from </w:t>
      </w:r>
      <w:r w:rsidR="005C4DC5">
        <w:rPr>
          <w:rFonts w:cs="Arial"/>
          <w:color w:val="000000" w:themeColor="text1"/>
          <w:szCs w:val="18"/>
        </w:rPr>
        <w:t xml:space="preserve">reciprocating </w:t>
      </w:r>
      <w:r w:rsidR="00B73273" w:rsidRPr="00034635">
        <w:rPr>
          <w:rFonts w:cs="Arial"/>
          <w:color w:val="000000" w:themeColor="text1"/>
          <w:szCs w:val="18"/>
        </w:rPr>
        <w:t xml:space="preserve">compressor and the goal consists in indicating the ventilation velocity values, which are able to </w:t>
      </w:r>
      <w:r w:rsidR="00D945C8" w:rsidRPr="00034635">
        <w:rPr>
          <w:rFonts w:cs="Arial"/>
          <w:color w:val="000000" w:themeColor="text1"/>
          <w:szCs w:val="18"/>
        </w:rPr>
        <w:t xml:space="preserve">achieve the best dilution degree and therefore less hazardous zones. </w:t>
      </w:r>
      <w:r w:rsidR="00E60018">
        <w:rPr>
          <w:rFonts w:cs="Arial"/>
          <w:color w:val="000000" w:themeColor="text1"/>
          <w:szCs w:val="18"/>
        </w:rPr>
        <w:t xml:space="preserve">The </w:t>
      </w:r>
      <w:r w:rsidR="00E60018" w:rsidRPr="00034635">
        <w:rPr>
          <w:rFonts w:eastAsiaTheme="minorHAnsi" w:cs="Arial"/>
          <w:szCs w:val="18"/>
          <w:lang w:val="en-US"/>
        </w:rPr>
        <w:t xml:space="preserve">leak is </w:t>
      </w:r>
      <w:r w:rsidR="00E60018">
        <w:rPr>
          <w:rFonts w:eastAsiaTheme="minorHAnsi" w:cs="Arial"/>
          <w:szCs w:val="18"/>
          <w:lang w:val="en-US"/>
        </w:rPr>
        <w:t>a</w:t>
      </w:r>
      <w:r w:rsidR="00E60018" w:rsidRPr="00034635">
        <w:rPr>
          <w:rFonts w:eastAsiaTheme="minorHAnsi" w:cs="Arial"/>
          <w:szCs w:val="18"/>
          <w:lang w:val="en-US"/>
        </w:rPr>
        <w:t xml:space="preserve"> ma</w:t>
      </w:r>
      <w:r w:rsidR="00E60018">
        <w:rPr>
          <w:rFonts w:eastAsiaTheme="minorHAnsi" w:cs="Arial"/>
          <w:szCs w:val="18"/>
          <w:lang w:val="en-US"/>
        </w:rPr>
        <w:t>in</w:t>
      </w:r>
      <w:r w:rsidR="00E60018" w:rsidRPr="00034635">
        <w:rPr>
          <w:rFonts w:eastAsiaTheme="minorHAnsi" w:cs="Arial"/>
          <w:szCs w:val="18"/>
          <w:lang w:val="en-US"/>
        </w:rPr>
        <w:t xml:space="preserve"> source of inefficiency </w:t>
      </w:r>
      <w:r w:rsidR="00E60018">
        <w:rPr>
          <w:rFonts w:eastAsiaTheme="minorHAnsi" w:cs="Arial"/>
          <w:szCs w:val="18"/>
          <w:lang w:val="en-US"/>
        </w:rPr>
        <w:t xml:space="preserve">(Matsumura et al., 1992) </w:t>
      </w:r>
      <w:r w:rsidR="00E60018" w:rsidRPr="00034635">
        <w:rPr>
          <w:rFonts w:eastAsiaTheme="minorHAnsi" w:cs="Arial"/>
          <w:szCs w:val="18"/>
          <w:lang w:val="en-US"/>
        </w:rPr>
        <w:t xml:space="preserve">in reciprocating </w:t>
      </w:r>
      <w:r w:rsidR="00E60018" w:rsidRPr="008D39AE">
        <w:rPr>
          <w:rFonts w:eastAsiaTheme="minorHAnsi" w:cs="Arial"/>
          <w:szCs w:val="18"/>
          <w:lang w:val="en-US"/>
        </w:rPr>
        <w:lastRenderedPageBreak/>
        <w:t xml:space="preserve">compressors and it can become dangerous in case of flammable gases releases. </w:t>
      </w:r>
      <w:r w:rsidR="005C4DC5" w:rsidRPr="008D39AE">
        <w:rPr>
          <w:rFonts w:eastAsiaTheme="minorHAnsi" w:cs="Arial"/>
          <w:szCs w:val="18"/>
          <w:lang w:val="en-US"/>
        </w:rPr>
        <w:t>Areas of high leak frequency from reciprocating compressors include flanges, valves and fittings located on compressors</w:t>
      </w:r>
      <w:r w:rsidR="004B3080" w:rsidRPr="008D39AE">
        <w:rPr>
          <w:rFonts w:eastAsiaTheme="minorHAnsi" w:cs="Arial"/>
          <w:szCs w:val="18"/>
          <w:lang w:val="en-US"/>
        </w:rPr>
        <w:t xml:space="preserve"> (Zimmerle et al., 2015)</w:t>
      </w:r>
      <w:r w:rsidR="005C4DC5" w:rsidRPr="008D39AE">
        <w:rPr>
          <w:rFonts w:eastAsiaTheme="minorHAnsi" w:cs="Arial"/>
          <w:szCs w:val="18"/>
          <w:lang w:val="en-US"/>
        </w:rPr>
        <w:t xml:space="preserve">. </w:t>
      </w:r>
      <w:r w:rsidR="00226A9A" w:rsidRPr="008D39AE">
        <w:rPr>
          <w:rFonts w:eastAsiaTheme="minorHAnsi" w:cs="Arial"/>
          <w:szCs w:val="18"/>
          <w:lang w:val="en-US"/>
        </w:rPr>
        <w:t>However, t</w:t>
      </w:r>
      <w:r w:rsidR="005C4DC5" w:rsidRPr="008D39AE">
        <w:rPr>
          <w:rFonts w:eastAsiaTheme="minorHAnsi" w:cs="Arial"/>
          <w:szCs w:val="18"/>
          <w:lang w:val="en-US"/>
        </w:rPr>
        <w:t xml:space="preserve">he highest volume of gas loss is associated with piston rod packing systems and compressor blowdown </w:t>
      </w:r>
      <w:r w:rsidR="00226A9A" w:rsidRPr="008D39AE">
        <w:rPr>
          <w:rFonts w:eastAsiaTheme="minorHAnsi" w:cs="Arial"/>
          <w:szCs w:val="18"/>
          <w:lang w:val="en-US"/>
        </w:rPr>
        <w:t>open-ended lines</w:t>
      </w:r>
      <w:r w:rsidR="005C4DC5" w:rsidRPr="008D39AE">
        <w:rPr>
          <w:rFonts w:eastAsiaTheme="minorHAnsi" w:cs="Arial"/>
          <w:szCs w:val="18"/>
          <w:lang w:val="en-US"/>
        </w:rPr>
        <w:t xml:space="preserve"> </w:t>
      </w:r>
      <w:r w:rsidR="00E60018" w:rsidRPr="008D39AE">
        <w:rPr>
          <w:rFonts w:eastAsiaTheme="minorHAnsi" w:cs="Arial"/>
          <w:szCs w:val="18"/>
          <w:lang w:val="en-US"/>
        </w:rPr>
        <w:t>(</w:t>
      </w:r>
      <w:r w:rsidR="00E60018" w:rsidRPr="008D39AE">
        <w:rPr>
          <w:rFonts w:cs="Arial"/>
          <w:szCs w:val="18"/>
        </w:rPr>
        <w:t>Gas Processors Suppliers Association, 2004</w:t>
      </w:r>
      <w:r w:rsidR="00E60018" w:rsidRPr="008D39AE">
        <w:rPr>
          <w:rFonts w:eastAsiaTheme="minorHAnsi" w:cs="Arial"/>
          <w:szCs w:val="18"/>
          <w:lang w:val="en-US"/>
        </w:rPr>
        <w:t>).</w:t>
      </w:r>
      <w:r w:rsidR="00E60018" w:rsidRPr="008D39AE">
        <w:rPr>
          <w:rFonts w:cs="Arial"/>
          <w:color w:val="000000" w:themeColor="text1"/>
          <w:szCs w:val="18"/>
        </w:rPr>
        <w:t xml:space="preserve"> With reference to possible formation of Atex zones in compression unit, the forced ventilation </w:t>
      </w:r>
      <w:r w:rsidR="00AA77AC" w:rsidRPr="008D39AE">
        <w:rPr>
          <w:rFonts w:cs="Arial"/>
          <w:color w:val="000000" w:themeColor="text1"/>
          <w:szCs w:val="18"/>
        </w:rPr>
        <w:t xml:space="preserve">system is extremely important and </w:t>
      </w:r>
      <w:r w:rsidR="00E60018" w:rsidRPr="008D39AE">
        <w:rPr>
          <w:rFonts w:cs="Arial"/>
          <w:color w:val="000000" w:themeColor="text1"/>
          <w:szCs w:val="18"/>
        </w:rPr>
        <w:t>has three basic functions:</w:t>
      </w:r>
    </w:p>
    <w:p w14:paraId="5332E2DE" w14:textId="1D740FE1" w:rsidR="00E60018" w:rsidRPr="008D39AE" w:rsidRDefault="00E60018" w:rsidP="0039058B">
      <w:pPr>
        <w:tabs>
          <w:tab w:val="clear" w:pos="7100"/>
        </w:tabs>
        <w:autoSpaceDE w:val="0"/>
        <w:autoSpaceDN w:val="0"/>
        <w:adjustRightInd w:val="0"/>
        <w:spacing w:line="22" w:lineRule="atLeast"/>
        <w:jc w:val="left"/>
        <w:rPr>
          <w:rFonts w:eastAsiaTheme="minorHAnsi" w:cs="Arial"/>
          <w:szCs w:val="18"/>
          <w:lang w:val="en-US"/>
        </w:rPr>
      </w:pPr>
      <w:r w:rsidRPr="008D39AE">
        <w:rPr>
          <w:rFonts w:cs="Arial"/>
          <w:color w:val="000000" w:themeColor="text1"/>
          <w:szCs w:val="18"/>
        </w:rPr>
        <w:t>1)</w:t>
      </w:r>
      <w:r w:rsidRPr="008D39AE">
        <w:rPr>
          <w:rFonts w:eastAsiaTheme="minorHAnsi" w:cs="Arial"/>
          <w:szCs w:val="18"/>
          <w:lang w:val="en-US"/>
        </w:rPr>
        <w:t xml:space="preserve"> zone extent decrease;</w:t>
      </w:r>
    </w:p>
    <w:p w14:paraId="62364692" w14:textId="52C9FCC8" w:rsidR="00E60018" w:rsidRPr="008D39AE" w:rsidRDefault="00E60018" w:rsidP="0039058B">
      <w:pPr>
        <w:tabs>
          <w:tab w:val="clear" w:pos="7100"/>
        </w:tabs>
        <w:autoSpaceDE w:val="0"/>
        <w:autoSpaceDN w:val="0"/>
        <w:adjustRightInd w:val="0"/>
        <w:spacing w:line="22" w:lineRule="atLeast"/>
        <w:jc w:val="left"/>
        <w:rPr>
          <w:rFonts w:eastAsiaTheme="minorHAnsi" w:cs="Arial"/>
          <w:szCs w:val="18"/>
          <w:lang w:val="en-US"/>
        </w:rPr>
      </w:pPr>
      <w:r w:rsidRPr="008D39AE">
        <w:rPr>
          <w:rFonts w:ascii="Symbol" w:eastAsiaTheme="minorHAnsi" w:hAnsi="Symbol" w:cs="Symbol"/>
          <w:szCs w:val="18"/>
          <w:lang w:val="it-IT"/>
        </w:rPr>
        <w:t></w:t>
      </w:r>
      <w:r w:rsidRPr="008D39AE">
        <w:rPr>
          <w:rFonts w:ascii="Symbol" w:eastAsiaTheme="minorHAnsi" w:hAnsi="Symbol" w:cs="Symbol"/>
          <w:szCs w:val="18"/>
          <w:lang w:val="it-IT"/>
        </w:rPr>
        <w:t></w:t>
      </w:r>
      <w:r w:rsidRPr="008D39AE">
        <w:rPr>
          <w:rFonts w:ascii="Symbol" w:eastAsiaTheme="minorHAnsi" w:hAnsi="Symbol" w:cs="Symbol"/>
          <w:szCs w:val="18"/>
          <w:lang w:val="it-IT"/>
        </w:rPr>
        <w:t></w:t>
      </w:r>
      <w:r w:rsidRPr="008D39AE">
        <w:rPr>
          <w:rFonts w:eastAsiaTheme="minorHAnsi" w:cs="Arial"/>
          <w:szCs w:val="18"/>
          <w:lang w:val="en-US"/>
        </w:rPr>
        <w:t>shortening of explosive atmosphere persistence time;</w:t>
      </w:r>
    </w:p>
    <w:p w14:paraId="4096AE54" w14:textId="3A64A2A4" w:rsidR="00E60018" w:rsidRPr="008D39AE" w:rsidRDefault="00E60018" w:rsidP="0039058B">
      <w:pPr>
        <w:tabs>
          <w:tab w:val="clear" w:pos="7100"/>
        </w:tabs>
        <w:autoSpaceDE w:val="0"/>
        <w:autoSpaceDN w:val="0"/>
        <w:adjustRightInd w:val="0"/>
        <w:spacing w:line="22" w:lineRule="atLeast"/>
        <w:rPr>
          <w:rFonts w:cs="Arial"/>
          <w:color w:val="000000" w:themeColor="text1"/>
          <w:szCs w:val="18"/>
          <w:lang w:val="en-US"/>
        </w:rPr>
      </w:pPr>
      <w:r w:rsidRPr="008D39AE">
        <w:rPr>
          <w:rFonts w:ascii="Symbol" w:eastAsiaTheme="minorHAnsi" w:hAnsi="Symbol" w:cs="Symbol"/>
          <w:szCs w:val="18"/>
          <w:lang w:val="en-US"/>
        </w:rPr>
        <w:t></w:t>
      </w:r>
      <w:r w:rsidRPr="008D39AE">
        <w:rPr>
          <w:rFonts w:ascii="Symbol" w:eastAsiaTheme="minorHAnsi" w:hAnsi="Symbol" w:cs="Symbol"/>
          <w:szCs w:val="18"/>
          <w:lang w:val="en-US"/>
        </w:rPr>
        <w:t></w:t>
      </w:r>
      <w:r w:rsidRPr="008D39AE">
        <w:rPr>
          <w:rFonts w:ascii="Symbol" w:eastAsiaTheme="minorHAnsi" w:hAnsi="Symbol" w:cs="Symbol"/>
          <w:szCs w:val="18"/>
          <w:lang w:val="it-IT"/>
        </w:rPr>
        <w:t></w:t>
      </w:r>
      <w:r w:rsidRPr="008D39AE">
        <w:rPr>
          <w:rFonts w:eastAsiaTheme="minorHAnsi" w:cs="Arial"/>
          <w:szCs w:val="18"/>
          <w:lang w:val="en-US"/>
        </w:rPr>
        <w:t xml:space="preserve">prevention of explosive </w:t>
      </w:r>
      <w:r w:rsidR="004A7E65" w:rsidRPr="008D39AE">
        <w:rPr>
          <w:rFonts w:eastAsiaTheme="minorHAnsi" w:cs="Arial"/>
          <w:szCs w:val="18"/>
          <w:lang w:val="en-US"/>
        </w:rPr>
        <w:t>mixture formation</w:t>
      </w:r>
      <w:r w:rsidRPr="008D39AE">
        <w:rPr>
          <w:rFonts w:eastAsiaTheme="minorHAnsi" w:cs="Arial"/>
          <w:szCs w:val="18"/>
          <w:lang w:val="en-US"/>
        </w:rPr>
        <w:t>.</w:t>
      </w:r>
    </w:p>
    <w:p w14:paraId="14BDF09E" w14:textId="49A69554" w:rsidR="000B5398" w:rsidRPr="008D39AE" w:rsidRDefault="00564424" w:rsidP="0039058B">
      <w:pPr>
        <w:pStyle w:val="CETBodytext"/>
        <w:spacing w:line="22" w:lineRule="atLeast"/>
        <w:rPr>
          <w:rFonts w:cs="Arial"/>
          <w:color w:val="000000" w:themeColor="text1"/>
          <w:szCs w:val="18"/>
        </w:rPr>
      </w:pPr>
      <w:r w:rsidRPr="008D39AE">
        <w:rPr>
          <w:rFonts w:cs="Arial"/>
          <w:color w:val="000000" w:themeColor="text1"/>
          <w:szCs w:val="18"/>
        </w:rPr>
        <w:t xml:space="preserve">  </w:t>
      </w:r>
    </w:p>
    <w:p w14:paraId="71331054" w14:textId="4780B041" w:rsidR="000B5398" w:rsidRPr="00EB6BC4" w:rsidRDefault="000B5398" w:rsidP="0039058B">
      <w:pPr>
        <w:pStyle w:val="CETBodytext"/>
        <w:numPr>
          <w:ilvl w:val="0"/>
          <w:numId w:val="23"/>
        </w:numPr>
        <w:tabs>
          <w:tab w:val="left" w:pos="284"/>
        </w:tabs>
        <w:spacing w:line="22" w:lineRule="atLeast"/>
        <w:rPr>
          <w:rFonts w:cs="Arial"/>
          <w:b/>
          <w:sz w:val="20"/>
        </w:rPr>
      </w:pPr>
      <w:r w:rsidRPr="00EB6BC4">
        <w:rPr>
          <w:rFonts w:cs="Arial"/>
          <w:b/>
          <w:color w:val="000000" w:themeColor="text1"/>
          <w:sz w:val="20"/>
        </w:rPr>
        <w:t>Materials and methods</w:t>
      </w:r>
    </w:p>
    <w:p w14:paraId="27CA1A0A" w14:textId="53D9978F" w:rsidR="0004723D" w:rsidRPr="008D39AE" w:rsidRDefault="0004723D" w:rsidP="0039058B">
      <w:pPr>
        <w:pStyle w:val="CETBodytext"/>
        <w:spacing w:line="22" w:lineRule="atLeast"/>
        <w:rPr>
          <w:rFonts w:cs="Arial"/>
          <w:szCs w:val="18"/>
        </w:rPr>
      </w:pPr>
      <w:r w:rsidRPr="008D39AE">
        <w:rPr>
          <w:rFonts w:cs="Arial"/>
          <w:szCs w:val="18"/>
          <w:lang w:val="en-GB"/>
        </w:rPr>
        <w:t>The technical Standard IEC 60079-10-1 has to be used to classify the areas (Atex zones), where a potentially explosive mixture could form. The zones</w:t>
      </w:r>
      <w:r w:rsidRPr="008D39AE">
        <w:rPr>
          <w:rFonts w:cs="Arial"/>
          <w:szCs w:val="18"/>
        </w:rPr>
        <w:t xml:space="preserve"> classification depends on three following parameters (IEC, 20</w:t>
      </w:r>
      <w:r w:rsidR="00023D67">
        <w:rPr>
          <w:rFonts w:cs="Arial"/>
          <w:szCs w:val="18"/>
        </w:rPr>
        <w:t>21</w:t>
      </w:r>
      <w:r w:rsidRPr="008D39AE">
        <w:rPr>
          <w:rFonts w:cs="Arial"/>
          <w:szCs w:val="18"/>
        </w:rPr>
        <w:t>):</w:t>
      </w:r>
    </w:p>
    <w:p w14:paraId="0F55C628" w14:textId="77777777" w:rsidR="0004723D" w:rsidRPr="008D39AE" w:rsidRDefault="0004723D" w:rsidP="0039058B">
      <w:pPr>
        <w:pStyle w:val="CETBodytext"/>
        <w:numPr>
          <w:ilvl w:val="0"/>
          <w:numId w:val="24"/>
        </w:numPr>
        <w:spacing w:line="22" w:lineRule="atLeast"/>
        <w:ind w:left="426" w:hanging="426"/>
        <w:rPr>
          <w:rFonts w:cs="Arial"/>
          <w:szCs w:val="18"/>
        </w:rPr>
      </w:pPr>
      <w:r w:rsidRPr="008D39AE">
        <w:rPr>
          <w:rFonts w:cs="Arial"/>
          <w:szCs w:val="18"/>
        </w:rPr>
        <w:t xml:space="preserve">source release grade (continuous, primary or secondary); </w:t>
      </w:r>
    </w:p>
    <w:p w14:paraId="689F9BCF" w14:textId="7875D099" w:rsidR="0004723D" w:rsidRPr="008D39AE" w:rsidRDefault="0004723D" w:rsidP="0039058B">
      <w:pPr>
        <w:pStyle w:val="CETBodytext"/>
        <w:numPr>
          <w:ilvl w:val="0"/>
          <w:numId w:val="24"/>
        </w:numPr>
        <w:spacing w:line="22" w:lineRule="atLeast"/>
        <w:ind w:left="426" w:hanging="426"/>
        <w:rPr>
          <w:rFonts w:cs="Arial"/>
          <w:szCs w:val="18"/>
        </w:rPr>
      </w:pPr>
      <w:r w:rsidRPr="008D39AE">
        <w:rPr>
          <w:rFonts w:cs="Arial"/>
          <w:szCs w:val="18"/>
        </w:rPr>
        <w:t xml:space="preserve">dilution degree (high, medium or low); </w:t>
      </w:r>
    </w:p>
    <w:p w14:paraId="4E2945A4" w14:textId="77777777" w:rsidR="0004723D" w:rsidRPr="008D39AE" w:rsidRDefault="0004723D" w:rsidP="0039058B">
      <w:pPr>
        <w:pStyle w:val="CETBodytext"/>
        <w:numPr>
          <w:ilvl w:val="0"/>
          <w:numId w:val="24"/>
        </w:numPr>
        <w:spacing w:line="22" w:lineRule="atLeast"/>
        <w:ind w:left="426" w:hanging="426"/>
        <w:rPr>
          <w:rFonts w:cs="Arial"/>
          <w:szCs w:val="18"/>
        </w:rPr>
      </w:pPr>
      <w:r w:rsidRPr="008D39AE">
        <w:rPr>
          <w:rFonts w:cs="Arial"/>
          <w:szCs w:val="18"/>
        </w:rPr>
        <w:t xml:space="preserve">ventilation availability (good, fair or poor). </w:t>
      </w:r>
    </w:p>
    <w:p w14:paraId="050C1CAA" w14:textId="74851E3E" w:rsidR="000E0DB6" w:rsidRPr="008D39AE" w:rsidRDefault="0004723D" w:rsidP="0039058B">
      <w:pPr>
        <w:pStyle w:val="CETBodytext"/>
        <w:spacing w:line="22" w:lineRule="atLeast"/>
        <w:rPr>
          <w:rFonts w:cs="Arial"/>
          <w:szCs w:val="18"/>
        </w:rPr>
      </w:pPr>
      <w:r w:rsidRPr="008D39AE">
        <w:rPr>
          <w:rFonts w:cs="Arial"/>
          <w:szCs w:val="18"/>
        </w:rPr>
        <w:t xml:space="preserve">The first parameter is determined by the analysis of components (valves, flanges, compressors, etc.) operating conditions, whereas the others mainly depend on natural ventilation (outdoor places) or artificial ventilation systems </w:t>
      </w:r>
      <w:r w:rsidR="002C414F" w:rsidRPr="008D39AE">
        <w:rPr>
          <w:rFonts w:cs="Arial"/>
          <w:szCs w:val="18"/>
        </w:rPr>
        <w:t>(</w:t>
      </w:r>
      <w:r w:rsidRPr="008D39AE">
        <w:rPr>
          <w:rFonts w:cs="Arial"/>
          <w:szCs w:val="18"/>
        </w:rPr>
        <w:t>indoor places</w:t>
      </w:r>
      <w:r w:rsidR="002C414F" w:rsidRPr="008D39AE">
        <w:rPr>
          <w:rFonts w:cs="Arial"/>
          <w:szCs w:val="18"/>
        </w:rPr>
        <w:t>)</w:t>
      </w:r>
      <w:r w:rsidRPr="008D39AE">
        <w:rPr>
          <w:rFonts w:cs="Arial"/>
          <w:szCs w:val="18"/>
        </w:rPr>
        <w:t xml:space="preserve">. </w:t>
      </w:r>
      <w:r w:rsidR="00AF18B7" w:rsidRPr="008D39AE">
        <w:rPr>
          <w:rFonts w:cs="Arial"/>
          <w:szCs w:val="18"/>
        </w:rPr>
        <w:t xml:space="preserve">In biomethane production plants, the compressor, which has to increase the biofuel pressure, is equipped with safety valves </w:t>
      </w:r>
      <w:r w:rsidR="00226A9A" w:rsidRPr="008D39AE">
        <w:rPr>
          <w:rFonts w:cs="Arial"/>
          <w:szCs w:val="18"/>
        </w:rPr>
        <w:t xml:space="preserve">(SV) </w:t>
      </w:r>
      <w:r w:rsidR="00AF18B7" w:rsidRPr="008D39AE">
        <w:rPr>
          <w:rFonts w:cs="Arial"/>
          <w:szCs w:val="18"/>
        </w:rPr>
        <w:t>aimed at avoiding dangerous overpressures. In particular, t</w:t>
      </w:r>
      <w:r w:rsidR="00161B7B" w:rsidRPr="008D39AE">
        <w:rPr>
          <w:rFonts w:cs="Arial"/>
          <w:szCs w:val="18"/>
          <w:lang w:val="en-GB"/>
        </w:rPr>
        <w:t>he compressor can be considered as a source of secondary grade (emission is not expected during the normal operati</w:t>
      </w:r>
      <w:r w:rsidR="00226A9A" w:rsidRPr="008D39AE">
        <w:rPr>
          <w:rFonts w:cs="Arial"/>
          <w:szCs w:val="18"/>
          <w:lang w:val="en-GB"/>
        </w:rPr>
        <w:t>ng</w:t>
      </w:r>
      <w:r w:rsidR="00161B7B" w:rsidRPr="008D39AE">
        <w:rPr>
          <w:rFonts w:cs="Arial"/>
          <w:szCs w:val="18"/>
          <w:lang w:val="en-GB"/>
        </w:rPr>
        <w:t xml:space="preserve"> or </w:t>
      </w:r>
      <w:r w:rsidR="00F25D6D" w:rsidRPr="008D39AE">
        <w:rPr>
          <w:rFonts w:cs="Arial"/>
          <w:szCs w:val="18"/>
          <w:lang w:val="en-GB"/>
        </w:rPr>
        <w:t xml:space="preserve">release </w:t>
      </w:r>
      <w:r w:rsidR="00161B7B" w:rsidRPr="008D39AE">
        <w:rPr>
          <w:rFonts w:cs="Arial"/>
          <w:szCs w:val="18"/>
          <w:lang w:val="en-GB"/>
        </w:rPr>
        <w:t xml:space="preserve">duration would be extremely short) release, </w:t>
      </w:r>
      <w:r w:rsidR="002C414F" w:rsidRPr="008D39AE">
        <w:rPr>
          <w:rFonts w:cs="Arial"/>
          <w:szCs w:val="18"/>
          <w:lang w:val="en-GB"/>
        </w:rPr>
        <w:t>whereas</w:t>
      </w:r>
      <w:r w:rsidR="00161B7B" w:rsidRPr="008D39AE">
        <w:rPr>
          <w:rFonts w:cs="Arial"/>
          <w:szCs w:val="18"/>
          <w:lang w:val="en-GB"/>
        </w:rPr>
        <w:t xml:space="preserve"> the safety valves are sources of primary grade release, because their emission can occasionally occur during the operati</w:t>
      </w:r>
      <w:r w:rsidR="00226A9A" w:rsidRPr="008D39AE">
        <w:rPr>
          <w:rFonts w:cs="Arial"/>
          <w:szCs w:val="18"/>
          <w:lang w:val="en-GB"/>
        </w:rPr>
        <w:t>ng</w:t>
      </w:r>
      <w:r w:rsidR="00161B7B" w:rsidRPr="008D39AE">
        <w:rPr>
          <w:rFonts w:cs="Arial"/>
          <w:szCs w:val="18"/>
          <w:lang w:val="en-GB"/>
        </w:rPr>
        <w:t xml:space="preserve">. In order to classify the zone (hazardous or non-hazardous) due to release </w:t>
      </w:r>
      <w:r w:rsidR="002C414F" w:rsidRPr="008D39AE">
        <w:rPr>
          <w:rFonts w:cs="Arial"/>
          <w:szCs w:val="18"/>
          <w:lang w:val="en-GB"/>
        </w:rPr>
        <w:t>from</w:t>
      </w:r>
      <w:r w:rsidR="00161B7B" w:rsidRPr="008D39AE">
        <w:rPr>
          <w:rFonts w:cs="Arial"/>
          <w:szCs w:val="18"/>
          <w:lang w:val="en-GB"/>
        </w:rPr>
        <w:t xml:space="preserve"> secondary grade source included in an indoor place, the mass flows </w:t>
      </w:r>
      <w:r w:rsidR="000E0DB6" w:rsidRPr="008D39AE">
        <w:rPr>
          <w:rFonts w:cs="Arial"/>
          <w:szCs w:val="18"/>
          <w:lang w:val="en-GB"/>
        </w:rPr>
        <w:t>(M</w:t>
      </w:r>
      <w:r w:rsidR="000E0DB6" w:rsidRPr="008D39AE">
        <w:rPr>
          <w:rFonts w:cs="Arial"/>
          <w:szCs w:val="18"/>
          <w:vertAlign w:val="subscript"/>
          <w:lang w:val="en-GB"/>
        </w:rPr>
        <w:t>i</w:t>
      </w:r>
      <w:r w:rsidR="000E0DB6" w:rsidRPr="008D39AE">
        <w:rPr>
          <w:rFonts w:cs="Arial"/>
          <w:szCs w:val="18"/>
          <w:lang w:val="en-GB"/>
        </w:rPr>
        <w:t xml:space="preserve">) </w:t>
      </w:r>
      <w:r w:rsidR="00161B7B" w:rsidRPr="008D39AE">
        <w:rPr>
          <w:rFonts w:cs="Arial"/>
          <w:szCs w:val="18"/>
          <w:lang w:val="en-GB"/>
        </w:rPr>
        <w:t>of all potential sources have to be summed</w:t>
      </w:r>
      <w:r w:rsidR="00B33033" w:rsidRPr="008D39AE">
        <w:rPr>
          <w:rFonts w:cs="Arial"/>
          <w:szCs w:val="18"/>
          <w:lang w:val="en-GB"/>
        </w:rPr>
        <w:t xml:space="preserve"> </w:t>
      </w:r>
      <w:r w:rsidR="00B33033" w:rsidRPr="008D39AE">
        <w:rPr>
          <w:rFonts w:cs="Arial"/>
          <w:szCs w:val="18"/>
        </w:rPr>
        <w:t>(IEC, 20</w:t>
      </w:r>
      <w:r w:rsidR="00023D67">
        <w:rPr>
          <w:rFonts w:cs="Arial"/>
          <w:szCs w:val="18"/>
        </w:rPr>
        <w:t>2</w:t>
      </w:r>
      <w:r w:rsidR="00B33033" w:rsidRPr="008D39AE">
        <w:rPr>
          <w:rFonts w:cs="Arial"/>
          <w:szCs w:val="18"/>
        </w:rPr>
        <w:t>1)</w:t>
      </w:r>
      <w:r w:rsidR="000E0DB6" w:rsidRPr="008D39AE">
        <w:rPr>
          <w:rFonts w:cs="Arial"/>
          <w:szCs w:val="18"/>
        </w:rPr>
        <w:t>:</w:t>
      </w:r>
    </w:p>
    <w:p w14:paraId="48BB82E5" w14:textId="29277A0B" w:rsidR="000E0DB6" w:rsidRPr="008D39AE" w:rsidRDefault="000E0DB6" w:rsidP="0004723D">
      <w:pPr>
        <w:pStyle w:val="CETBodytext"/>
        <w:rPr>
          <w:rFonts w:cs="Arial"/>
          <w:szCs w:val="18"/>
        </w:rPr>
      </w:pPr>
      <w:r w:rsidRPr="008D39AE">
        <w:rPr>
          <w:szCs w:val="18"/>
        </w:rPr>
        <w:object w:dxaOrig="8740" w:dyaOrig="680" w14:anchorId="71B17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1pt;height:34pt" o:ole="">
            <v:imagedata r:id="rId12" o:title=""/>
          </v:shape>
          <o:OLEObject Type="Embed" ProgID="Unknown" ShapeID="_x0000_i1025" DrawAspect="Content" ObjectID="_1707036202" r:id="rId13"/>
        </w:object>
      </w:r>
    </w:p>
    <w:p w14:paraId="7B6F99FD" w14:textId="1F023952" w:rsidR="004C2916" w:rsidRPr="008D39AE" w:rsidRDefault="00161B7B" w:rsidP="0004723D">
      <w:pPr>
        <w:pStyle w:val="CETBodytext"/>
        <w:rPr>
          <w:rFonts w:cs="Arial"/>
          <w:szCs w:val="18"/>
        </w:rPr>
      </w:pPr>
      <w:r w:rsidRPr="008D39AE">
        <w:rPr>
          <w:rFonts w:cs="Arial"/>
          <w:szCs w:val="18"/>
          <w:lang w:val="en-GB"/>
        </w:rPr>
        <w:t>In the case study, no source of continuous grade is present</w:t>
      </w:r>
      <w:r w:rsidR="000E0DB6" w:rsidRPr="008D39AE">
        <w:rPr>
          <w:rFonts w:cs="Arial"/>
          <w:szCs w:val="18"/>
          <w:lang w:val="en-GB"/>
        </w:rPr>
        <w:t xml:space="preserve"> and the potential sources are compressor and SV.  </w:t>
      </w:r>
      <w:r w:rsidRPr="008D39AE">
        <w:rPr>
          <w:rFonts w:cs="Arial"/>
          <w:szCs w:val="18"/>
          <w:lang w:val="en-GB"/>
        </w:rPr>
        <w:t xml:space="preserve">  </w:t>
      </w:r>
      <w:r w:rsidR="00601392" w:rsidRPr="008D39AE">
        <w:rPr>
          <w:rFonts w:cs="Arial"/>
          <w:szCs w:val="18"/>
        </w:rPr>
        <w:t>In particular, the dilution degree</w:t>
      </w:r>
      <w:r w:rsidR="00B74D45" w:rsidRPr="008D39AE">
        <w:rPr>
          <w:rFonts w:cs="Arial"/>
          <w:szCs w:val="18"/>
        </w:rPr>
        <w:t xml:space="preserve"> </w:t>
      </w:r>
      <w:r w:rsidR="00861357" w:rsidRPr="008D39AE">
        <w:rPr>
          <w:rFonts w:cs="Arial"/>
          <w:szCs w:val="18"/>
        </w:rPr>
        <w:t>is</w:t>
      </w:r>
      <w:r w:rsidR="00B74D45" w:rsidRPr="008D39AE">
        <w:rPr>
          <w:rFonts w:cs="Arial"/>
          <w:szCs w:val="18"/>
        </w:rPr>
        <w:t xml:space="preserve"> determined </w:t>
      </w:r>
      <w:r w:rsidR="00365C57" w:rsidRPr="008D39AE">
        <w:rPr>
          <w:rFonts w:cs="Arial"/>
          <w:szCs w:val="18"/>
        </w:rPr>
        <w:t>(IEC, 20</w:t>
      </w:r>
      <w:r w:rsidR="00023D67">
        <w:rPr>
          <w:rFonts w:cs="Arial"/>
          <w:szCs w:val="18"/>
        </w:rPr>
        <w:t>2</w:t>
      </w:r>
      <w:r w:rsidR="00365C57" w:rsidRPr="008D39AE">
        <w:rPr>
          <w:rFonts w:cs="Arial"/>
          <w:szCs w:val="18"/>
        </w:rPr>
        <w:t xml:space="preserve">1) </w:t>
      </w:r>
      <w:r w:rsidR="00B74D45" w:rsidRPr="008D39AE">
        <w:rPr>
          <w:rFonts w:cs="Arial"/>
          <w:szCs w:val="18"/>
        </w:rPr>
        <w:t xml:space="preserve">by the diagram (Figure 1) reported in mentioned Standard. </w:t>
      </w:r>
    </w:p>
    <w:p w14:paraId="02B4D848" w14:textId="77777777" w:rsidR="004C2916" w:rsidRDefault="004C2916" w:rsidP="0004723D">
      <w:pPr>
        <w:pStyle w:val="CETBodytext"/>
        <w:rPr>
          <w:rFonts w:cs="Arial"/>
          <w:szCs w:val="18"/>
        </w:rPr>
      </w:pPr>
    </w:p>
    <w:p w14:paraId="20617E92" w14:textId="12F29DF9" w:rsidR="0004723D" w:rsidRPr="00655572" w:rsidRDefault="004C2916" w:rsidP="0044146E">
      <w:pPr>
        <w:pStyle w:val="CETBodytext"/>
        <w:jc w:val="left"/>
        <w:rPr>
          <w:rFonts w:cs="Arial"/>
          <w:szCs w:val="18"/>
        </w:rPr>
      </w:pPr>
      <w:r w:rsidRPr="004C2916">
        <w:rPr>
          <w:rFonts w:cs="Arial"/>
          <w:noProof/>
          <w:szCs w:val="18"/>
          <w:lang w:val="it-IT" w:eastAsia="it-IT"/>
        </w:rPr>
        <w:drawing>
          <wp:inline distT="0" distB="0" distL="0" distR="0" wp14:anchorId="52E598ED" wp14:editId="51EFA355">
            <wp:extent cx="3650400" cy="2876400"/>
            <wp:effectExtent l="0" t="0" r="7620" b="635"/>
            <wp:docPr id="3" name="Immagine 3" descr="C:\Users\xf45702\OneDrive - INAIL\Back up Lauri\Documenti\Lavoro di ricerca Roberto\CISAP 2022\fig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f45702\OneDrive - INAIL\Back up Lauri\Documenti\Lavoro di ricerca Roberto\CISAP 2022\figura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0400" cy="2876400"/>
                    </a:xfrm>
                    <a:prstGeom prst="rect">
                      <a:avLst/>
                    </a:prstGeom>
                    <a:noFill/>
                    <a:ln>
                      <a:noFill/>
                    </a:ln>
                  </pic:spPr>
                </pic:pic>
              </a:graphicData>
            </a:graphic>
          </wp:inline>
        </w:drawing>
      </w:r>
    </w:p>
    <w:p w14:paraId="2EF67B9D" w14:textId="45B3ACD8" w:rsidR="000B5398" w:rsidRPr="004C2916" w:rsidRDefault="004C2916" w:rsidP="0044146E">
      <w:pPr>
        <w:pStyle w:val="CETBodytext"/>
        <w:tabs>
          <w:tab w:val="left" w:pos="284"/>
        </w:tabs>
        <w:jc w:val="left"/>
        <w:rPr>
          <w:rFonts w:cs="Arial"/>
          <w:i/>
          <w:szCs w:val="18"/>
        </w:rPr>
      </w:pPr>
      <w:r w:rsidRPr="004C2916">
        <w:rPr>
          <w:rFonts w:cs="Arial"/>
          <w:i/>
          <w:szCs w:val="18"/>
        </w:rPr>
        <w:t>Figure 1: Dilution degree assessment</w:t>
      </w:r>
    </w:p>
    <w:p w14:paraId="0B84FF61" w14:textId="41251A87" w:rsidR="000B5398" w:rsidRDefault="000B5398" w:rsidP="000B5398">
      <w:pPr>
        <w:pStyle w:val="CETBodytext"/>
        <w:tabs>
          <w:tab w:val="left" w:pos="284"/>
        </w:tabs>
        <w:rPr>
          <w:rFonts w:cs="Arial"/>
          <w:b/>
          <w:sz w:val="20"/>
        </w:rPr>
      </w:pPr>
    </w:p>
    <w:p w14:paraId="477776D9" w14:textId="1EF46D15" w:rsidR="00616B27" w:rsidRDefault="00616B27" w:rsidP="0039058B">
      <w:pPr>
        <w:pStyle w:val="CETBodytext"/>
        <w:tabs>
          <w:tab w:val="left" w:pos="284"/>
        </w:tabs>
        <w:spacing w:line="22" w:lineRule="atLeast"/>
        <w:rPr>
          <w:rFonts w:cs="Arial"/>
          <w:szCs w:val="18"/>
        </w:rPr>
      </w:pPr>
      <w:r w:rsidRPr="00616B27">
        <w:rPr>
          <w:rFonts w:cs="Arial"/>
          <w:szCs w:val="18"/>
        </w:rPr>
        <w:t xml:space="preserve">The </w:t>
      </w:r>
      <w:r>
        <w:rPr>
          <w:rFonts w:cs="Arial"/>
          <w:szCs w:val="18"/>
        </w:rPr>
        <w:t>release characteristic (RC) is calculated by the following equation:</w:t>
      </w:r>
    </w:p>
    <w:p w14:paraId="220983B7" w14:textId="5A5444DA" w:rsidR="00616B27" w:rsidRPr="00616B27" w:rsidRDefault="00257F31" w:rsidP="0039058B">
      <w:pPr>
        <w:pStyle w:val="CETBodytext"/>
        <w:tabs>
          <w:tab w:val="left" w:pos="284"/>
        </w:tabs>
        <w:spacing w:line="22" w:lineRule="atLeast"/>
        <w:rPr>
          <w:rFonts w:cs="Arial"/>
          <w:szCs w:val="18"/>
        </w:rPr>
      </w:pPr>
      <w:r>
        <w:object w:dxaOrig="8860" w:dyaOrig="620" w14:anchorId="2475C819">
          <v:shape id="_x0000_i1026" type="#_x0000_t75" style="width:442.45pt;height:31.05pt" o:ole="">
            <v:imagedata r:id="rId15" o:title=""/>
          </v:shape>
          <o:OLEObject Type="Embed" ProgID="Unknown" ShapeID="_x0000_i1026" DrawAspect="Content" ObjectID="_1707036203" r:id="rId16"/>
        </w:object>
      </w:r>
      <w:r w:rsidR="00616B27">
        <w:rPr>
          <w:rFonts w:cs="Arial"/>
          <w:szCs w:val="18"/>
        </w:rPr>
        <w:t xml:space="preserve">                                                                 </w:t>
      </w:r>
      <w:r w:rsidR="000600EB">
        <w:rPr>
          <w:rFonts w:cs="Arial"/>
          <w:szCs w:val="18"/>
        </w:rPr>
        <w:t xml:space="preserve">                                                             </w:t>
      </w:r>
    </w:p>
    <w:p w14:paraId="6349A0AF" w14:textId="061999C1" w:rsidR="0066145B" w:rsidRDefault="000600EB" w:rsidP="0039058B">
      <w:pPr>
        <w:pStyle w:val="CETBodytext"/>
        <w:spacing w:line="22" w:lineRule="atLeast"/>
        <w:rPr>
          <w:rFonts w:cs="Arial"/>
          <w:szCs w:val="18"/>
        </w:rPr>
      </w:pPr>
      <w:r>
        <w:rPr>
          <w:rFonts w:cs="Arial"/>
          <w:szCs w:val="18"/>
        </w:rPr>
        <w:t>Where:</w:t>
      </w:r>
    </w:p>
    <w:p w14:paraId="364BC274" w14:textId="0D9F9B8E" w:rsidR="000600EB" w:rsidRPr="000600EB" w:rsidRDefault="000600EB" w:rsidP="0039058B">
      <w:pPr>
        <w:pStyle w:val="Paragrafoelenco"/>
        <w:numPr>
          <w:ilvl w:val="0"/>
          <w:numId w:val="26"/>
        </w:numPr>
        <w:tabs>
          <w:tab w:val="clear" w:pos="7100"/>
          <w:tab w:val="left" w:pos="284"/>
        </w:tabs>
        <w:autoSpaceDE w:val="0"/>
        <w:autoSpaceDN w:val="0"/>
        <w:adjustRightInd w:val="0"/>
        <w:spacing w:line="22" w:lineRule="atLeast"/>
        <w:ind w:hanging="720"/>
        <w:rPr>
          <w:rFonts w:cs="Arial"/>
          <w:szCs w:val="18"/>
          <w:lang w:val="en-US"/>
        </w:rPr>
      </w:pPr>
      <w:r w:rsidRPr="000600EB">
        <w:rPr>
          <w:rFonts w:cs="Arial"/>
          <w:szCs w:val="18"/>
        </w:rPr>
        <w:t>W</w:t>
      </w:r>
      <w:r w:rsidRPr="000600EB">
        <w:rPr>
          <w:rFonts w:cs="Arial"/>
          <w:szCs w:val="18"/>
          <w:vertAlign w:val="subscript"/>
        </w:rPr>
        <w:t>g</w:t>
      </w:r>
      <w:r w:rsidR="00B33033">
        <w:rPr>
          <w:rFonts w:cs="Arial"/>
          <w:szCs w:val="18"/>
          <w:vertAlign w:val="subscript"/>
        </w:rPr>
        <w:t xml:space="preserve"> </w:t>
      </w:r>
      <w:r w:rsidRPr="000600EB">
        <w:rPr>
          <w:rFonts w:cs="Arial"/>
          <w:szCs w:val="18"/>
        </w:rPr>
        <w:t xml:space="preserve">(kg/s) is </w:t>
      </w:r>
      <w:r w:rsidRPr="000600EB">
        <w:rPr>
          <w:rFonts w:cs="Arial"/>
          <w:szCs w:val="18"/>
          <w:lang w:val="en-US"/>
        </w:rPr>
        <w:t>the mass flow of flammable compound;</w:t>
      </w:r>
    </w:p>
    <w:p w14:paraId="136FB3E2" w14:textId="56DF921C" w:rsidR="000600EB" w:rsidRPr="000600EB" w:rsidRDefault="000600EB" w:rsidP="0039058B">
      <w:pPr>
        <w:pStyle w:val="Paragrafoelenco"/>
        <w:numPr>
          <w:ilvl w:val="0"/>
          <w:numId w:val="26"/>
        </w:numPr>
        <w:tabs>
          <w:tab w:val="clear" w:pos="7100"/>
          <w:tab w:val="left" w:pos="284"/>
        </w:tabs>
        <w:autoSpaceDE w:val="0"/>
        <w:autoSpaceDN w:val="0"/>
        <w:adjustRightInd w:val="0"/>
        <w:spacing w:line="22" w:lineRule="atLeast"/>
        <w:ind w:hanging="720"/>
        <w:rPr>
          <w:rFonts w:cs="Arial"/>
          <w:szCs w:val="18"/>
          <w:lang w:val="en-US"/>
        </w:rPr>
      </w:pPr>
      <w:r w:rsidRPr="000600EB">
        <w:rPr>
          <w:rFonts w:cs="Arial"/>
          <w:szCs w:val="18"/>
          <w:lang w:val="en-US"/>
        </w:rPr>
        <w:t>ρ</w:t>
      </w:r>
      <w:r w:rsidRPr="000600EB">
        <w:rPr>
          <w:rFonts w:cs="Arial"/>
          <w:szCs w:val="18"/>
          <w:vertAlign w:val="subscript"/>
          <w:lang w:val="en-US"/>
        </w:rPr>
        <w:t xml:space="preserve">g </w:t>
      </w:r>
      <w:r w:rsidRPr="000600EB">
        <w:rPr>
          <w:rFonts w:cs="Arial"/>
          <w:szCs w:val="18"/>
          <w:lang w:val="en-US"/>
        </w:rPr>
        <w:t>(kg/m</w:t>
      </w:r>
      <w:r w:rsidRPr="000600EB">
        <w:rPr>
          <w:rFonts w:cs="Arial"/>
          <w:szCs w:val="18"/>
          <w:vertAlign w:val="superscript"/>
          <w:lang w:val="en-US"/>
        </w:rPr>
        <w:t>3</w:t>
      </w:r>
      <w:r w:rsidRPr="000600EB">
        <w:rPr>
          <w:rFonts w:cs="Arial"/>
          <w:szCs w:val="18"/>
          <w:lang w:val="en-US"/>
        </w:rPr>
        <w:t>)</w:t>
      </w:r>
      <w:r>
        <w:rPr>
          <w:rFonts w:cs="Arial"/>
          <w:szCs w:val="18"/>
          <w:lang w:val="en-US"/>
        </w:rPr>
        <w:t xml:space="preserve"> </w:t>
      </w:r>
      <w:r w:rsidRPr="000600EB">
        <w:rPr>
          <w:rFonts w:cs="Arial"/>
          <w:szCs w:val="18"/>
          <w:lang w:val="en-US"/>
        </w:rPr>
        <w:t>indicates the gas or vapo</w:t>
      </w:r>
      <w:r w:rsidR="00DD3256">
        <w:rPr>
          <w:rFonts w:cs="Arial"/>
          <w:szCs w:val="18"/>
          <w:lang w:val="en-US"/>
        </w:rPr>
        <w:t>u</w:t>
      </w:r>
      <w:r w:rsidRPr="000600EB">
        <w:rPr>
          <w:rFonts w:cs="Arial"/>
          <w:szCs w:val="18"/>
          <w:lang w:val="en-US"/>
        </w:rPr>
        <w:t>r density</w:t>
      </w:r>
      <w:r>
        <w:rPr>
          <w:rFonts w:cs="Arial"/>
          <w:szCs w:val="18"/>
          <w:lang w:val="en-US"/>
        </w:rPr>
        <w:t xml:space="preserve"> (the parameter is linked to </w:t>
      </w:r>
      <w:r w:rsidR="000D3CB5">
        <w:rPr>
          <w:rFonts w:cs="Arial"/>
          <w:szCs w:val="18"/>
          <w:lang w:val="en-US"/>
        </w:rPr>
        <w:t>ambient pressure and temperature)</w:t>
      </w:r>
      <w:r w:rsidRPr="000600EB">
        <w:rPr>
          <w:rFonts w:cs="Arial"/>
          <w:szCs w:val="18"/>
          <w:lang w:val="en-US"/>
        </w:rPr>
        <w:t>;</w:t>
      </w:r>
    </w:p>
    <w:p w14:paraId="3F54B37A" w14:textId="2AD30963" w:rsidR="000600EB" w:rsidRPr="000600EB" w:rsidRDefault="000600EB" w:rsidP="0039058B">
      <w:pPr>
        <w:pStyle w:val="Paragrafoelenco"/>
        <w:numPr>
          <w:ilvl w:val="0"/>
          <w:numId w:val="26"/>
        </w:numPr>
        <w:tabs>
          <w:tab w:val="clear" w:pos="7100"/>
          <w:tab w:val="left" w:pos="284"/>
        </w:tabs>
        <w:autoSpaceDE w:val="0"/>
        <w:autoSpaceDN w:val="0"/>
        <w:adjustRightInd w:val="0"/>
        <w:spacing w:line="22" w:lineRule="atLeast"/>
        <w:ind w:hanging="720"/>
        <w:rPr>
          <w:rFonts w:cs="Arial"/>
          <w:szCs w:val="18"/>
          <w:lang w:val="en-US"/>
        </w:rPr>
      </w:pPr>
      <w:r w:rsidRPr="000600EB">
        <w:rPr>
          <w:rFonts w:cs="Arial"/>
          <w:szCs w:val="18"/>
          <w:vertAlign w:val="subscript"/>
          <w:lang w:val="en-US"/>
        </w:rPr>
        <w:lastRenderedPageBreak/>
        <w:t xml:space="preserve"> </w:t>
      </w:r>
      <w:r w:rsidRPr="000600EB">
        <w:rPr>
          <w:rFonts w:cs="Arial"/>
          <w:szCs w:val="18"/>
          <w:lang w:val="en-US"/>
        </w:rPr>
        <w:t xml:space="preserve">k </w:t>
      </w:r>
      <w:r w:rsidR="000D3CB5" w:rsidRPr="000600EB">
        <w:rPr>
          <w:rFonts w:cs="Arial"/>
          <w:szCs w:val="18"/>
          <w:lang w:val="en-US"/>
        </w:rPr>
        <w:t>(dimensionless parameter)</w:t>
      </w:r>
      <w:r w:rsidR="000D3CB5">
        <w:rPr>
          <w:rFonts w:cs="Arial"/>
          <w:szCs w:val="18"/>
          <w:lang w:val="en-US"/>
        </w:rPr>
        <w:t xml:space="preserve"> </w:t>
      </w:r>
      <w:r w:rsidRPr="000600EB">
        <w:rPr>
          <w:rFonts w:cs="Arial"/>
          <w:szCs w:val="18"/>
          <w:lang w:val="en-US"/>
        </w:rPr>
        <w:t>represents a safety factor</w:t>
      </w:r>
      <w:r w:rsidR="000D3CB5">
        <w:rPr>
          <w:rFonts w:cs="Arial"/>
          <w:szCs w:val="18"/>
          <w:lang w:val="en-US"/>
        </w:rPr>
        <w:t>, which ranges between 0.5 and 1</w:t>
      </w:r>
      <w:r w:rsidRPr="000600EB">
        <w:rPr>
          <w:rFonts w:cs="Arial"/>
          <w:szCs w:val="18"/>
          <w:lang w:val="en-US"/>
        </w:rPr>
        <w:t>;</w:t>
      </w:r>
    </w:p>
    <w:p w14:paraId="5401816E" w14:textId="07541358" w:rsidR="00861357" w:rsidRPr="00861357" w:rsidRDefault="000600EB" w:rsidP="0039058B">
      <w:pPr>
        <w:pStyle w:val="Paragrafoelenco"/>
        <w:numPr>
          <w:ilvl w:val="0"/>
          <w:numId w:val="26"/>
        </w:numPr>
        <w:tabs>
          <w:tab w:val="clear" w:pos="7100"/>
          <w:tab w:val="left" w:pos="284"/>
        </w:tabs>
        <w:autoSpaceDE w:val="0"/>
        <w:autoSpaceDN w:val="0"/>
        <w:adjustRightInd w:val="0"/>
        <w:spacing w:line="22" w:lineRule="atLeast"/>
        <w:ind w:hanging="720"/>
        <w:rPr>
          <w:rFonts w:cs="Arial"/>
          <w:szCs w:val="18"/>
        </w:rPr>
      </w:pPr>
      <w:r w:rsidRPr="006E68FA">
        <w:rPr>
          <w:rFonts w:cs="Arial"/>
          <w:szCs w:val="18"/>
          <w:lang w:val="en-US"/>
        </w:rPr>
        <w:t>LFL (v/v %) is the lower flammability limit of flammable substance</w:t>
      </w:r>
      <w:r w:rsidR="003F6E40">
        <w:rPr>
          <w:rFonts w:cs="Arial"/>
          <w:szCs w:val="18"/>
          <w:lang w:val="en-US"/>
        </w:rPr>
        <w:t xml:space="preserve"> (biomethane)</w:t>
      </w:r>
      <w:r w:rsidRPr="006E68FA">
        <w:rPr>
          <w:rFonts w:cs="Arial"/>
          <w:szCs w:val="18"/>
          <w:lang w:val="en-US"/>
        </w:rPr>
        <w:t xml:space="preserve">. </w:t>
      </w:r>
    </w:p>
    <w:p w14:paraId="1F2C3AA9" w14:textId="618D6B7E" w:rsidR="000600EB" w:rsidRPr="00861357" w:rsidRDefault="000D3CB5" w:rsidP="0039058B">
      <w:pPr>
        <w:tabs>
          <w:tab w:val="clear" w:pos="7100"/>
          <w:tab w:val="left" w:pos="284"/>
        </w:tabs>
        <w:autoSpaceDE w:val="0"/>
        <w:autoSpaceDN w:val="0"/>
        <w:adjustRightInd w:val="0"/>
        <w:spacing w:line="22" w:lineRule="atLeast"/>
        <w:rPr>
          <w:rFonts w:cs="Arial"/>
          <w:szCs w:val="18"/>
        </w:rPr>
      </w:pPr>
      <w:r w:rsidRPr="00861357">
        <w:rPr>
          <w:rFonts w:cs="Arial"/>
          <w:szCs w:val="18"/>
        </w:rPr>
        <w:t>In case of gaseous release</w:t>
      </w:r>
      <w:r w:rsidR="00AB3F1D" w:rsidRPr="00861357">
        <w:rPr>
          <w:rFonts w:cs="Arial"/>
          <w:szCs w:val="18"/>
        </w:rPr>
        <w:t>, W</w:t>
      </w:r>
      <w:r w:rsidR="00AB3F1D" w:rsidRPr="00861357">
        <w:rPr>
          <w:rFonts w:cs="Arial"/>
          <w:szCs w:val="18"/>
          <w:vertAlign w:val="subscript"/>
        </w:rPr>
        <w:t>g</w:t>
      </w:r>
      <w:r w:rsidR="00AB3F1D" w:rsidRPr="00861357">
        <w:rPr>
          <w:rFonts w:cs="Arial"/>
          <w:szCs w:val="18"/>
        </w:rPr>
        <w:t xml:space="preserve"> depends on flow conditions (sonic or subsonic), which are determined by the following  </w:t>
      </w:r>
      <w:r w:rsidR="006E68FA" w:rsidRPr="00861357">
        <w:rPr>
          <w:rFonts w:cs="Arial"/>
          <w:szCs w:val="18"/>
        </w:rPr>
        <w:t>equations</w:t>
      </w:r>
      <w:r w:rsidR="00365C57">
        <w:rPr>
          <w:rFonts w:cs="Arial"/>
          <w:szCs w:val="18"/>
        </w:rPr>
        <w:t xml:space="preserve"> (Casal, </w:t>
      </w:r>
      <w:r w:rsidR="00897963">
        <w:rPr>
          <w:rFonts w:cs="Arial"/>
          <w:szCs w:val="18"/>
        </w:rPr>
        <w:t>2018</w:t>
      </w:r>
      <w:r w:rsidR="00365C57">
        <w:rPr>
          <w:rFonts w:cs="Arial"/>
          <w:szCs w:val="18"/>
        </w:rPr>
        <w:t>)</w:t>
      </w:r>
      <w:r w:rsidR="006E68FA" w:rsidRPr="00861357">
        <w:rPr>
          <w:rFonts w:cs="Arial"/>
          <w:szCs w:val="18"/>
        </w:rPr>
        <w:t>:</w:t>
      </w:r>
    </w:p>
    <w:p w14:paraId="6F790F7D" w14:textId="0BDD9221" w:rsidR="006E68FA" w:rsidRPr="00AB3F1D" w:rsidRDefault="00761FC8" w:rsidP="0039058B">
      <w:pPr>
        <w:pStyle w:val="CETBodytext"/>
        <w:spacing w:line="22" w:lineRule="atLeast"/>
        <w:rPr>
          <w:rFonts w:cs="Arial"/>
          <w:szCs w:val="18"/>
        </w:rPr>
      </w:pPr>
      <w:r>
        <w:object w:dxaOrig="8800" w:dyaOrig="720" w14:anchorId="407CCE9B">
          <v:shape id="_x0000_i1027" type="#_x0000_t75" style="width:440.05pt;height:36.65pt" o:ole="">
            <v:imagedata r:id="rId17" o:title=""/>
          </v:shape>
          <o:OLEObject Type="Embed" ProgID="Unknown" ShapeID="_x0000_i1027" DrawAspect="Content" ObjectID="_1707036204" r:id="rId18"/>
        </w:object>
      </w:r>
      <w:r w:rsidR="006E68FA">
        <w:t xml:space="preserve">                                                                </w:t>
      </w:r>
    </w:p>
    <w:p w14:paraId="74DE5D60" w14:textId="650B47A5" w:rsidR="0066145B" w:rsidRDefault="00761FC8" w:rsidP="0039058B">
      <w:pPr>
        <w:pStyle w:val="CETBodytext"/>
        <w:spacing w:line="22" w:lineRule="atLeast"/>
      </w:pPr>
      <w:r>
        <w:object w:dxaOrig="8840" w:dyaOrig="720" w14:anchorId="7E1E8636">
          <v:shape id="_x0000_i1028" type="#_x0000_t75" style="width:441.9pt;height:36.65pt" o:ole="">
            <v:imagedata r:id="rId19" o:title=""/>
          </v:shape>
          <o:OLEObject Type="Embed" ProgID="Unknown" ShapeID="_x0000_i1028" DrawAspect="Content" ObjectID="_1707036205" r:id="rId20"/>
        </w:object>
      </w:r>
    </w:p>
    <w:p w14:paraId="379E52DE" w14:textId="77777777" w:rsidR="00141BE1" w:rsidRDefault="00141BE1" w:rsidP="0039058B">
      <w:pPr>
        <w:pStyle w:val="CETBodytext"/>
        <w:spacing w:line="22" w:lineRule="atLeast"/>
        <w:rPr>
          <w:lang w:val="en-GB"/>
        </w:rPr>
      </w:pPr>
      <w:r>
        <w:rPr>
          <w:lang w:val="en-GB"/>
        </w:rPr>
        <w:t>Where:</w:t>
      </w:r>
    </w:p>
    <w:p w14:paraId="0FB9AEC0" w14:textId="06F7EE15" w:rsidR="00141BE1" w:rsidRDefault="00EA56A3" w:rsidP="0039058B">
      <w:pPr>
        <w:pStyle w:val="CETBodytext"/>
        <w:numPr>
          <w:ilvl w:val="0"/>
          <w:numId w:val="27"/>
        </w:numPr>
        <w:tabs>
          <w:tab w:val="left" w:pos="284"/>
        </w:tabs>
        <w:spacing w:line="22" w:lineRule="atLeast"/>
        <w:ind w:hanging="720"/>
        <w:rPr>
          <w:lang w:val="en-GB"/>
        </w:rPr>
      </w:pPr>
      <w:r>
        <w:rPr>
          <w:lang w:val="en-GB"/>
        </w:rPr>
        <w:t>p</w:t>
      </w:r>
      <w:r>
        <w:rPr>
          <w:vertAlign w:val="subscript"/>
          <w:lang w:val="en-GB"/>
        </w:rPr>
        <w:t xml:space="preserve">in </w:t>
      </w:r>
      <w:r>
        <w:rPr>
          <w:lang w:val="en-GB"/>
        </w:rPr>
        <w:t>(Pa) is the pressure inside the vessel or component;</w:t>
      </w:r>
    </w:p>
    <w:p w14:paraId="7075516D" w14:textId="618A3D03" w:rsidR="00EA56A3" w:rsidRDefault="00EA56A3" w:rsidP="0039058B">
      <w:pPr>
        <w:pStyle w:val="CETBodytext"/>
        <w:numPr>
          <w:ilvl w:val="0"/>
          <w:numId w:val="27"/>
        </w:numPr>
        <w:tabs>
          <w:tab w:val="left" w:pos="284"/>
        </w:tabs>
        <w:spacing w:line="22" w:lineRule="atLeast"/>
        <w:ind w:hanging="720"/>
        <w:rPr>
          <w:lang w:val="en-GB"/>
        </w:rPr>
      </w:pPr>
      <w:r>
        <w:rPr>
          <w:lang w:val="en-GB"/>
        </w:rPr>
        <w:t>p</w:t>
      </w:r>
      <w:r w:rsidRPr="00EA56A3">
        <w:rPr>
          <w:vertAlign w:val="subscript"/>
          <w:lang w:val="en-GB"/>
        </w:rPr>
        <w:t>atm</w:t>
      </w:r>
      <w:r>
        <w:rPr>
          <w:lang w:val="en-GB"/>
        </w:rPr>
        <w:t xml:space="preserve"> (101325 Pa) indicates the atmospheric pressure;</w:t>
      </w:r>
    </w:p>
    <w:p w14:paraId="0F538E35" w14:textId="3F76BEC2" w:rsidR="00EA56A3" w:rsidRDefault="00EA56A3" w:rsidP="0039058B">
      <w:pPr>
        <w:pStyle w:val="CETBodytext"/>
        <w:numPr>
          <w:ilvl w:val="0"/>
          <w:numId w:val="27"/>
        </w:numPr>
        <w:tabs>
          <w:tab w:val="left" w:pos="284"/>
        </w:tabs>
        <w:spacing w:line="22" w:lineRule="atLeast"/>
        <w:ind w:hanging="720"/>
        <w:rPr>
          <w:lang w:val="en-GB"/>
        </w:rPr>
      </w:pPr>
      <w:r>
        <w:rPr>
          <w:rFonts w:cs="Arial"/>
          <w:lang w:val="en-GB"/>
        </w:rPr>
        <w:t>γ</w:t>
      </w:r>
      <w:r>
        <w:rPr>
          <w:lang w:val="en-GB"/>
        </w:rPr>
        <w:t xml:space="preserve"> (dimensionless parameter) = c</w:t>
      </w:r>
      <w:r w:rsidRPr="00861357">
        <w:rPr>
          <w:vertAlign w:val="subscript"/>
          <w:lang w:val="en-GB"/>
        </w:rPr>
        <w:t>p</w:t>
      </w:r>
      <w:r>
        <w:rPr>
          <w:lang w:val="en-GB"/>
        </w:rPr>
        <w:t>/c</w:t>
      </w:r>
      <w:r w:rsidRPr="00861357">
        <w:rPr>
          <w:vertAlign w:val="subscript"/>
          <w:lang w:val="en-GB"/>
        </w:rPr>
        <w:t xml:space="preserve">v </w:t>
      </w:r>
      <w:r>
        <w:rPr>
          <w:lang w:val="en-GB"/>
        </w:rPr>
        <w:t xml:space="preserve">(heat capacities ratio). </w:t>
      </w:r>
    </w:p>
    <w:p w14:paraId="7B5AB84F" w14:textId="0AD37CD6" w:rsidR="00187B1C" w:rsidRDefault="00761FC8" w:rsidP="0039058B">
      <w:pPr>
        <w:pStyle w:val="CETBodytext"/>
        <w:spacing w:line="22" w:lineRule="atLeast"/>
        <w:rPr>
          <w:rFonts w:cs="Arial"/>
          <w:szCs w:val="18"/>
          <w:lang w:val="en-GB"/>
        </w:rPr>
      </w:pPr>
      <w:r>
        <w:rPr>
          <w:rFonts w:cs="Arial"/>
          <w:szCs w:val="18"/>
          <w:lang w:val="en-GB"/>
        </w:rPr>
        <w:t>The first term of  Eq 3 and 4 is the sonic pressure</w:t>
      </w:r>
      <w:r w:rsidR="004B7729">
        <w:rPr>
          <w:rFonts w:cs="Arial"/>
          <w:szCs w:val="18"/>
          <w:lang w:val="en-GB"/>
        </w:rPr>
        <w:t xml:space="preserve"> (p</w:t>
      </w:r>
      <w:r w:rsidR="004B7729" w:rsidRPr="004B7729">
        <w:rPr>
          <w:rFonts w:cs="Arial"/>
          <w:szCs w:val="18"/>
          <w:vertAlign w:val="subscript"/>
          <w:lang w:val="en-GB"/>
        </w:rPr>
        <w:t>son</w:t>
      </w:r>
      <w:r w:rsidR="004B7729">
        <w:rPr>
          <w:rFonts w:cs="Arial"/>
          <w:szCs w:val="18"/>
          <w:lang w:val="en-GB"/>
        </w:rPr>
        <w:t>)</w:t>
      </w:r>
      <w:r>
        <w:rPr>
          <w:rFonts w:cs="Arial"/>
          <w:szCs w:val="18"/>
          <w:lang w:val="en-GB"/>
        </w:rPr>
        <w:t xml:space="preserve">. </w:t>
      </w:r>
      <w:r w:rsidR="00187B1C">
        <w:rPr>
          <w:rFonts w:cs="Arial"/>
          <w:szCs w:val="18"/>
          <w:lang w:val="en-GB"/>
        </w:rPr>
        <w:t>The heat capacities ratio depends on temperature and it has been calculated by the Langen equations:</w:t>
      </w:r>
    </w:p>
    <w:p w14:paraId="625DB3C5" w14:textId="6D0BD3F4" w:rsidR="00187B1C" w:rsidRDefault="007531BD" w:rsidP="0039058B">
      <w:pPr>
        <w:pStyle w:val="CETBodytext"/>
        <w:spacing w:line="22" w:lineRule="atLeast"/>
      </w:pPr>
      <w:r>
        <w:rPr>
          <w:noProof/>
        </w:rPr>
        <w:object w:dxaOrig="1440" w:dyaOrig="1440" w14:anchorId="1F74B57E">
          <v:shape id="_x0000_s1034" type="#_x0000_t75" style="position:absolute;left:0;text-align:left;margin-left:0;margin-top:0;width:444.55pt;height:31.65pt;z-index:251658240;mso-position-horizontal:left;mso-position-horizontal-relative:text;mso-position-vertical-relative:text">
            <v:imagedata r:id="rId21" o:title=""/>
            <w10:wrap type="square" side="right"/>
          </v:shape>
          <o:OLEObject Type="Embed" ProgID="Unknown" ShapeID="_x0000_s1034" DrawAspect="Content" ObjectID="_1707036212" r:id="rId22"/>
        </w:object>
      </w:r>
      <w:r w:rsidR="00187B1C">
        <w:t xml:space="preserve"> With reference to methane, the values of a, a’ and b are shown in table 1. </w:t>
      </w:r>
    </w:p>
    <w:p w14:paraId="3FC67D2F" w14:textId="77777777" w:rsidR="00187B1C" w:rsidRPr="005A2D74" w:rsidRDefault="00187B1C" w:rsidP="0039058B">
      <w:pPr>
        <w:pStyle w:val="CETBodytext"/>
        <w:spacing w:line="22" w:lineRule="atLeast"/>
        <w:ind w:left="360"/>
        <w:rPr>
          <w:sz w:val="10"/>
          <w:szCs w:val="10"/>
        </w:rPr>
      </w:pPr>
    </w:p>
    <w:p w14:paraId="3CBD4E23" w14:textId="77777777" w:rsidR="00187B1C" w:rsidRDefault="00187B1C" w:rsidP="0039058B">
      <w:pPr>
        <w:pStyle w:val="CETBodytext"/>
        <w:spacing w:line="22" w:lineRule="atLeast"/>
        <w:rPr>
          <w:i/>
        </w:rPr>
      </w:pPr>
      <w:r w:rsidRPr="006F4F6A">
        <w:rPr>
          <w:i/>
        </w:rPr>
        <w:t xml:space="preserve">Table 1: Langen parameters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134"/>
        <w:gridCol w:w="1134"/>
      </w:tblGrid>
      <w:tr w:rsidR="00187B1C" w14:paraId="175C96D9" w14:textId="77777777" w:rsidTr="00617CDB">
        <w:tc>
          <w:tcPr>
            <w:tcW w:w="1271" w:type="dxa"/>
            <w:tcBorders>
              <w:top w:val="single" w:sz="4" w:space="0" w:color="auto"/>
              <w:bottom w:val="single" w:sz="4" w:space="0" w:color="auto"/>
            </w:tcBorders>
          </w:tcPr>
          <w:p w14:paraId="456B7B4B" w14:textId="77777777" w:rsidR="00187B1C" w:rsidRPr="006F4F6A" w:rsidRDefault="00187B1C" w:rsidP="0039058B">
            <w:pPr>
              <w:pStyle w:val="CETBodytext"/>
              <w:spacing w:line="22" w:lineRule="atLeast"/>
              <w:jc w:val="center"/>
            </w:pPr>
            <w:r>
              <w:t>a (J/kg K)</w:t>
            </w:r>
          </w:p>
        </w:tc>
        <w:tc>
          <w:tcPr>
            <w:tcW w:w="1134" w:type="dxa"/>
            <w:tcBorders>
              <w:top w:val="single" w:sz="4" w:space="0" w:color="auto"/>
              <w:bottom w:val="single" w:sz="4" w:space="0" w:color="auto"/>
            </w:tcBorders>
          </w:tcPr>
          <w:p w14:paraId="4765B946" w14:textId="77777777" w:rsidR="00187B1C" w:rsidRPr="006F4F6A" w:rsidRDefault="00187B1C" w:rsidP="0039058B">
            <w:pPr>
              <w:pStyle w:val="CETBodytext"/>
              <w:spacing w:line="22" w:lineRule="atLeast"/>
              <w:jc w:val="center"/>
            </w:pPr>
            <w:r w:rsidRPr="006F4F6A">
              <w:t>a’</w:t>
            </w:r>
            <w:r>
              <w:t xml:space="preserve"> (J/kg K)</w:t>
            </w:r>
          </w:p>
        </w:tc>
        <w:tc>
          <w:tcPr>
            <w:tcW w:w="1134" w:type="dxa"/>
            <w:tcBorders>
              <w:top w:val="single" w:sz="4" w:space="0" w:color="auto"/>
              <w:bottom w:val="single" w:sz="4" w:space="0" w:color="auto"/>
            </w:tcBorders>
          </w:tcPr>
          <w:p w14:paraId="248181C8" w14:textId="77777777" w:rsidR="00187B1C" w:rsidRPr="006F4F6A" w:rsidRDefault="00187B1C" w:rsidP="0039058B">
            <w:pPr>
              <w:pStyle w:val="CETBodytext"/>
              <w:spacing w:line="22" w:lineRule="atLeast"/>
              <w:jc w:val="center"/>
            </w:pPr>
            <w:r>
              <w:t>b (J/kg K</w:t>
            </w:r>
            <w:r w:rsidRPr="006F4F6A">
              <w:rPr>
                <w:vertAlign w:val="superscript"/>
              </w:rPr>
              <w:t>2</w:t>
            </w:r>
            <w:r>
              <w:t>)</w:t>
            </w:r>
          </w:p>
        </w:tc>
      </w:tr>
      <w:tr w:rsidR="00187B1C" w14:paraId="1046E5FC" w14:textId="77777777" w:rsidTr="00617CDB">
        <w:tc>
          <w:tcPr>
            <w:tcW w:w="1271" w:type="dxa"/>
            <w:tcBorders>
              <w:top w:val="single" w:sz="4" w:space="0" w:color="auto"/>
              <w:bottom w:val="single" w:sz="4" w:space="0" w:color="auto"/>
            </w:tcBorders>
          </w:tcPr>
          <w:p w14:paraId="5613B75B" w14:textId="77777777" w:rsidR="00187B1C" w:rsidRPr="006F4F6A" w:rsidRDefault="00187B1C" w:rsidP="0039058B">
            <w:pPr>
              <w:pStyle w:val="CETBodytext"/>
              <w:spacing w:line="22" w:lineRule="atLeast"/>
              <w:jc w:val="center"/>
            </w:pPr>
            <w:r w:rsidRPr="006F4F6A">
              <w:t>1710</w:t>
            </w:r>
          </w:p>
        </w:tc>
        <w:tc>
          <w:tcPr>
            <w:tcW w:w="1134" w:type="dxa"/>
            <w:tcBorders>
              <w:top w:val="single" w:sz="4" w:space="0" w:color="auto"/>
              <w:bottom w:val="single" w:sz="4" w:space="0" w:color="auto"/>
            </w:tcBorders>
          </w:tcPr>
          <w:p w14:paraId="4D6E048F" w14:textId="77777777" w:rsidR="00187B1C" w:rsidRPr="006F4F6A" w:rsidRDefault="00187B1C" w:rsidP="0039058B">
            <w:pPr>
              <w:pStyle w:val="CETBodytext"/>
              <w:spacing w:line="22" w:lineRule="atLeast"/>
              <w:jc w:val="center"/>
            </w:pPr>
            <w:r w:rsidRPr="006F4F6A">
              <w:t>1210</w:t>
            </w:r>
          </w:p>
        </w:tc>
        <w:tc>
          <w:tcPr>
            <w:tcW w:w="1134" w:type="dxa"/>
            <w:tcBorders>
              <w:top w:val="single" w:sz="4" w:space="0" w:color="auto"/>
              <w:bottom w:val="single" w:sz="4" w:space="0" w:color="auto"/>
            </w:tcBorders>
          </w:tcPr>
          <w:p w14:paraId="10B1CE60" w14:textId="77777777" w:rsidR="00187B1C" w:rsidRPr="006F4F6A" w:rsidRDefault="00187B1C" w:rsidP="0039058B">
            <w:pPr>
              <w:pStyle w:val="CETBodytext"/>
              <w:spacing w:line="22" w:lineRule="atLeast"/>
              <w:jc w:val="center"/>
            </w:pPr>
            <w:r w:rsidRPr="006F4F6A">
              <w:t>0.276</w:t>
            </w:r>
          </w:p>
        </w:tc>
      </w:tr>
    </w:tbl>
    <w:p w14:paraId="4EE8B234" w14:textId="77777777" w:rsidR="00187B1C" w:rsidRDefault="00187B1C" w:rsidP="0039058B">
      <w:pPr>
        <w:pStyle w:val="CETBodytext"/>
        <w:tabs>
          <w:tab w:val="left" w:pos="284"/>
        </w:tabs>
        <w:spacing w:line="22" w:lineRule="atLeast"/>
        <w:rPr>
          <w:lang w:val="en-GB"/>
        </w:rPr>
      </w:pPr>
    </w:p>
    <w:p w14:paraId="2472A6C9" w14:textId="3F8FBC8B" w:rsidR="00750523" w:rsidRPr="00187B1C" w:rsidRDefault="00257F31" w:rsidP="0039058B">
      <w:pPr>
        <w:pStyle w:val="CETBodytext"/>
        <w:tabs>
          <w:tab w:val="left" w:pos="284"/>
        </w:tabs>
        <w:spacing w:line="22" w:lineRule="atLeast"/>
        <w:rPr>
          <w:lang w:val="en-GB"/>
        </w:rPr>
      </w:pPr>
      <w:r>
        <w:rPr>
          <w:lang w:val="en-GB"/>
        </w:rPr>
        <w:t>M</w:t>
      </w:r>
      <w:r>
        <w:rPr>
          <w:vertAlign w:val="subscript"/>
          <w:lang w:val="en-GB"/>
        </w:rPr>
        <w:t>i</w:t>
      </w:r>
      <w:r w:rsidR="003F6E40">
        <w:rPr>
          <w:lang w:val="en-GB"/>
        </w:rPr>
        <w:t xml:space="preserve"> is calculated by the following equations</w:t>
      </w:r>
      <w:r w:rsidR="00365C57">
        <w:rPr>
          <w:lang w:val="en-GB"/>
        </w:rPr>
        <w:t xml:space="preserve"> (Lauri, 2018)</w:t>
      </w:r>
      <w:r w:rsidR="003F6E40">
        <w:rPr>
          <w:lang w:val="en-GB"/>
        </w:rPr>
        <w:t>:</w:t>
      </w:r>
    </w:p>
    <w:p w14:paraId="5F2C5BF1" w14:textId="61BAF41A" w:rsidR="00750523" w:rsidRDefault="006D0DD5" w:rsidP="0039058B">
      <w:pPr>
        <w:pStyle w:val="CETBodytext"/>
        <w:spacing w:line="22" w:lineRule="atLeast"/>
      </w:pPr>
      <w:r>
        <w:object w:dxaOrig="8820" w:dyaOrig="800" w14:anchorId="04853719">
          <v:shape id="_x0000_i1030" type="#_x0000_t75" style="width:440.55pt;height:40.4pt" o:ole="">
            <v:imagedata r:id="rId23" o:title=""/>
          </v:shape>
          <o:OLEObject Type="Embed" ProgID="Unknown" ShapeID="_x0000_i1030" DrawAspect="Content" ObjectID="_1707036206" r:id="rId24"/>
        </w:object>
      </w:r>
    </w:p>
    <w:p w14:paraId="22C7EB81" w14:textId="7F330E6B" w:rsidR="00750523" w:rsidRDefault="004868E4" w:rsidP="0039058B">
      <w:pPr>
        <w:pStyle w:val="CETBodytext"/>
        <w:spacing w:line="22" w:lineRule="atLeast"/>
        <w:rPr>
          <w:lang w:val="en-GB"/>
        </w:rPr>
      </w:pPr>
      <w:r>
        <w:object w:dxaOrig="8820" w:dyaOrig="999" w14:anchorId="2B871F96">
          <v:shape id="_x0000_i1031" type="#_x0000_t75" style="width:440.55pt;height:50.05pt" o:ole="">
            <v:imagedata r:id="rId25" o:title=""/>
          </v:shape>
          <o:OLEObject Type="Embed" ProgID="Unknown" ShapeID="_x0000_i1031" DrawAspect="Content" ObjectID="_1707036207" r:id="rId26"/>
        </w:object>
      </w:r>
    </w:p>
    <w:p w14:paraId="5D7F84EF" w14:textId="77777777" w:rsidR="00750523" w:rsidRDefault="00750523" w:rsidP="0039058B">
      <w:pPr>
        <w:pStyle w:val="CETBodytext"/>
        <w:spacing w:line="22" w:lineRule="atLeast"/>
        <w:rPr>
          <w:lang w:val="en-GB"/>
        </w:rPr>
      </w:pPr>
      <w:r>
        <w:rPr>
          <w:lang w:val="en-GB"/>
        </w:rPr>
        <w:t>Where:</w:t>
      </w:r>
    </w:p>
    <w:p w14:paraId="67D5CF11" w14:textId="0F5B6296" w:rsidR="00750523" w:rsidRPr="00655572" w:rsidRDefault="00750523" w:rsidP="0039058B">
      <w:pPr>
        <w:pStyle w:val="CETBodytext"/>
        <w:numPr>
          <w:ilvl w:val="0"/>
          <w:numId w:val="28"/>
        </w:numPr>
        <w:tabs>
          <w:tab w:val="left" w:pos="284"/>
        </w:tabs>
        <w:spacing w:line="22" w:lineRule="atLeast"/>
        <w:ind w:hanging="720"/>
        <w:rPr>
          <w:rFonts w:cs="Arial"/>
          <w:szCs w:val="18"/>
        </w:rPr>
      </w:pPr>
      <w:r w:rsidRPr="00655572">
        <w:rPr>
          <w:rFonts w:cs="Arial"/>
          <w:szCs w:val="18"/>
        </w:rPr>
        <w:t>A</w:t>
      </w:r>
      <w:r>
        <w:rPr>
          <w:rFonts w:cs="Arial"/>
          <w:szCs w:val="18"/>
        </w:rPr>
        <w:t xml:space="preserve"> </w:t>
      </w:r>
      <w:r w:rsidRPr="00655572">
        <w:rPr>
          <w:rFonts w:cs="Arial"/>
          <w:szCs w:val="18"/>
        </w:rPr>
        <w:t>(m</w:t>
      </w:r>
      <w:r w:rsidRPr="00655572">
        <w:rPr>
          <w:rFonts w:cs="Arial"/>
          <w:szCs w:val="18"/>
          <w:vertAlign w:val="superscript"/>
        </w:rPr>
        <w:t>2</w:t>
      </w:r>
      <w:r w:rsidRPr="00655572">
        <w:rPr>
          <w:rFonts w:cs="Arial"/>
          <w:szCs w:val="18"/>
        </w:rPr>
        <w:t>) is the hole area;</w:t>
      </w:r>
    </w:p>
    <w:p w14:paraId="1075B172" w14:textId="2EFEAE35" w:rsidR="00750523" w:rsidRPr="00655572" w:rsidRDefault="00750523" w:rsidP="0039058B">
      <w:pPr>
        <w:pStyle w:val="CETBodytext"/>
        <w:numPr>
          <w:ilvl w:val="0"/>
          <w:numId w:val="28"/>
        </w:numPr>
        <w:tabs>
          <w:tab w:val="left" w:pos="284"/>
        </w:tabs>
        <w:spacing w:line="22" w:lineRule="atLeast"/>
        <w:ind w:hanging="720"/>
        <w:rPr>
          <w:rFonts w:cs="Arial"/>
          <w:szCs w:val="18"/>
        </w:rPr>
      </w:pPr>
      <w:r w:rsidRPr="00655572">
        <w:rPr>
          <w:rFonts w:cs="Arial"/>
          <w:szCs w:val="18"/>
        </w:rPr>
        <w:t>C</w:t>
      </w:r>
      <w:r w:rsidRPr="00655572">
        <w:rPr>
          <w:rFonts w:cs="Arial"/>
          <w:szCs w:val="18"/>
          <w:vertAlign w:val="subscript"/>
        </w:rPr>
        <w:t>d</w:t>
      </w:r>
      <w:r w:rsidRPr="00655572">
        <w:rPr>
          <w:rFonts w:cs="Arial"/>
          <w:szCs w:val="18"/>
        </w:rPr>
        <w:t xml:space="preserve"> indicates the discharge coefficient (dimensionless parameter)</w:t>
      </w:r>
      <w:r w:rsidR="00E74787">
        <w:rPr>
          <w:rFonts w:cs="Arial"/>
          <w:szCs w:val="18"/>
        </w:rPr>
        <w:t>, which is lower than 1</w:t>
      </w:r>
      <w:r w:rsidRPr="00655572">
        <w:rPr>
          <w:rFonts w:cs="Arial"/>
          <w:szCs w:val="18"/>
        </w:rPr>
        <w:t>;</w:t>
      </w:r>
    </w:p>
    <w:p w14:paraId="0E2515F8" w14:textId="7D56F170" w:rsidR="00750523" w:rsidRDefault="00750523" w:rsidP="0039058B">
      <w:pPr>
        <w:pStyle w:val="CETBodytext"/>
        <w:numPr>
          <w:ilvl w:val="0"/>
          <w:numId w:val="28"/>
        </w:numPr>
        <w:tabs>
          <w:tab w:val="left" w:pos="284"/>
        </w:tabs>
        <w:spacing w:line="22" w:lineRule="atLeast"/>
        <w:ind w:hanging="720"/>
        <w:rPr>
          <w:rFonts w:cs="Arial"/>
          <w:szCs w:val="18"/>
        </w:rPr>
      </w:pPr>
      <w:r w:rsidRPr="00655572">
        <w:rPr>
          <w:rFonts w:cs="Arial"/>
          <w:szCs w:val="18"/>
        </w:rPr>
        <w:t>PM</w:t>
      </w:r>
      <w:r w:rsidRPr="00655572">
        <w:rPr>
          <w:rFonts w:cs="Arial"/>
          <w:szCs w:val="18"/>
          <w:vertAlign w:val="subscript"/>
        </w:rPr>
        <w:t>b</w:t>
      </w:r>
      <w:r w:rsidRPr="00655572">
        <w:rPr>
          <w:rFonts w:cs="Arial"/>
          <w:szCs w:val="18"/>
        </w:rPr>
        <w:t xml:space="preserve"> </w:t>
      </w:r>
      <w:r w:rsidR="00CA5D09" w:rsidRPr="00655572">
        <w:rPr>
          <w:rFonts w:cs="Arial"/>
          <w:szCs w:val="18"/>
        </w:rPr>
        <w:t>(</w:t>
      </w:r>
      <w:r w:rsidR="00CA5D09">
        <w:rPr>
          <w:rFonts w:cs="Arial"/>
          <w:szCs w:val="18"/>
        </w:rPr>
        <w:t xml:space="preserve">16 </w:t>
      </w:r>
      <w:r w:rsidR="00CA5D09" w:rsidRPr="00655572">
        <w:rPr>
          <w:rFonts w:cs="Arial"/>
          <w:szCs w:val="18"/>
        </w:rPr>
        <w:t>kg/kmol)</w:t>
      </w:r>
      <w:r w:rsidR="00CA5D09">
        <w:rPr>
          <w:rFonts w:cs="Arial"/>
          <w:szCs w:val="18"/>
        </w:rPr>
        <w:t xml:space="preserve"> </w:t>
      </w:r>
      <w:r w:rsidRPr="00655572">
        <w:rPr>
          <w:rFonts w:cs="Arial"/>
          <w:szCs w:val="18"/>
        </w:rPr>
        <w:t xml:space="preserve">is the molecular weight </w:t>
      </w:r>
      <w:r>
        <w:rPr>
          <w:rFonts w:cs="Arial"/>
          <w:szCs w:val="18"/>
        </w:rPr>
        <w:t>of bio</w:t>
      </w:r>
      <w:r w:rsidR="00714A14">
        <w:rPr>
          <w:rFonts w:cs="Arial"/>
          <w:szCs w:val="18"/>
        </w:rPr>
        <w:t>methane</w:t>
      </w:r>
      <w:r w:rsidRPr="00655572">
        <w:rPr>
          <w:rFonts w:cs="Arial"/>
          <w:szCs w:val="18"/>
        </w:rPr>
        <w:t>;</w:t>
      </w:r>
    </w:p>
    <w:p w14:paraId="41770ECE" w14:textId="3B8385E9" w:rsidR="00020BA7" w:rsidRDefault="00020BA7" w:rsidP="0039058B">
      <w:pPr>
        <w:pStyle w:val="CETBodytext"/>
        <w:numPr>
          <w:ilvl w:val="0"/>
          <w:numId w:val="28"/>
        </w:numPr>
        <w:tabs>
          <w:tab w:val="left" w:pos="284"/>
        </w:tabs>
        <w:spacing w:line="22" w:lineRule="atLeast"/>
        <w:ind w:hanging="720"/>
        <w:rPr>
          <w:rFonts w:cs="Arial"/>
          <w:szCs w:val="18"/>
        </w:rPr>
      </w:pPr>
      <w:r>
        <w:rPr>
          <w:rFonts w:cs="Arial"/>
          <w:szCs w:val="18"/>
        </w:rPr>
        <w:t>Z (dimensionless parameter) is the compressibility factor;</w:t>
      </w:r>
    </w:p>
    <w:p w14:paraId="3FB50DC4" w14:textId="00CAFA41" w:rsidR="00CA5D09" w:rsidRPr="00C0626C" w:rsidRDefault="00CA5D09" w:rsidP="0039058B">
      <w:pPr>
        <w:pStyle w:val="CETBodytext"/>
        <w:numPr>
          <w:ilvl w:val="0"/>
          <w:numId w:val="28"/>
        </w:numPr>
        <w:tabs>
          <w:tab w:val="left" w:pos="284"/>
        </w:tabs>
        <w:spacing w:line="22" w:lineRule="atLeast"/>
        <w:ind w:hanging="720"/>
        <w:rPr>
          <w:rFonts w:cs="Arial"/>
          <w:szCs w:val="18"/>
        </w:rPr>
      </w:pPr>
      <w:r>
        <w:rPr>
          <w:rFonts w:cs="Arial"/>
          <w:szCs w:val="18"/>
        </w:rPr>
        <w:t>R (8,314 J/kmol K) is the universal gas constant;</w:t>
      </w:r>
    </w:p>
    <w:p w14:paraId="3FC87D5F" w14:textId="7FBEC0AA" w:rsidR="00750523" w:rsidRPr="00655572" w:rsidRDefault="00750523" w:rsidP="0039058B">
      <w:pPr>
        <w:pStyle w:val="CETBodytext"/>
        <w:numPr>
          <w:ilvl w:val="0"/>
          <w:numId w:val="28"/>
        </w:numPr>
        <w:tabs>
          <w:tab w:val="left" w:pos="284"/>
        </w:tabs>
        <w:spacing w:line="22" w:lineRule="atLeast"/>
        <w:ind w:hanging="720"/>
        <w:rPr>
          <w:rFonts w:cs="Arial"/>
          <w:szCs w:val="18"/>
        </w:rPr>
      </w:pPr>
      <w:r w:rsidRPr="00655572">
        <w:rPr>
          <w:rFonts w:cs="Arial"/>
          <w:szCs w:val="18"/>
        </w:rPr>
        <w:t>T represents the bio</w:t>
      </w:r>
      <w:r w:rsidR="00020BA7">
        <w:rPr>
          <w:rFonts w:cs="Arial"/>
          <w:szCs w:val="18"/>
        </w:rPr>
        <w:t>fuel</w:t>
      </w:r>
      <w:r w:rsidRPr="00655572">
        <w:rPr>
          <w:rFonts w:cs="Arial"/>
          <w:szCs w:val="18"/>
        </w:rPr>
        <w:t xml:space="preserve"> release temperature (K).  </w:t>
      </w:r>
    </w:p>
    <w:p w14:paraId="6A713EB8" w14:textId="424D5945" w:rsidR="003D7BDD" w:rsidRDefault="00C107DD" w:rsidP="0039058B">
      <w:pPr>
        <w:pStyle w:val="CETBodytext"/>
        <w:spacing w:line="22" w:lineRule="atLeast"/>
        <w:rPr>
          <w:rFonts w:cs="Arial"/>
          <w:szCs w:val="18"/>
          <w:lang w:val="en-GB"/>
        </w:rPr>
      </w:pPr>
      <w:r>
        <w:rPr>
          <w:lang w:val="en-GB"/>
        </w:rPr>
        <w:t xml:space="preserve">The technical Standard </w:t>
      </w:r>
      <w:r w:rsidRPr="00655572">
        <w:rPr>
          <w:rFonts w:cs="Arial"/>
          <w:szCs w:val="18"/>
          <w:lang w:val="en-GB"/>
        </w:rPr>
        <w:t xml:space="preserve">IEC </w:t>
      </w:r>
      <w:r>
        <w:rPr>
          <w:rFonts w:cs="Arial"/>
          <w:szCs w:val="18"/>
          <w:lang w:val="en-GB"/>
        </w:rPr>
        <w:t>60079-10-1</w:t>
      </w:r>
      <w:r w:rsidRPr="00655572">
        <w:rPr>
          <w:rFonts w:cs="Arial"/>
          <w:szCs w:val="18"/>
          <w:lang w:val="en-GB"/>
        </w:rPr>
        <w:t xml:space="preserve"> </w:t>
      </w:r>
      <w:r>
        <w:rPr>
          <w:rFonts w:cs="Arial"/>
          <w:szCs w:val="18"/>
          <w:lang w:val="en-GB"/>
        </w:rPr>
        <w:t xml:space="preserve">suggests the </w:t>
      </w:r>
      <w:r w:rsidR="006E5576">
        <w:rPr>
          <w:rFonts w:cs="Arial"/>
          <w:szCs w:val="18"/>
          <w:lang w:val="en-GB"/>
        </w:rPr>
        <w:t>hole area (A) values</w:t>
      </w:r>
      <w:r w:rsidR="008A3C63">
        <w:rPr>
          <w:rFonts w:cs="Arial"/>
          <w:szCs w:val="18"/>
          <w:lang w:val="en-GB"/>
        </w:rPr>
        <w:t>, which range between 1</w:t>
      </w:r>
      <w:r w:rsidR="00426354">
        <w:rPr>
          <w:rFonts w:cs="Arial"/>
          <w:szCs w:val="18"/>
          <w:lang w:val="en-GB"/>
        </w:rPr>
        <w:t>0</w:t>
      </w:r>
      <w:r w:rsidR="00426354">
        <w:rPr>
          <w:rFonts w:cs="Arial"/>
          <w:szCs w:val="18"/>
          <w:vertAlign w:val="superscript"/>
          <w:lang w:val="en-GB"/>
        </w:rPr>
        <w:t>-6</w:t>
      </w:r>
      <w:r w:rsidR="008A3C63">
        <w:rPr>
          <w:rFonts w:cs="Arial"/>
          <w:szCs w:val="18"/>
          <w:lang w:val="en-GB"/>
        </w:rPr>
        <w:t xml:space="preserve"> m</w:t>
      </w:r>
      <w:r w:rsidR="008A3C63" w:rsidRPr="008A3C63">
        <w:rPr>
          <w:rFonts w:cs="Arial"/>
          <w:szCs w:val="18"/>
          <w:vertAlign w:val="superscript"/>
          <w:lang w:val="en-GB"/>
        </w:rPr>
        <w:t>2</w:t>
      </w:r>
      <w:r w:rsidR="008A3C63">
        <w:rPr>
          <w:rFonts w:cs="Arial"/>
          <w:szCs w:val="18"/>
          <w:lang w:val="en-GB"/>
        </w:rPr>
        <w:t xml:space="preserve"> and 5</w:t>
      </w:r>
      <w:r w:rsidR="00426354">
        <w:rPr>
          <w:rFonts w:cs="Arial"/>
          <w:szCs w:val="18"/>
          <w:lang w:val="en-GB"/>
        </w:rPr>
        <w:t>·10</w:t>
      </w:r>
      <w:r w:rsidR="00426354">
        <w:rPr>
          <w:rFonts w:cs="Arial"/>
          <w:szCs w:val="18"/>
          <w:vertAlign w:val="superscript"/>
          <w:lang w:val="en-GB"/>
        </w:rPr>
        <w:t>-6</w:t>
      </w:r>
      <w:r w:rsidR="008A3C63">
        <w:rPr>
          <w:rFonts w:cs="Arial"/>
          <w:szCs w:val="18"/>
          <w:lang w:val="en-GB"/>
        </w:rPr>
        <w:t xml:space="preserve"> m</w:t>
      </w:r>
      <w:r w:rsidR="008A3C63" w:rsidRPr="00426354">
        <w:rPr>
          <w:rFonts w:cs="Arial"/>
          <w:szCs w:val="18"/>
          <w:vertAlign w:val="superscript"/>
          <w:lang w:val="en-GB"/>
        </w:rPr>
        <w:t>2</w:t>
      </w:r>
      <w:r w:rsidR="008B29F0">
        <w:rPr>
          <w:rFonts w:cs="Arial"/>
          <w:szCs w:val="18"/>
          <w:vertAlign w:val="superscript"/>
          <w:lang w:val="en-GB"/>
        </w:rPr>
        <w:t xml:space="preserve"> </w:t>
      </w:r>
      <w:r w:rsidR="008B29F0">
        <w:rPr>
          <w:rFonts w:cs="Arial"/>
          <w:szCs w:val="18"/>
          <w:lang w:val="en-GB"/>
        </w:rPr>
        <w:t>in case of release from compressors (IEC, 20</w:t>
      </w:r>
      <w:r w:rsidR="00023D67">
        <w:rPr>
          <w:rFonts w:cs="Arial"/>
          <w:szCs w:val="18"/>
          <w:lang w:val="en-GB"/>
        </w:rPr>
        <w:t>2</w:t>
      </w:r>
      <w:r w:rsidR="008B29F0">
        <w:rPr>
          <w:rFonts w:cs="Arial"/>
          <w:szCs w:val="18"/>
          <w:lang w:val="en-GB"/>
        </w:rPr>
        <w:t>1)</w:t>
      </w:r>
      <w:r w:rsidR="006E5576">
        <w:rPr>
          <w:rFonts w:cs="Arial"/>
          <w:szCs w:val="18"/>
          <w:lang w:val="en-GB"/>
        </w:rPr>
        <w:t xml:space="preserve">. </w:t>
      </w:r>
      <w:r w:rsidR="00746222">
        <w:rPr>
          <w:rFonts w:cs="Arial"/>
          <w:szCs w:val="18"/>
          <w:lang w:val="en-GB"/>
        </w:rPr>
        <w:t xml:space="preserve">In case study, the compressor is equipped with two safety valves, which have emission area </w:t>
      </w:r>
      <w:r w:rsidR="00CE66C6">
        <w:rPr>
          <w:rFonts w:cs="Arial"/>
          <w:szCs w:val="18"/>
          <w:lang w:val="en-GB"/>
        </w:rPr>
        <w:t>(A</w:t>
      </w:r>
      <w:r w:rsidR="00CE66C6" w:rsidRPr="00CE66C6">
        <w:rPr>
          <w:rFonts w:cs="Arial"/>
          <w:szCs w:val="18"/>
          <w:vertAlign w:val="subscript"/>
          <w:lang w:val="en-GB"/>
        </w:rPr>
        <w:t>SV</w:t>
      </w:r>
      <w:r w:rsidR="00CE66C6">
        <w:rPr>
          <w:rFonts w:cs="Arial"/>
          <w:szCs w:val="18"/>
          <w:lang w:val="en-GB"/>
        </w:rPr>
        <w:t xml:space="preserve">) </w:t>
      </w:r>
      <w:r w:rsidR="00746222">
        <w:rPr>
          <w:rFonts w:cs="Arial"/>
          <w:szCs w:val="18"/>
          <w:lang w:val="en-GB"/>
        </w:rPr>
        <w:t>equal to 5</w:t>
      </w:r>
      <w:r w:rsidR="00DF3725">
        <w:rPr>
          <w:rFonts w:cs="Arial"/>
          <w:szCs w:val="18"/>
          <w:lang w:val="en-GB"/>
        </w:rPr>
        <w:t>.</w:t>
      </w:r>
      <w:r w:rsidR="00746222">
        <w:rPr>
          <w:rFonts w:cs="Arial"/>
          <w:szCs w:val="18"/>
          <w:lang w:val="en-GB"/>
        </w:rPr>
        <w:t>1·10</w:t>
      </w:r>
      <w:r w:rsidR="00746222">
        <w:rPr>
          <w:rFonts w:cs="Arial"/>
          <w:szCs w:val="18"/>
          <w:vertAlign w:val="superscript"/>
          <w:lang w:val="en-GB"/>
        </w:rPr>
        <w:t>-6</w:t>
      </w:r>
      <w:r w:rsidR="00746222">
        <w:rPr>
          <w:rFonts w:cs="Arial"/>
          <w:szCs w:val="18"/>
          <w:lang w:val="en-GB"/>
        </w:rPr>
        <w:t xml:space="preserve"> </w:t>
      </w:r>
      <w:r w:rsidR="00746222" w:rsidRPr="00746222">
        <w:rPr>
          <w:rFonts w:cs="Arial"/>
          <w:szCs w:val="18"/>
          <w:lang w:val="en-GB"/>
        </w:rPr>
        <w:t>m</w:t>
      </w:r>
      <w:r w:rsidR="00746222" w:rsidRPr="00746222">
        <w:rPr>
          <w:rFonts w:cs="Arial"/>
          <w:szCs w:val="18"/>
          <w:vertAlign w:val="superscript"/>
          <w:lang w:val="en-GB"/>
        </w:rPr>
        <w:t>2</w:t>
      </w:r>
      <w:r w:rsidR="00746222">
        <w:rPr>
          <w:rFonts w:cs="Arial"/>
          <w:szCs w:val="18"/>
          <w:lang w:val="en-GB"/>
        </w:rPr>
        <w:t xml:space="preserve">. </w:t>
      </w:r>
      <w:r w:rsidR="003D7BDD" w:rsidRPr="00746222">
        <w:rPr>
          <w:rFonts w:cs="Arial"/>
          <w:szCs w:val="18"/>
          <w:lang w:val="en-GB"/>
        </w:rPr>
        <w:t>The</w:t>
      </w:r>
      <w:r w:rsidR="003D7BDD">
        <w:rPr>
          <w:rFonts w:cs="Arial"/>
          <w:szCs w:val="18"/>
          <w:lang w:val="en-GB"/>
        </w:rPr>
        <w:t xml:space="preserve"> biomethane </w:t>
      </w:r>
      <w:r w:rsidR="00277BB3">
        <w:rPr>
          <w:rFonts w:cs="Arial"/>
          <w:szCs w:val="18"/>
          <w:lang w:val="en-GB"/>
        </w:rPr>
        <w:t xml:space="preserve">compression has been assumed polytropic and therefore the biofuel </w:t>
      </w:r>
      <w:r w:rsidR="003D7BDD">
        <w:rPr>
          <w:rFonts w:cs="Arial"/>
          <w:szCs w:val="18"/>
          <w:lang w:val="en-GB"/>
        </w:rPr>
        <w:t xml:space="preserve">release temperature </w:t>
      </w:r>
      <w:r w:rsidR="008B3173">
        <w:rPr>
          <w:rFonts w:cs="Arial"/>
          <w:szCs w:val="18"/>
          <w:lang w:val="en-GB"/>
        </w:rPr>
        <w:t xml:space="preserve">(T) </w:t>
      </w:r>
      <w:r w:rsidR="00277BB3">
        <w:rPr>
          <w:rFonts w:cs="Arial"/>
          <w:szCs w:val="18"/>
          <w:lang w:val="en-GB"/>
        </w:rPr>
        <w:t>can be</w:t>
      </w:r>
      <w:r w:rsidR="003D7BDD">
        <w:rPr>
          <w:rFonts w:cs="Arial"/>
          <w:szCs w:val="18"/>
          <w:lang w:val="en-GB"/>
        </w:rPr>
        <w:t xml:space="preserve"> calculated by the following equation</w:t>
      </w:r>
      <w:r w:rsidR="00CC43F2">
        <w:rPr>
          <w:rFonts w:cs="Arial"/>
          <w:szCs w:val="18"/>
          <w:lang w:val="en-GB"/>
        </w:rPr>
        <w:t xml:space="preserve"> (Caputo, 1997)</w:t>
      </w:r>
      <w:r w:rsidR="003D7BDD">
        <w:rPr>
          <w:rFonts w:cs="Arial"/>
          <w:szCs w:val="18"/>
          <w:lang w:val="en-GB"/>
        </w:rPr>
        <w:t>:</w:t>
      </w:r>
    </w:p>
    <w:p w14:paraId="0231BC1C" w14:textId="312AA156" w:rsidR="003D7BDD" w:rsidRDefault="00B710D7" w:rsidP="0039058B">
      <w:pPr>
        <w:pStyle w:val="CETBodytext"/>
        <w:spacing w:line="22" w:lineRule="atLeast"/>
      </w:pPr>
      <w:r>
        <w:object w:dxaOrig="8860" w:dyaOrig="740" w14:anchorId="45AC3EA4">
          <v:shape id="_x0000_i1032" type="#_x0000_t75" style="width:442.45pt;height:36.95pt" o:ole="">
            <v:imagedata r:id="rId27" o:title=""/>
          </v:shape>
          <o:OLEObject Type="Embed" ProgID="Unknown" ShapeID="_x0000_i1032" DrawAspect="Content" ObjectID="_1707036208" r:id="rId28"/>
        </w:object>
      </w:r>
    </w:p>
    <w:p w14:paraId="00242B4F" w14:textId="5224F0E7" w:rsidR="003D7BDD" w:rsidRDefault="000F1DBE" w:rsidP="0039058B">
      <w:pPr>
        <w:pStyle w:val="CETBodytext"/>
        <w:spacing w:line="22" w:lineRule="atLeast"/>
      </w:pPr>
      <w:r>
        <w:t>Where:</w:t>
      </w:r>
    </w:p>
    <w:p w14:paraId="6E3AA9A1" w14:textId="20EEA004" w:rsidR="000F1DBE" w:rsidRDefault="000F1DBE" w:rsidP="0039058B">
      <w:pPr>
        <w:pStyle w:val="CETBodytext"/>
        <w:numPr>
          <w:ilvl w:val="0"/>
          <w:numId w:val="30"/>
        </w:numPr>
        <w:tabs>
          <w:tab w:val="left" w:pos="284"/>
        </w:tabs>
        <w:spacing w:line="22" w:lineRule="atLeast"/>
        <w:ind w:hanging="720"/>
      </w:pPr>
      <w:r>
        <w:t>T</w:t>
      </w:r>
      <w:r>
        <w:rPr>
          <w:vertAlign w:val="subscript"/>
        </w:rPr>
        <w:t>i</w:t>
      </w:r>
      <w:r>
        <w:t xml:space="preserve"> (K) is the initial compression temperature;</w:t>
      </w:r>
    </w:p>
    <w:p w14:paraId="0BE61EF9" w14:textId="09BF3BD0" w:rsidR="000F1DBE" w:rsidRDefault="00AF6FB2" w:rsidP="0039058B">
      <w:pPr>
        <w:pStyle w:val="CETBodytext"/>
        <w:numPr>
          <w:ilvl w:val="0"/>
          <w:numId w:val="30"/>
        </w:numPr>
        <w:tabs>
          <w:tab w:val="left" w:pos="284"/>
        </w:tabs>
        <w:spacing w:line="22" w:lineRule="atLeast"/>
        <w:ind w:hanging="720"/>
      </w:pPr>
      <w:r>
        <w:t>p</w:t>
      </w:r>
      <w:r>
        <w:rPr>
          <w:vertAlign w:val="subscript"/>
        </w:rPr>
        <w:t xml:space="preserve">out </w:t>
      </w:r>
      <w:r>
        <w:t>(Pa) indicates the release pressure;</w:t>
      </w:r>
    </w:p>
    <w:p w14:paraId="0866566F" w14:textId="02B823FC" w:rsidR="00AF6FB2" w:rsidRDefault="00AF6FB2" w:rsidP="0039058B">
      <w:pPr>
        <w:pStyle w:val="CETBodytext"/>
        <w:numPr>
          <w:ilvl w:val="0"/>
          <w:numId w:val="30"/>
        </w:numPr>
        <w:tabs>
          <w:tab w:val="left" w:pos="284"/>
        </w:tabs>
        <w:spacing w:line="22" w:lineRule="atLeast"/>
        <w:ind w:hanging="720"/>
      </w:pPr>
      <w:r>
        <w:t>p</w:t>
      </w:r>
      <w:r>
        <w:rPr>
          <w:vertAlign w:val="subscript"/>
        </w:rPr>
        <w:t xml:space="preserve">i </w:t>
      </w:r>
      <w:r>
        <w:t>is the initial compression pressure;</w:t>
      </w:r>
    </w:p>
    <w:p w14:paraId="136A393F" w14:textId="06B680BD" w:rsidR="00AF6FB2" w:rsidRDefault="00AF6FB2" w:rsidP="0039058B">
      <w:pPr>
        <w:pStyle w:val="CETBodytext"/>
        <w:numPr>
          <w:ilvl w:val="0"/>
          <w:numId w:val="30"/>
        </w:numPr>
        <w:tabs>
          <w:tab w:val="left" w:pos="284"/>
        </w:tabs>
        <w:spacing w:line="22" w:lineRule="atLeast"/>
        <w:ind w:hanging="720"/>
      </w:pPr>
      <w:r>
        <w:rPr>
          <w:rFonts w:cs="Arial"/>
        </w:rPr>
        <w:t>η</w:t>
      </w:r>
      <w:r>
        <w:rPr>
          <w:vertAlign w:val="subscript"/>
        </w:rPr>
        <w:t xml:space="preserve">pol </w:t>
      </w:r>
      <w:r>
        <w:t>indicates the polytropic efficiency.</w:t>
      </w:r>
    </w:p>
    <w:p w14:paraId="4AA9C33D" w14:textId="0DD9DE2B" w:rsidR="00126364" w:rsidRDefault="00126364" w:rsidP="0039058B">
      <w:pPr>
        <w:pStyle w:val="CETBodytext"/>
        <w:spacing w:line="22" w:lineRule="atLeast"/>
        <w:rPr>
          <w:szCs w:val="18"/>
        </w:rPr>
      </w:pPr>
      <w:r w:rsidRPr="00126364">
        <w:rPr>
          <w:rFonts w:cs="Arial"/>
          <w:color w:val="2E2E2E"/>
          <w:szCs w:val="18"/>
        </w:rPr>
        <w:t>The compressibility factor is used to convert ideal gas properties to real gas properties</w:t>
      </w:r>
      <w:r>
        <w:rPr>
          <w:rFonts w:cs="Arial"/>
          <w:color w:val="2E2E2E"/>
          <w:szCs w:val="18"/>
        </w:rPr>
        <w:t>. This parameter</w:t>
      </w:r>
      <w:r w:rsidR="00AF6FB2" w:rsidRPr="00126364">
        <w:rPr>
          <w:szCs w:val="18"/>
        </w:rPr>
        <w:t xml:space="preserve"> </w:t>
      </w:r>
      <w:r w:rsidR="00067D34" w:rsidRPr="00126364">
        <w:rPr>
          <w:szCs w:val="18"/>
        </w:rPr>
        <w:t xml:space="preserve">has been </w:t>
      </w:r>
      <w:r w:rsidR="00291300" w:rsidRPr="00126364">
        <w:rPr>
          <w:szCs w:val="18"/>
        </w:rPr>
        <w:t xml:space="preserve">calculated </w:t>
      </w:r>
      <w:r w:rsidR="00AF6FB2" w:rsidRPr="00126364">
        <w:rPr>
          <w:szCs w:val="18"/>
        </w:rPr>
        <w:t xml:space="preserve">by the diagram reported in Figure 2. </w:t>
      </w:r>
      <w:r>
        <w:rPr>
          <w:szCs w:val="18"/>
        </w:rPr>
        <w:t>T</w:t>
      </w:r>
      <w:r w:rsidRPr="00126364">
        <w:rPr>
          <w:szCs w:val="18"/>
          <w:vertAlign w:val="subscript"/>
        </w:rPr>
        <w:t>r</w:t>
      </w:r>
      <w:r>
        <w:rPr>
          <w:szCs w:val="18"/>
        </w:rPr>
        <w:t xml:space="preserve"> (reduced temperature) and p</w:t>
      </w:r>
      <w:r w:rsidRPr="00126364">
        <w:rPr>
          <w:szCs w:val="18"/>
          <w:vertAlign w:val="subscript"/>
        </w:rPr>
        <w:t>r</w:t>
      </w:r>
      <w:r>
        <w:rPr>
          <w:szCs w:val="18"/>
        </w:rPr>
        <w:t xml:space="preserve"> (reduced pressure) are given by the following equations:</w:t>
      </w:r>
    </w:p>
    <w:p w14:paraId="286D98D9" w14:textId="032D0C5A" w:rsidR="00126364" w:rsidRDefault="00126364" w:rsidP="0039058B">
      <w:pPr>
        <w:pStyle w:val="CETBodytext"/>
        <w:spacing w:line="22" w:lineRule="atLeast"/>
        <w:rPr>
          <w:szCs w:val="18"/>
        </w:rPr>
      </w:pPr>
      <w:r>
        <w:object w:dxaOrig="8800" w:dyaOrig="279" w14:anchorId="0A3CE4D1">
          <v:shape id="_x0000_i1033" type="#_x0000_t75" style="width:440.05pt;height:13.9pt" o:ole="">
            <v:imagedata r:id="rId29" o:title=""/>
          </v:shape>
          <o:OLEObject Type="Embed" ProgID="Unknown" ShapeID="_x0000_i1033" DrawAspect="Content" ObjectID="_1707036209" r:id="rId30"/>
        </w:object>
      </w:r>
    </w:p>
    <w:p w14:paraId="2F81E974" w14:textId="510BF209" w:rsidR="00126364" w:rsidRDefault="00126364" w:rsidP="0039058B">
      <w:pPr>
        <w:pStyle w:val="CETBodytext"/>
        <w:spacing w:line="22" w:lineRule="atLeast"/>
        <w:rPr>
          <w:szCs w:val="18"/>
        </w:rPr>
      </w:pPr>
      <w:r>
        <w:object w:dxaOrig="8800" w:dyaOrig="279" w14:anchorId="28014CC5">
          <v:shape id="_x0000_i1034" type="#_x0000_t75" style="width:440.05pt;height:13.9pt" o:ole="">
            <v:imagedata r:id="rId31" o:title=""/>
          </v:shape>
          <o:OLEObject Type="Embed" ProgID="Unknown" ShapeID="_x0000_i1034" DrawAspect="Content" ObjectID="_1707036210" r:id="rId32"/>
        </w:object>
      </w:r>
    </w:p>
    <w:p w14:paraId="106163D8" w14:textId="77777777" w:rsidR="00126364" w:rsidRDefault="00126364" w:rsidP="0039058B">
      <w:pPr>
        <w:pStyle w:val="CETBodytext"/>
        <w:spacing w:line="22" w:lineRule="atLeast"/>
        <w:rPr>
          <w:szCs w:val="18"/>
        </w:rPr>
      </w:pPr>
    </w:p>
    <w:p w14:paraId="7D624067" w14:textId="77777777" w:rsidR="00126364" w:rsidRDefault="00126364" w:rsidP="0039058B">
      <w:pPr>
        <w:pStyle w:val="CETBodytext"/>
        <w:spacing w:line="22" w:lineRule="atLeast"/>
        <w:rPr>
          <w:szCs w:val="18"/>
        </w:rPr>
      </w:pPr>
    </w:p>
    <w:p w14:paraId="14E646FA" w14:textId="405FF4A3" w:rsidR="00AF6FB2" w:rsidRDefault="008D2516" w:rsidP="0039058B">
      <w:pPr>
        <w:pStyle w:val="CETBodytext"/>
        <w:spacing w:line="22" w:lineRule="atLeast"/>
        <w:rPr>
          <w:rFonts w:cs="Arial"/>
          <w:szCs w:val="18"/>
          <w:lang w:val="en-GB"/>
        </w:rPr>
      </w:pPr>
      <w:r w:rsidRPr="008D2516">
        <w:rPr>
          <w:rFonts w:cs="Arial"/>
          <w:szCs w:val="18"/>
          <w:lang w:val="en-GB"/>
        </w:rPr>
        <w:lastRenderedPageBreak/>
        <w:t>T</w:t>
      </w:r>
      <w:r>
        <w:rPr>
          <w:rFonts w:cs="Arial"/>
          <w:szCs w:val="18"/>
          <w:vertAlign w:val="subscript"/>
          <w:lang w:val="en-GB"/>
        </w:rPr>
        <w:t xml:space="preserve">out </w:t>
      </w:r>
      <w:r>
        <w:rPr>
          <w:rFonts w:cs="Arial"/>
          <w:szCs w:val="18"/>
          <w:lang w:val="en-GB"/>
        </w:rPr>
        <w:t>and p</w:t>
      </w:r>
      <w:r w:rsidRPr="008D2516">
        <w:rPr>
          <w:rFonts w:cs="Arial"/>
          <w:szCs w:val="18"/>
          <w:vertAlign w:val="subscript"/>
          <w:lang w:val="en-GB"/>
        </w:rPr>
        <w:t>out</w:t>
      </w:r>
      <w:r>
        <w:rPr>
          <w:rFonts w:cs="Arial"/>
          <w:szCs w:val="18"/>
          <w:lang w:val="en-GB"/>
        </w:rPr>
        <w:t xml:space="preserve"> are referred to biomethane release condition, whereas T</w:t>
      </w:r>
      <w:r w:rsidRPr="008D2516">
        <w:rPr>
          <w:rFonts w:cs="Arial"/>
          <w:szCs w:val="18"/>
          <w:vertAlign w:val="subscript"/>
          <w:lang w:val="en-GB"/>
        </w:rPr>
        <w:t>cr</w:t>
      </w:r>
      <w:r>
        <w:rPr>
          <w:rFonts w:cs="Arial"/>
          <w:szCs w:val="18"/>
          <w:lang w:val="en-GB"/>
        </w:rPr>
        <w:t xml:space="preserve"> and p</w:t>
      </w:r>
      <w:r w:rsidRPr="008D2516">
        <w:rPr>
          <w:rFonts w:cs="Arial"/>
          <w:szCs w:val="18"/>
          <w:vertAlign w:val="subscript"/>
          <w:lang w:val="en-GB"/>
        </w:rPr>
        <w:t>cr</w:t>
      </w:r>
      <w:r>
        <w:rPr>
          <w:rFonts w:cs="Arial"/>
          <w:szCs w:val="18"/>
          <w:lang w:val="en-GB"/>
        </w:rPr>
        <w:t xml:space="preserve"> are critical biofuel temperature and pressure. </w:t>
      </w:r>
      <w:r w:rsidR="007F21D2" w:rsidRPr="008D2516">
        <w:rPr>
          <w:rFonts w:cs="Arial"/>
          <w:szCs w:val="18"/>
          <w:lang w:val="en-GB"/>
        </w:rPr>
        <w:t>In</w:t>
      </w:r>
      <w:r w:rsidR="007F21D2" w:rsidRPr="00126364">
        <w:rPr>
          <w:rFonts w:cs="Arial"/>
          <w:szCs w:val="18"/>
          <w:lang w:val="en-GB"/>
        </w:rPr>
        <w:t xml:space="preserve"> case of indoor place, such as the compression unit, the RC calculation is fundamental for determining the ventilation velocity values, which are able to optimize the dilution degree and consequently to decrease the zone dangerousness. The table (Figure 3)</w:t>
      </w:r>
      <w:r w:rsidR="00CE66C6" w:rsidRPr="00126364">
        <w:rPr>
          <w:rFonts w:cs="Arial"/>
          <w:szCs w:val="18"/>
          <w:lang w:val="en-GB"/>
        </w:rPr>
        <w:t>,</w:t>
      </w:r>
      <w:r w:rsidR="007F21D2" w:rsidRPr="00126364">
        <w:rPr>
          <w:rFonts w:cs="Arial"/>
          <w:szCs w:val="18"/>
          <w:lang w:val="en-GB"/>
        </w:rPr>
        <w:t xml:space="preserve"> reported in International Standard  IEC 60079-10-1</w:t>
      </w:r>
      <w:r w:rsidR="00CE66C6" w:rsidRPr="00126364">
        <w:rPr>
          <w:rFonts w:cs="Arial"/>
          <w:szCs w:val="18"/>
          <w:lang w:val="en-GB"/>
        </w:rPr>
        <w:t>,</w:t>
      </w:r>
      <w:r w:rsidR="007F21D2" w:rsidRPr="00126364">
        <w:rPr>
          <w:rFonts w:cs="Arial"/>
          <w:szCs w:val="18"/>
          <w:lang w:val="en-GB"/>
        </w:rPr>
        <w:t xml:space="preserve"> is generally used to classify the zone (IEC, 20</w:t>
      </w:r>
      <w:r w:rsidR="00023D67">
        <w:rPr>
          <w:rFonts w:cs="Arial"/>
          <w:szCs w:val="18"/>
          <w:lang w:val="en-GB"/>
        </w:rPr>
        <w:t>2</w:t>
      </w:r>
      <w:r w:rsidR="007F21D2" w:rsidRPr="00126364">
        <w:rPr>
          <w:rFonts w:cs="Arial"/>
          <w:szCs w:val="18"/>
          <w:lang w:val="en-GB"/>
        </w:rPr>
        <w:t>1)</w:t>
      </w:r>
      <w:r w:rsidR="00291300" w:rsidRPr="00126364">
        <w:rPr>
          <w:rFonts w:cs="Arial"/>
          <w:szCs w:val="18"/>
          <w:lang w:val="en-GB"/>
        </w:rPr>
        <w:t>,</w:t>
      </w:r>
      <w:r w:rsidR="007F21D2" w:rsidRPr="00126364">
        <w:rPr>
          <w:rFonts w:cs="Arial"/>
          <w:szCs w:val="18"/>
          <w:lang w:val="en-GB"/>
        </w:rPr>
        <w:t xml:space="preserve"> generated by the potential release source.</w:t>
      </w:r>
    </w:p>
    <w:p w14:paraId="7749292A" w14:textId="77777777" w:rsidR="008D5154" w:rsidRPr="00126364" w:rsidRDefault="008D5154" w:rsidP="0039058B">
      <w:pPr>
        <w:pStyle w:val="CETBodytext"/>
        <w:spacing w:line="22" w:lineRule="atLeast"/>
        <w:rPr>
          <w:rFonts w:cs="Arial"/>
          <w:szCs w:val="18"/>
          <w:lang w:val="en-GB"/>
        </w:rPr>
      </w:pPr>
    </w:p>
    <w:p w14:paraId="1981E0CA" w14:textId="7105DB74" w:rsidR="00AF6FB2" w:rsidRDefault="00AF6FB2" w:rsidP="0044146E">
      <w:pPr>
        <w:pStyle w:val="CETBodytext"/>
        <w:spacing w:line="22" w:lineRule="atLeast"/>
        <w:jc w:val="left"/>
      </w:pPr>
      <w:r w:rsidRPr="00AF6FB2">
        <w:rPr>
          <w:noProof/>
          <w:lang w:val="it-IT" w:eastAsia="it-IT"/>
        </w:rPr>
        <w:drawing>
          <wp:inline distT="0" distB="0" distL="0" distR="0" wp14:anchorId="7E35A121" wp14:editId="62D6B837">
            <wp:extent cx="3549600" cy="2620800"/>
            <wp:effectExtent l="0" t="0" r="0" b="8255"/>
            <wp:docPr id="7" name="Immagine 7" descr="C:\Users\xf45702\OneDrive - INAIL\Back up Lauri\Documenti\Lavoro di ricerca Roberto\CISAP 2022\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xf45702\OneDrive - INAIL\Back up Lauri\Documenti\Lavoro di ricerca Roberto\CISAP 2022\Z.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49600" cy="2620800"/>
                    </a:xfrm>
                    <a:prstGeom prst="rect">
                      <a:avLst/>
                    </a:prstGeom>
                    <a:noFill/>
                    <a:ln>
                      <a:noFill/>
                    </a:ln>
                  </pic:spPr>
                </pic:pic>
              </a:graphicData>
            </a:graphic>
          </wp:inline>
        </w:drawing>
      </w:r>
    </w:p>
    <w:p w14:paraId="06D10B1F" w14:textId="2998434D" w:rsidR="00AF6FB2" w:rsidRPr="005A2D74" w:rsidRDefault="00AF6FB2" w:rsidP="0044146E">
      <w:pPr>
        <w:pStyle w:val="CETBodytext"/>
        <w:tabs>
          <w:tab w:val="left" w:pos="284"/>
        </w:tabs>
        <w:spacing w:line="22" w:lineRule="atLeast"/>
        <w:jc w:val="left"/>
        <w:rPr>
          <w:rFonts w:cs="Arial"/>
          <w:i/>
          <w:szCs w:val="18"/>
        </w:rPr>
      </w:pPr>
      <w:r w:rsidRPr="004C2916">
        <w:rPr>
          <w:rFonts w:cs="Arial"/>
          <w:i/>
          <w:szCs w:val="18"/>
        </w:rPr>
        <w:t xml:space="preserve">Figure </w:t>
      </w:r>
      <w:r>
        <w:rPr>
          <w:rFonts w:cs="Arial"/>
          <w:i/>
          <w:szCs w:val="18"/>
        </w:rPr>
        <w:t>2</w:t>
      </w:r>
      <w:r w:rsidRPr="004C2916">
        <w:rPr>
          <w:rFonts w:cs="Arial"/>
          <w:i/>
          <w:szCs w:val="18"/>
        </w:rPr>
        <w:t xml:space="preserve">: </w:t>
      </w:r>
      <w:r w:rsidR="008A3C63">
        <w:rPr>
          <w:rFonts w:cs="Arial"/>
          <w:i/>
          <w:szCs w:val="18"/>
        </w:rPr>
        <w:t>Compressibility factor</w:t>
      </w:r>
    </w:p>
    <w:p w14:paraId="7480AFE3" w14:textId="3FFCBA91" w:rsidR="00426354" w:rsidRDefault="00426354" w:rsidP="0039058B">
      <w:pPr>
        <w:pStyle w:val="CETBodytext"/>
        <w:spacing w:line="22" w:lineRule="atLeast"/>
        <w:rPr>
          <w:rFonts w:cs="Arial"/>
          <w:szCs w:val="18"/>
          <w:lang w:val="en-GB"/>
        </w:rPr>
      </w:pPr>
    </w:p>
    <w:p w14:paraId="013E8E66" w14:textId="134075FC" w:rsidR="00EF6372" w:rsidRDefault="00FB7280" w:rsidP="0044146E">
      <w:pPr>
        <w:pStyle w:val="CETBodytext"/>
        <w:spacing w:line="22" w:lineRule="atLeast"/>
        <w:jc w:val="left"/>
        <w:rPr>
          <w:rFonts w:cs="Arial"/>
          <w:szCs w:val="18"/>
          <w:lang w:val="en-GB"/>
        </w:rPr>
      </w:pPr>
      <w:r w:rsidRPr="00FB7280">
        <w:rPr>
          <w:rFonts w:cs="Arial"/>
          <w:noProof/>
          <w:szCs w:val="18"/>
          <w:lang w:val="it-IT" w:eastAsia="it-IT"/>
        </w:rPr>
        <w:drawing>
          <wp:inline distT="0" distB="0" distL="0" distR="0" wp14:anchorId="3E047BDB" wp14:editId="461AD1BB">
            <wp:extent cx="4150800" cy="1720800"/>
            <wp:effectExtent l="0" t="0" r="2540" b="0"/>
            <wp:docPr id="9" name="Immagine 9" descr="C:\Users\xf45702\OneDrive - INAIL\Back up Lauri\Documenti\Lavoro di ricerca Roberto\CISAP 2022\Figure 2 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xf45702\OneDrive - INAIL\Back up Lauri\Documenti\Lavoro di ricerca Roberto\CISAP 2022\Figure 2 bis.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50800" cy="1720800"/>
                    </a:xfrm>
                    <a:prstGeom prst="rect">
                      <a:avLst/>
                    </a:prstGeom>
                    <a:noFill/>
                    <a:ln>
                      <a:noFill/>
                    </a:ln>
                  </pic:spPr>
                </pic:pic>
              </a:graphicData>
            </a:graphic>
          </wp:inline>
        </w:drawing>
      </w:r>
    </w:p>
    <w:p w14:paraId="187E7C00" w14:textId="11C66D74" w:rsidR="00FB7280" w:rsidRPr="00FB7280" w:rsidRDefault="00FB7280" w:rsidP="0044146E">
      <w:pPr>
        <w:pStyle w:val="CETBodytext"/>
        <w:spacing w:line="22" w:lineRule="atLeast"/>
        <w:jc w:val="left"/>
        <w:rPr>
          <w:rFonts w:cs="Arial"/>
          <w:i/>
          <w:szCs w:val="18"/>
          <w:lang w:val="en-GB"/>
        </w:rPr>
      </w:pPr>
      <w:r w:rsidRPr="00FB7280">
        <w:rPr>
          <w:rFonts w:cs="Arial"/>
          <w:i/>
          <w:szCs w:val="18"/>
          <w:lang w:val="en-GB"/>
        </w:rPr>
        <w:t xml:space="preserve">Figure </w:t>
      </w:r>
      <w:r w:rsidR="000D6CB2">
        <w:rPr>
          <w:rFonts w:cs="Arial"/>
          <w:i/>
          <w:szCs w:val="18"/>
          <w:lang w:val="en-GB"/>
        </w:rPr>
        <w:t>3</w:t>
      </w:r>
      <w:r w:rsidRPr="00FB7280">
        <w:rPr>
          <w:rFonts w:cs="Arial"/>
          <w:i/>
          <w:szCs w:val="18"/>
          <w:lang w:val="en-GB"/>
        </w:rPr>
        <w:t>: Atex zones classification</w:t>
      </w:r>
    </w:p>
    <w:p w14:paraId="6AC4A1A9" w14:textId="77777777" w:rsidR="00FB7280" w:rsidRDefault="00FB7280" w:rsidP="0039058B">
      <w:pPr>
        <w:pStyle w:val="CETBodytext"/>
        <w:spacing w:line="22" w:lineRule="atLeast"/>
        <w:rPr>
          <w:rFonts w:cs="Arial"/>
          <w:szCs w:val="18"/>
          <w:lang w:val="en-GB"/>
        </w:rPr>
      </w:pPr>
    </w:p>
    <w:p w14:paraId="364E2117" w14:textId="7487A020" w:rsidR="00EF6372" w:rsidRPr="00EF6372" w:rsidRDefault="00EF6372" w:rsidP="0039058B">
      <w:pPr>
        <w:pStyle w:val="CETBodytext"/>
        <w:numPr>
          <w:ilvl w:val="0"/>
          <w:numId w:val="23"/>
        </w:numPr>
        <w:tabs>
          <w:tab w:val="left" w:pos="284"/>
        </w:tabs>
        <w:spacing w:line="22" w:lineRule="atLeast"/>
        <w:rPr>
          <w:rFonts w:cs="Arial"/>
          <w:b/>
          <w:sz w:val="20"/>
          <w:lang w:val="en-GB"/>
        </w:rPr>
      </w:pPr>
      <w:r w:rsidRPr="00EF6372">
        <w:rPr>
          <w:rFonts w:cs="Arial"/>
          <w:b/>
          <w:sz w:val="20"/>
          <w:lang w:val="en-GB"/>
        </w:rPr>
        <w:t xml:space="preserve">The case study: </w:t>
      </w:r>
      <w:r w:rsidR="00022CCA">
        <w:rPr>
          <w:rFonts w:cs="Arial"/>
          <w:b/>
          <w:sz w:val="20"/>
          <w:lang w:val="en-GB"/>
        </w:rPr>
        <w:t xml:space="preserve">the </w:t>
      </w:r>
      <w:r w:rsidRPr="00EF6372">
        <w:rPr>
          <w:rFonts w:cs="Arial"/>
          <w:b/>
          <w:sz w:val="20"/>
          <w:lang w:val="en-GB"/>
        </w:rPr>
        <w:t>biomethane production plant</w:t>
      </w:r>
    </w:p>
    <w:p w14:paraId="49C96E2F" w14:textId="77777777" w:rsidR="00EF6372" w:rsidRDefault="00EF6372" w:rsidP="0039058B">
      <w:pPr>
        <w:pStyle w:val="CETBodytext"/>
        <w:spacing w:line="22" w:lineRule="atLeast"/>
        <w:rPr>
          <w:rFonts w:cs="Arial"/>
          <w:szCs w:val="18"/>
          <w:lang w:val="en-GB"/>
        </w:rPr>
      </w:pPr>
    </w:p>
    <w:p w14:paraId="5C23A302" w14:textId="2E6A2B5F" w:rsidR="008D5154" w:rsidRPr="007371D0" w:rsidRDefault="00B333DC" w:rsidP="008D5154">
      <w:pPr>
        <w:pStyle w:val="CETBodytext"/>
        <w:spacing w:line="22" w:lineRule="atLeast"/>
        <w:rPr>
          <w:rFonts w:cs="Arial"/>
          <w:color w:val="000000" w:themeColor="text1"/>
          <w:szCs w:val="18"/>
        </w:rPr>
      </w:pPr>
      <w:r w:rsidRPr="007371D0">
        <w:rPr>
          <w:rFonts w:cs="Arial"/>
          <w:color w:val="000000" w:themeColor="text1"/>
          <w:szCs w:val="18"/>
          <w:lang w:val="en-GB"/>
        </w:rPr>
        <w:t>The biomethane production plant is located in North Italy</w:t>
      </w:r>
      <w:r w:rsidR="00866F64" w:rsidRPr="007371D0">
        <w:rPr>
          <w:rFonts w:cs="Arial"/>
          <w:color w:val="000000" w:themeColor="text1"/>
          <w:szCs w:val="18"/>
          <w:lang w:val="en-GB"/>
        </w:rPr>
        <w:t>. In industrial plant, o</w:t>
      </w:r>
      <w:r w:rsidR="00A6513E" w:rsidRPr="007371D0">
        <w:rPr>
          <w:rStyle w:val="Enfasigrassetto"/>
          <w:rFonts w:cs="Arial"/>
          <w:b w:val="0"/>
          <w:color w:val="000000" w:themeColor="text1"/>
          <w:szCs w:val="18"/>
          <w:shd w:val="clear" w:color="auto" w:fill="FFFFFF"/>
        </w:rPr>
        <w:t>rganic</w:t>
      </w:r>
      <w:r w:rsidR="00866F64" w:rsidRPr="007371D0">
        <w:rPr>
          <w:rStyle w:val="Enfasigrassetto"/>
          <w:rFonts w:cs="Arial"/>
          <w:b w:val="0"/>
          <w:color w:val="000000" w:themeColor="text1"/>
          <w:szCs w:val="18"/>
          <w:shd w:val="clear" w:color="auto" w:fill="FFFFFF"/>
        </w:rPr>
        <w:t xml:space="preserve"> waste undergoes an anaerobic digestion process, which produces </w:t>
      </w:r>
      <w:r w:rsidR="00866F64" w:rsidRPr="007371D0">
        <w:rPr>
          <w:rFonts w:cs="Arial"/>
          <w:color w:val="000000" w:themeColor="text1"/>
          <w:szCs w:val="18"/>
          <w:shd w:val="clear" w:color="auto" w:fill="FFFFFF"/>
        </w:rPr>
        <w:t xml:space="preserve">biogas. This biofuel is </w:t>
      </w:r>
      <w:r w:rsidR="001E1B31" w:rsidRPr="007371D0">
        <w:rPr>
          <w:rFonts w:cs="Arial"/>
          <w:color w:val="000000" w:themeColor="text1"/>
          <w:szCs w:val="18"/>
          <w:shd w:val="clear" w:color="auto" w:fill="FFFFFF"/>
        </w:rPr>
        <w:t xml:space="preserve">successively </w:t>
      </w:r>
      <w:r w:rsidR="00866F64" w:rsidRPr="007371D0">
        <w:rPr>
          <w:rFonts w:cs="Arial"/>
          <w:color w:val="000000" w:themeColor="text1"/>
          <w:szCs w:val="18"/>
          <w:shd w:val="clear" w:color="auto" w:fill="FFFFFF"/>
        </w:rPr>
        <w:t xml:space="preserve">refined </w:t>
      </w:r>
      <w:r w:rsidR="001E1B31" w:rsidRPr="007371D0">
        <w:rPr>
          <w:rFonts w:cs="Arial"/>
          <w:color w:val="000000" w:themeColor="text1"/>
          <w:szCs w:val="18"/>
          <w:shd w:val="clear" w:color="auto" w:fill="FFFFFF"/>
        </w:rPr>
        <w:t xml:space="preserve">and </w:t>
      </w:r>
      <w:r w:rsidR="00866F64" w:rsidRPr="007371D0">
        <w:rPr>
          <w:rFonts w:cs="Arial"/>
          <w:color w:val="000000" w:themeColor="text1"/>
          <w:szCs w:val="18"/>
          <w:shd w:val="clear" w:color="auto" w:fill="FFFFFF"/>
        </w:rPr>
        <w:t xml:space="preserve">a counter-current of </w:t>
      </w:r>
      <w:r w:rsidR="001E1B31" w:rsidRPr="007371D0">
        <w:rPr>
          <w:rFonts w:cs="Arial"/>
          <w:color w:val="000000" w:themeColor="text1"/>
          <w:szCs w:val="18"/>
          <w:shd w:val="clear" w:color="auto" w:fill="FFFFFF"/>
        </w:rPr>
        <w:t>pressurized</w:t>
      </w:r>
      <w:r w:rsidR="00866F64" w:rsidRPr="007371D0">
        <w:rPr>
          <w:rFonts w:cs="Arial"/>
          <w:color w:val="000000" w:themeColor="text1"/>
          <w:szCs w:val="18"/>
          <w:shd w:val="clear" w:color="auto" w:fill="FFFFFF"/>
        </w:rPr>
        <w:t xml:space="preserve"> water</w:t>
      </w:r>
      <w:r w:rsidR="001E1B31" w:rsidRPr="007371D0">
        <w:rPr>
          <w:rFonts w:cs="Arial"/>
          <w:color w:val="000000" w:themeColor="text1"/>
          <w:szCs w:val="18"/>
          <w:shd w:val="clear" w:color="auto" w:fill="FFFFFF"/>
        </w:rPr>
        <w:t xml:space="preserve"> </w:t>
      </w:r>
      <w:r w:rsidR="0015265D" w:rsidRPr="007371D0">
        <w:rPr>
          <w:rFonts w:cs="Arial"/>
          <w:color w:val="000000" w:themeColor="text1"/>
          <w:szCs w:val="18"/>
          <w:shd w:val="clear" w:color="auto" w:fill="FFFFFF"/>
        </w:rPr>
        <w:t>separates the</w:t>
      </w:r>
      <w:r w:rsidR="00866F64" w:rsidRPr="007371D0">
        <w:rPr>
          <w:rFonts w:cs="Arial"/>
          <w:color w:val="000000" w:themeColor="text1"/>
          <w:szCs w:val="18"/>
          <w:shd w:val="clear" w:color="auto" w:fill="FFFFFF"/>
        </w:rPr>
        <w:t xml:space="preserve"> carbon dioxide to obtain biomethane</w:t>
      </w:r>
      <w:r w:rsidR="001E1B31" w:rsidRPr="007371D0">
        <w:rPr>
          <w:rFonts w:cs="Arial"/>
          <w:color w:val="000000" w:themeColor="text1"/>
          <w:szCs w:val="18"/>
          <w:shd w:val="clear" w:color="auto" w:fill="FFFFFF"/>
        </w:rPr>
        <w:t>, which is</w:t>
      </w:r>
      <w:r w:rsidR="00866F64" w:rsidRPr="007371D0">
        <w:rPr>
          <w:rFonts w:cs="Arial"/>
          <w:color w:val="000000" w:themeColor="text1"/>
          <w:szCs w:val="18"/>
          <w:shd w:val="clear" w:color="auto" w:fill="FFFFFF"/>
        </w:rPr>
        <w:t xml:space="preserve"> an entirely renewable source.</w:t>
      </w:r>
      <w:r w:rsidR="00BD076F" w:rsidRPr="007371D0">
        <w:rPr>
          <w:rFonts w:cs="Arial"/>
          <w:color w:val="000000" w:themeColor="text1"/>
          <w:szCs w:val="18"/>
          <w:shd w:val="clear" w:color="auto" w:fill="FFFFFF"/>
        </w:rPr>
        <w:t xml:space="preserve"> </w:t>
      </w:r>
      <w:r w:rsidR="00A93F0B" w:rsidRPr="007371D0">
        <w:rPr>
          <w:rFonts w:cs="Arial"/>
          <w:color w:val="000000" w:themeColor="text1"/>
          <w:szCs w:val="18"/>
          <w:shd w:val="clear" w:color="auto" w:fill="FFFFFF"/>
        </w:rPr>
        <w:t xml:space="preserve">The compression unit increases the biomethane pressure from the upgrading system outlet </w:t>
      </w:r>
      <w:r w:rsidR="001E3ECB" w:rsidRPr="007371D0">
        <w:rPr>
          <w:rFonts w:cs="Arial"/>
          <w:color w:val="000000" w:themeColor="text1"/>
          <w:szCs w:val="18"/>
          <w:shd w:val="clear" w:color="auto" w:fill="FFFFFF"/>
        </w:rPr>
        <w:t xml:space="preserve">(about 4 bar) </w:t>
      </w:r>
      <w:r w:rsidR="00A93F0B" w:rsidRPr="007371D0">
        <w:rPr>
          <w:rFonts w:cs="Arial"/>
          <w:color w:val="000000" w:themeColor="text1"/>
          <w:szCs w:val="18"/>
          <w:shd w:val="clear" w:color="auto" w:fill="FFFFFF"/>
        </w:rPr>
        <w:t xml:space="preserve">to natural gas </w:t>
      </w:r>
      <w:r w:rsidR="00907F0B">
        <w:rPr>
          <w:rFonts w:cs="Arial"/>
          <w:color w:val="000000" w:themeColor="text1"/>
          <w:szCs w:val="18"/>
          <w:shd w:val="clear" w:color="auto" w:fill="FFFFFF"/>
        </w:rPr>
        <w:t xml:space="preserve">injection </w:t>
      </w:r>
      <w:r w:rsidR="00A93F0B" w:rsidRPr="007371D0">
        <w:rPr>
          <w:rFonts w:cs="Arial"/>
          <w:color w:val="000000" w:themeColor="text1"/>
          <w:szCs w:val="18"/>
          <w:shd w:val="clear" w:color="auto" w:fill="FFFFFF"/>
        </w:rPr>
        <w:t>grid</w:t>
      </w:r>
      <w:r w:rsidR="001E3ECB" w:rsidRPr="007371D0">
        <w:rPr>
          <w:rFonts w:cs="Arial"/>
          <w:color w:val="000000" w:themeColor="text1"/>
          <w:szCs w:val="18"/>
          <w:shd w:val="clear" w:color="auto" w:fill="FFFFFF"/>
        </w:rPr>
        <w:t xml:space="preserve"> (about 70 bar)</w:t>
      </w:r>
      <w:r w:rsidR="00A93F0B" w:rsidRPr="007371D0">
        <w:rPr>
          <w:rFonts w:cs="Arial"/>
          <w:color w:val="000000" w:themeColor="text1"/>
          <w:szCs w:val="18"/>
          <w:shd w:val="clear" w:color="auto" w:fill="FFFFFF"/>
        </w:rPr>
        <w:t xml:space="preserve">. </w:t>
      </w:r>
      <w:r w:rsidR="00B418FA" w:rsidRPr="007371D0">
        <w:rPr>
          <w:rFonts w:cs="Arial"/>
          <w:color w:val="000000" w:themeColor="text1"/>
          <w:szCs w:val="18"/>
          <w:shd w:val="clear" w:color="auto" w:fill="FFFFFF"/>
        </w:rPr>
        <w:t xml:space="preserve">In order to achieve this goal, </w:t>
      </w:r>
      <w:r w:rsidR="00F34CF5" w:rsidRPr="007371D0">
        <w:rPr>
          <w:rFonts w:cs="Arial"/>
          <w:color w:val="000000" w:themeColor="text1"/>
          <w:szCs w:val="18"/>
          <w:shd w:val="clear" w:color="auto" w:fill="FFFFFF"/>
        </w:rPr>
        <w:t xml:space="preserve">a multi-stage reciprocating compressor is used. </w:t>
      </w:r>
      <w:r w:rsidR="004B6211" w:rsidRPr="007371D0">
        <w:rPr>
          <w:rFonts w:cs="Arial"/>
          <w:color w:val="000000" w:themeColor="text1"/>
          <w:szCs w:val="18"/>
        </w:rPr>
        <w:t> In particular, the gaseous biofuel compression is split into two stages</w:t>
      </w:r>
      <w:r w:rsidR="00523F0A" w:rsidRPr="007371D0">
        <w:rPr>
          <w:rFonts w:cs="Arial"/>
          <w:color w:val="000000" w:themeColor="text1"/>
          <w:szCs w:val="18"/>
        </w:rPr>
        <w:t xml:space="preserve"> (Figure </w:t>
      </w:r>
      <w:r w:rsidR="000D6CB2">
        <w:rPr>
          <w:rFonts w:cs="Arial"/>
          <w:color w:val="000000" w:themeColor="text1"/>
          <w:szCs w:val="18"/>
        </w:rPr>
        <w:t>4</w:t>
      </w:r>
      <w:r w:rsidR="00523F0A" w:rsidRPr="007371D0">
        <w:rPr>
          <w:rFonts w:cs="Arial"/>
          <w:color w:val="000000" w:themeColor="text1"/>
          <w:szCs w:val="18"/>
        </w:rPr>
        <w:t>)</w:t>
      </w:r>
      <w:r w:rsidR="004B6211" w:rsidRPr="007371D0">
        <w:rPr>
          <w:rFonts w:cs="Arial"/>
          <w:color w:val="000000" w:themeColor="text1"/>
          <w:szCs w:val="18"/>
        </w:rPr>
        <w:t xml:space="preserve">, with </w:t>
      </w:r>
      <w:r w:rsidR="00EB1888" w:rsidRPr="007371D0">
        <w:rPr>
          <w:rFonts w:cs="Arial"/>
          <w:color w:val="000000" w:themeColor="text1"/>
          <w:szCs w:val="18"/>
        </w:rPr>
        <w:t xml:space="preserve">an </w:t>
      </w:r>
      <w:r w:rsidR="004B6211" w:rsidRPr="007371D0">
        <w:rPr>
          <w:rFonts w:cs="Arial"/>
          <w:color w:val="000000" w:themeColor="text1"/>
          <w:szCs w:val="18"/>
        </w:rPr>
        <w:t xml:space="preserve">intercooler </w:t>
      </w:r>
      <w:r w:rsidR="007371D0" w:rsidRPr="007371D0">
        <w:rPr>
          <w:rFonts w:cs="Arial"/>
          <w:color w:val="000000" w:themeColor="text1"/>
          <w:szCs w:val="18"/>
        </w:rPr>
        <w:t xml:space="preserve">(heat exchanger) </w:t>
      </w:r>
      <w:r w:rsidR="004B6211" w:rsidRPr="007371D0">
        <w:rPr>
          <w:rFonts w:cs="Arial"/>
          <w:color w:val="000000" w:themeColor="text1"/>
          <w:szCs w:val="18"/>
        </w:rPr>
        <w:t xml:space="preserve">between </w:t>
      </w:r>
      <w:r w:rsidR="00EB1888" w:rsidRPr="007371D0">
        <w:rPr>
          <w:rFonts w:cs="Arial"/>
          <w:color w:val="000000" w:themeColor="text1"/>
          <w:szCs w:val="18"/>
        </w:rPr>
        <w:t>the</w:t>
      </w:r>
      <w:r w:rsidR="004B6211" w:rsidRPr="007371D0">
        <w:rPr>
          <w:rFonts w:cs="Arial"/>
          <w:color w:val="000000" w:themeColor="text1"/>
          <w:szCs w:val="18"/>
        </w:rPr>
        <w:t xml:space="preserve"> stage</w:t>
      </w:r>
      <w:r w:rsidR="00EB1888" w:rsidRPr="007371D0">
        <w:rPr>
          <w:rFonts w:cs="Arial"/>
          <w:color w:val="000000" w:themeColor="text1"/>
          <w:szCs w:val="18"/>
        </w:rPr>
        <w:t>s</w:t>
      </w:r>
      <w:r w:rsidR="004B6211" w:rsidRPr="007371D0">
        <w:rPr>
          <w:rFonts w:cs="Arial"/>
          <w:color w:val="000000" w:themeColor="text1"/>
          <w:szCs w:val="18"/>
        </w:rPr>
        <w:t xml:space="preserve">. </w:t>
      </w:r>
      <w:r w:rsidR="003944F8">
        <w:rPr>
          <w:rFonts w:cs="Arial"/>
          <w:color w:val="000000" w:themeColor="text1"/>
          <w:szCs w:val="18"/>
        </w:rPr>
        <w:t>Accordingly, the compression stages have the same initial temperature (T</w:t>
      </w:r>
      <w:r w:rsidR="003944F8" w:rsidRPr="003944F8">
        <w:rPr>
          <w:rFonts w:cs="Arial"/>
          <w:color w:val="000000" w:themeColor="text1"/>
          <w:szCs w:val="18"/>
          <w:vertAlign w:val="subscript"/>
        </w:rPr>
        <w:t>i</w:t>
      </w:r>
      <w:r w:rsidR="003944F8">
        <w:rPr>
          <w:rFonts w:cs="Arial"/>
          <w:color w:val="000000" w:themeColor="text1"/>
          <w:szCs w:val="18"/>
        </w:rPr>
        <w:t xml:space="preserve">). </w:t>
      </w:r>
      <w:r w:rsidR="008D5154" w:rsidRPr="007371D0">
        <w:rPr>
          <w:rFonts w:cs="Arial"/>
          <w:color w:val="000000" w:themeColor="text1"/>
          <w:szCs w:val="18"/>
        </w:rPr>
        <w:t>The</w:t>
      </w:r>
      <w:r w:rsidR="008D5154" w:rsidRPr="007371D0">
        <w:rPr>
          <w:rFonts w:cs="Arial"/>
          <w:color w:val="000000" w:themeColor="text1"/>
          <w:sz w:val="30"/>
          <w:szCs w:val="30"/>
        </w:rPr>
        <w:t xml:space="preserve"> </w:t>
      </w:r>
      <w:r w:rsidR="008D5154" w:rsidRPr="007371D0">
        <w:rPr>
          <w:rFonts w:cs="Arial"/>
          <w:color w:val="000000" w:themeColor="text1"/>
          <w:szCs w:val="18"/>
        </w:rPr>
        <w:t>reciprocating compressor is equipped with two safety valves aimed at limiting the discharge and inter-stage pressure and ensuring a safe machine operating. The safety valves</w:t>
      </w:r>
      <w:r w:rsidR="008D5154">
        <w:rPr>
          <w:rFonts w:cs="Arial"/>
          <w:color w:val="000000" w:themeColor="text1"/>
          <w:szCs w:val="18"/>
        </w:rPr>
        <w:t xml:space="preserve"> (SV)</w:t>
      </w:r>
      <w:r w:rsidR="008D5154" w:rsidRPr="007371D0">
        <w:rPr>
          <w:rFonts w:cs="Arial"/>
          <w:color w:val="000000" w:themeColor="text1"/>
          <w:szCs w:val="18"/>
        </w:rPr>
        <w:t xml:space="preserve"> are set to open at pressure</w:t>
      </w:r>
      <w:r w:rsidR="008D5154">
        <w:rPr>
          <w:rFonts w:cs="Arial"/>
          <w:color w:val="000000" w:themeColor="text1"/>
          <w:szCs w:val="18"/>
        </w:rPr>
        <w:t>s, which are</w:t>
      </w:r>
      <w:r w:rsidR="008D5154" w:rsidRPr="007371D0">
        <w:rPr>
          <w:rFonts w:cs="Arial"/>
          <w:color w:val="000000" w:themeColor="text1"/>
          <w:szCs w:val="18"/>
        </w:rPr>
        <w:t xml:space="preserve"> slightly higher than the normal discharge pressure of compressor.</w:t>
      </w:r>
    </w:p>
    <w:p w14:paraId="5E317757" w14:textId="77777777" w:rsidR="008D5154" w:rsidRDefault="008D5154" w:rsidP="008D5154">
      <w:pPr>
        <w:pStyle w:val="CETBodytext"/>
        <w:spacing w:line="22" w:lineRule="atLeast"/>
        <w:rPr>
          <w:rFonts w:cs="Arial"/>
          <w:szCs w:val="18"/>
          <w:lang w:val="en-GB"/>
        </w:rPr>
      </w:pPr>
      <w:r>
        <w:rPr>
          <w:rFonts w:cs="Arial"/>
          <w:szCs w:val="18"/>
          <w:lang w:val="en-GB"/>
        </w:rPr>
        <w:t>In case study, in order to assess the influence of biomethane production pressure (p</w:t>
      </w:r>
      <w:r w:rsidRPr="00927BCE">
        <w:rPr>
          <w:rFonts w:cs="Arial"/>
          <w:szCs w:val="18"/>
          <w:vertAlign w:val="subscript"/>
          <w:lang w:val="en-GB"/>
        </w:rPr>
        <w:t>p</w:t>
      </w:r>
      <w:r>
        <w:rPr>
          <w:rFonts w:cs="Arial"/>
          <w:szCs w:val="18"/>
          <w:lang w:val="en-GB"/>
        </w:rPr>
        <w:t>) on Atex zones classification, the following values have been assumed: 50 bar, 60 bar and 70 bar. The stage compression ratio (β</w:t>
      </w:r>
      <w:r>
        <w:rPr>
          <w:rFonts w:cs="Arial"/>
          <w:szCs w:val="18"/>
          <w:vertAlign w:val="subscript"/>
          <w:lang w:val="en-GB"/>
        </w:rPr>
        <w:t>st</w:t>
      </w:r>
      <w:r>
        <w:rPr>
          <w:rFonts w:cs="Arial"/>
          <w:szCs w:val="18"/>
          <w:lang w:val="en-GB"/>
        </w:rPr>
        <w:t>) is given by the following equation:</w:t>
      </w:r>
    </w:p>
    <w:p w14:paraId="2ABC28DC" w14:textId="77777777" w:rsidR="008D5154" w:rsidRDefault="008D5154" w:rsidP="008D5154">
      <w:pPr>
        <w:pStyle w:val="CETBodytext"/>
        <w:spacing w:line="22" w:lineRule="atLeast"/>
      </w:pPr>
      <w:r>
        <w:object w:dxaOrig="8820" w:dyaOrig="360" w14:anchorId="6F7AFC08">
          <v:shape id="_x0000_i1035" type="#_x0000_t75" style="width:440.55pt;height:18.2pt" o:ole="">
            <v:imagedata r:id="rId35" o:title=""/>
          </v:shape>
          <o:OLEObject Type="Embed" ProgID="Unknown" ShapeID="_x0000_i1035" DrawAspect="Content" ObjectID="_1707036211" r:id="rId36"/>
        </w:object>
      </w:r>
    </w:p>
    <w:p w14:paraId="1CE41194" w14:textId="11743855" w:rsidR="00EF6372" w:rsidRPr="007371D0" w:rsidRDefault="00EF6372" w:rsidP="0039058B">
      <w:pPr>
        <w:pStyle w:val="CETBodytext"/>
        <w:spacing w:line="22" w:lineRule="atLeast"/>
        <w:rPr>
          <w:rFonts w:cs="Arial"/>
          <w:color w:val="000000" w:themeColor="text1"/>
          <w:szCs w:val="18"/>
        </w:rPr>
      </w:pPr>
    </w:p>
    <w:p w14:paraId="72811E83" w14:textId="256EAA9A" w:rsidR="00446851" w:rsidRDefault="00446851" w:rsidP="0039058B">
      <w:pPr>
        <w:pStyle w:val="CETBodytext"/>
        <w:spacing w:line="22" w:lineRule="atLeast"/>
        <w:rPr>
          <w:rFonts w:cs="Arial"/>
          <w:color w:val="2E2E2E"/>
          <w:szCs w:val="18"/>
        </w:rPr>
      </w:pPr>
    </w:p>
    <w:p w14:paraId="6521D709" w14:textId="259286E6" w:rsidR="00EF6372" w:rsidRDefault="00446851" w:rsidP="0044146E">
      <w:pPr>
        <w:pStyle w:val="CETBodytext"/>
        <w:spacing w:line="22" w:lineRule="atLeast"/>
        <w:jc w:val="left"/>
        <w:rPr>
          <w:rFonts w:cs="Arial"/>
          <w:szCs w:val="18"/>
          <w:lang w:val="en-GB"/>
        </w:rPr>
      </w:pPr>
      <w:r w:rsidRPr="00446851">
        <w:rPr>
          <w:rFonts w:cs="Arial"/>
          <w:noProof/>
          <w:szCs w:val="18"/>
          <w:lang w:val="it-IT" w:eastAsia="it-IT"/>
        </w:rPr>
        <w:lastRenderedPageBreak/>
        <w:drawing>
          <wp:inline distT="0" distB="0" distL="0" distR="0" wp14:anchorId="160BFB8E" wp14:editId="6CAB6102">
            <wp:extent cx="3193200" cy="1908000"/>
            <wp:effectExtent l="19050" t="19050" r="26670" b="16510"/>
            <wp:docPr id="4" name="Immagine 4" descr="C:\Users\xf45702\OneDrive - INAIL\Back up Lauri\Documenti\Lavoro di ricerca Roberto\CISAP 2022\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xf45702\OneDrive - INAIL\Back up Lauri\Documenti\Lavoro di ricerca Roberto\CISAP 2022\Figure 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93200" cy="1908000"/>
                    </a:xfrm>
                    <a:prstGeom prst="rect">
                      <a:avLst/>
                    </a:prstGeom>
                    <a:noFill/>
                    <a:ln w="3175">
                      <a:solidFill>
                        <a:schemeClr val="tx1"/>
                      </a:solidFill>
                    </a:ln>
                  </pic:spPr>
                </pic:pic>
              </a:graphicData>
            </a:graphic>
          </wp:inline>
        </w:drawing>
      </w:r>
    </w:p>
    <w:p w14:paraId="5990BD64" w14:textId="6275F42A" w:rsidR="00EF6372" w:rsidRPr="00446851" w:rsidRDefault="00446851" w:rsidP="0044146E">
      <w:pPr>
        <w:pStyle w:val="CETBodytext"/>
        <w:spacing w:line="22" w:lineRule="atLeast"/>
        <w:jc w:val="left"/>
        <w:rPr>
          <w:rFonts w:cs="Arial"/>
          <w:i/>
          <w:szCs w:val="18"/>
          <w:lang w:val="en-GB"/>
        </w:rPr>
      </w:pPr>
      <w:r w:rsidRPr="00446851">
        <w:rPr>
          <w:rFonts w:cs="Arial"/>
          <w:i/>
          <w:szCs w:val="18"/>
          <w:lang w:val="en-GB"/>
        </w:rPr>
        <w:t xml:space="preserve">Figure </w:t>
      </w:r>
      <w:r w:rsidR="000D6CB2">
        <w:rPr>
          <w:rFonts w:cs="Arial"/>
          <w:i/>
          <w:szCs w:val="18"/>
          <w:lang w:val="en-GB"/>
        </w:rPr>
        <w:t>4</w:t>
      </w:r>
      <w:r w:rsidRPr="00446851">
        <w:rPr>
          <w:rFonts w:cs="Arial"/>
          <w:i/>
          <w:szCs w:val="18"/>
          <w:lang w:val="en-GB"/>
        </w:rPr>
        <w:t xml:space="preserve">: </w:t>
      </w:r>
      <w:r w:rsidR="009D5581">
        <w:rPr>
          <w:rFonts w:cs="Arial"/>
          <w:i/>
          <w:szCs w:val="18"/>
          <w:lang w:val="en-GB"/>
        </w:rPr>
        <w:t>B</w:t>
      </w:r>
      <w:r w:rsidRPr="00446851">
        <w:rPr>
          <w:rFonts w:cs="Arial"/>
          <w:i/>
          <w:szCs w:val="18"/>
          <w:lang w:val="en-GB"/>
        </w:rPr>
        <w:t>iomethane compression stages</w:t>
      </w:r>
    </w:p>
    <w:p w14:paraId="3262CBBE" w14:textId="08C4C387" w:rsidR="00A6513E" w:rsidRDefault="00A6513E" w:rsidP="0039058B">
      <w:pPr>
        <w:pStyle w:val="CETBodytext"/>
        <w:spacing w:line="22" w:lineRule="atLeast"/>
      </w:pPr>
    </w:p>
    <w:p w14:paraId="7F8DDAA5" w14:textId="77777777" w:rsidR="00A6513E" w:rsidRPr="00A338DD" w:rsidRDefault="00A6513E" w:rsidP="0039058B">
      <w:pPr>
        <w:pStyle w:val="CETBodytext"/>
        <w:spacing w:line="22" w:lineRule="atLeast"/>
        <w:rPr>
          <w:sz w:val="10"/>
          <w:szCs w:val="10"/>
        </w:rPr>
      </w:pPr>
    </w:p>
    <w:p w14:paraId="1F16CB85" w14:textId="77777777" w:rsidR="00A6513E" w:rsidRPr="00A6513E" w:rsidRDefault="00A6513E" w:rsidP="0039058B">
      <w:pPr>
        <w:pStyle w:val="CETBodytext"/>
        <w:numPr>
          <w:ilvl w:val="0"/>
          <w:numId w:val="23"/>
        </w:numPr>
        <w:spacing w:line="22" w:lineRule="atLeast"/>
        <w:rPr>
          <w:b/>
          <w:sz w:val="20"/>
          <w:lang w:val="en-GB"/>
        </w:rPr>
      </w:pPr>
      <w:r w:rsidRPr="00A6513E">
        <w:rPr>
          <w:rFonts w:cs="Arial"/>
          <w:b/>
          <w:sz w:val="20"/>
        </w:rPr>
        <w:t>Results and discussion</w:t>
      </w:r>
    </w:p>
    <w:p w14:paraId="34204D65" w14:textId="3F512538" w:rsidR="00175E8F" w:rsidRDefault="00A814D1" w:rsidP="0039058B">
      <w:pPr>
        <w:pStyle w:val="CETBodytext"/>
        <w:spacing w:line="22" w:lineRule="atLeast"/>
        <w:rPr>
          <w:lang w:val="en-GB"/>
        </w:rPr>
      </w:pPr>
      <w:r>
        <w:t>In order to calculate the biomethane release temperature (</w:t>
      </w:r>
      <w:r w:rsidR="00385675">
        <w:t>Eq</w:t>
      </w:r>
      <w:r>
        <w:t>.</w:t>
      </w:r>
      <w:r w:rsidR="0058647F">
        <w:t xml:space="preserve"> </w:t>
      </w:r>
      <w:r w:rsidR="00451B85">
        <w:t>9</w:t>
      </w:r>
      <w:r w:rsidR="00385675">
        <w:t xml:space="preserve">), it has to be highlighted that </w:t>
      </w:r>
      <w:r>
        <w:t>an average value of heat</w:t>
      </w:r>
      <w:r w:rsidRPr="6642D6F8">
        <w:rPr>
          <w:lang w:val="en-GB"/>
        </w:rPr>
        <w:t xml:space="preserve"> capacities ratio can be assumed. </w:t>
      </w:r>
      <w:r w:rsidR="00AB04EE" w:rsidRPr="6642D6F8">
        <w:rPr>
          <w:lang w:val="en-GB"/>
        </w:rPr>
        <w:t>I</w:t>
      </w:r>
      <w:r w:rsidRPr="6642D6F8">
        <w:rPr>
          <w:lang w:val="en-GB"/>
        </w:rPr>
        <w:t xml:space="preserve">n </w:t>
      </w:r>
      <w:r w:rsidR="00632E1B">
        <w:rPr>
          <w:lang w:val="en-GB"/>
        </w:rPr>
        <w:t xml:space="preserve">this </w:t>
      </w:r>
      <w:r w:rsidRPr="6642D6F8">
        <w:rPr>
          <w:lang w:val="en-GB"/>
        </w:rPr>
        <w:t xml:space="preserve">study, </w:t>
      </w:r>
      <w:r w:rsidR="00AB04EE" w:rsidRPr="6642D6F8">
        <w:rPr>
          <w:lang w:val="en-GB"/>
        </w:rPr>
        <w:t xml:space="preserve">as </w:t>
      </w:r>
      <w:r w:rsidRPr="6642D6F8">
        <w:rPr>
          <w:lang w:val="en-GB"/>
        </w:rPr>
        <w:t xml:space="preserve">the </w:t>
      </w:r>
      <w:r w:rsidRPr="6642D6F8">
        <w:rPr>
          <w:rFonts w:cs="Arial"/>
          <w:lang w:val="en-GB"/>
        </w:rPr>
        <w:t>γ</w:t>
      </w:r>
      <w:r w:rsidRPr="6642D6F8">
        <w:rPr>
          <w:lang w:val="en-GB"/>
        </w:rPr>
        <w:t xml:space="preserve"> values variation, referred to initial compression and </w:t>
      </w:r>
      <w:r w:rsidR="00AB04EE" w:rsidRPr="6642D6F8">
        <w:rPr>
          <w:lang w:val="en-GB"/>
        </w:rPr>
        <w:t>final compression temperature, has been about 1 %, the value calculated by T</w:t>
      </w:r>
      <w:r w:rsidR="00AB04EE" w:rsidRPr="6642D6F8">
        <w:rPr>
          <w:vertAlign w:val="subscript"/>
          <w:lang w:val="en-GB"/>
        </w:rPr>
        <w:t>i</w:t>
      </w:r>
      <w:r w:rsidR="00AB04EE" w:rsidRPr="6642D6F8">
        <w:rPr>
          <w:lang w:val="en-GB"/>
        </w:rPr>
        <w:t xml:space="preserve"> has been used. In table 2</w:t>
      </w:r>
      <w:r w:rsidR="00B057B5" w:rsidRPr="6642D6F8">
        <w:rPr>
          <w:lang w:val="en-GB"/>
        </w:rPr>
        <w:t xml:space="preserve">, the assumed parameters for studying the biomethane release from reciprocating compressor are reported.  </w:t>
      </w:r>
      <w:r w:rsidR="44D91FBA" w:rsidRPr="6642D6F8">
        <w:rPr>
          <w:lang w:val="en-GB"/>
        </w:rPr>
        <w:t xml:space="preserve">In particular, </w:t>
      </w:r>
      <w:r w:rsidR="42B5BF5B" w:rsidRPr="6642D6F8">
        <w:rPr>
          <w:lang w:val="en-GB"/>
        </w:rPr>
        <w:t xml:space="preserve">because of </w:t>
      </w:r>
      <w:r w:rsidR="44D91FBA" w:rsidRPr="6642D6F8">
        <w:rPr>
          <w:lang w:val="en-GB"/>
        </w:rPr>
        <w:t xml:space="preserve">biomethane </w:t>
      </w:r>
      <w:r w:rsidR="4D0E92F3" w:rsidRPr="6642D6F8">
        <w:rPr>
          <w:lang w:val="en-GB"/>
        </w:rPr>
        <w:t>release pressures, the gaseous flow</w:t>
      </w:r>
      <w:r w:rsidR="08EEE1CC" w:rsidRPr="6642D6F8">
        <w:rPr>
          <w:lang w:val="en-GB"/>
        </w:rPr>
        <w:t xml:space="preserve"> is always sonic</w:t>
      </w:r>
      <w:r w:rsidR="004B2BEE">
        <w:rPr>
          <w:lang w:val="en-GB"/>
        </w:rPr>
        <w:t xml:space="preserve"> </w:t>
      </w:r>
      <w:r w:rsidR="004B7729">
        <w:rPr>
          <w:lang w:val="en-GB"/>
        </w:rPr>
        <w:t>(p</w:t>
      </w:r>
      <w:r w:rsidR="004B7729" w:rsidRPr="004B7729">
        <w:rPr>
          <w:vertAlign w:val="subscript"/>
          <w:lang w:val="en-GB"/>
        </w:rPr>
        <w:t>son</w:t>
      </w:r>
      <w:r w:rsidR="004B7729">
        <w:rPr>
          <w:lang w:val="en-GB"/>
        </w:rPr>
        <w:t xml:space="preserve"> is higher than atmospheric pressure) </w:t>
      </w:r>
      <w:r w:rsidR="004B2BEE">
        <w:rPr>
          <w:lang w:val="en-GB"/>
        </w:rPr>
        <w:t>and the biofuel behaves like an ideal gas (compressibility factor is about 1)</w:t>
      </w:r>
      <w:r w:rsidR="08EEE1CC" w:rsidRPr="6642D6F8">
        <w:rPr>
          <w:lang w:val="en-GB"/>
        </w:rPr>
        <w:t xml:space="preserve">. </w:t>
      </w:r>
      <w:r w:rsidR="0058647F">
        <w:rPr>
          <w:lang w:val="en-GB"/>
        </w:rPr>
        <w:t>Therefore, Eq. 7 has been used to calculate the released mass flow</w:t>
      </w:r>
      <w:r w:rsidR="00A93FAE">
        <w:rPr>
          <w:lang w:val="en-GB"/>
        </w:rPr>
        <w:t>s</w:t>
      </w:r>
      <w:r w:rsidR="0058647F">
        <w:rPr>
          <w:lang w:val="en-GB"/>
        </w:rPr>
        <w:t xml:space="preserve">. </w:t>
      </w:r>
      <w:r w:rsidR="008B4209" w:rsidRPr="6642D6F8">
        <w:rPr>
          <w:lang w:val="en-GB"/>
        </w:rPr>
        <w:t xml:space="preserve">The fixed values of safety valves setting are shown in table 3. </w:t>
      </w:r>
      <w:r w:rsidR="006A2DBD" w:rsidRPr="6642D6F8">
        <w:rPr>
          <w:lang w:val="en-GB"/>
        </w:rPr>
        <w:t xml:space="preserve">As suggested </w:t>
      </w:r>
      <w:r w:rsidR="00927BCE" w:rsidRPr="6642D6F8">
        <w:rPr>
          <w:lang w:val="en-GB"/>
        </w:rPr>
        <w:t>by manufacturer, the setting pressure of safety valve of second compression stage is 1.05 p</w:t>
      </w:r>
      <w:r w:rsidR="00927BCE" w:rsidRPr="6642D6F8">
        <w:rPr>
          <w:vertAlign w:val="subscript"/>
          <w:lang w:val="en-GB"/>
        </w:rPr>
        <w:t>p</w:t>
      </w:r>
      <w:r w:rsidR="00927BCE" w:rsidRPr="6642D6F8">
        <w:rPr>
          <w:lang w:val="en-GB"/>
        </w:rPr>
        <w:t>.</w:t>
      </w:r>
      <w:r w:rsidR="006A2DBD" w:rsidRPr="6642D6F8">
        <w:rPr>
          <w:lang w:val="en-GB"/>
        </w:rPr>
        <w:t xml:space="preserve"> </w:t>
      </w:r>
      <w:r w:rsidR="00176D93" w:rsidRPr="6642D6F8">
        <w:rPr>
          <w:lang w:val="en-GB"/>
        </w:rPr>
        <w:t>The study results are reported in tables 4, 5 and 6</w:t>
      </w:r>
      <w:r w:rsidR="009D5581" w:rsidRPr="6642D6F8">
        <w:rPr>
          <w:lang w:val="en-GB"/>
        </w:rPr>
        <w:t>. The released flow</w:t>
      </w:r>
      <w:r w:rsidR="00956FE7">
        <w:rPr>
          <w:lang w:val="en-GB"/>
        </w:rPr>
        <w:t>s</w:t>
      </w:r>
      <w:r w:rsidR="009D5581" w:rsidRPr="6642D6F8">
        <w:rPr>
          <w:lang w:val="en-GB"/>
        </w:rPr>
        <w:t xml:space="preserve"> (M</w:t>
      </w:r>
      <w:r w:rsidR="009D5581" w:rsidRPr="6642D6F8">
        <w:rPr>
          <w:vertAlign w:val="subscript"/>
          <w:lang w:val="en-GB"/>
        </w:rPr>
        <w:t>1</w:t>
      </w:r>
      <w:r w:rsidR="00956FE7">
        <w:rPr>
          <w:lang w:val="en-GB"/>
        </w:rPr>
        <w:t>, M</w:t>
      </w:r>
      <w:r w:rsidR="00956FE7" w:rsidRPr="00956FE7">
        <w:rPr>
          <w:vertAlign w:val="subscript"/>
          <w:lang w:val="en-GB"/>
        </w:rPr>
        <w:t>2</w:t>
      </w:r>
      <w:r w:rsidR="00956FE7">
        <w:rPr>
          <w:lang w:val="en-GB"/>
        </w:rPr>
        <w:t xml:space="preserve"> and M</w:t>
      </w:r>
      <w:r w:rsidR="00956FE7" w:rsidRPr="00956FE7">
        <w:rPr>
          <w:vertAlign w:val="subscript"/>
          <w:lang w:val="en-GB"/>
        </w:rPr>
        <w:t>3</w:t>
      </w:r>
      <w:r w:rsidR="009D5581" w:rsidRPr="6642D6F8">
        <w:rPr>
          <w:lang w:val="en-GB"/>
        </w:rPr>
        <w:t>) increase</w:t>
      </w:r>
      <w:r w:rsidR="00956FE7">
        <w:rPr>
          <w:lang w:val="en-GB"/>
        </w:rPr>
        <w:t>s</w:t>
      </w:r>
      <w:r w:rsidR="009D5581" w:rsidRPr="6642D6F8">
        <w:rPr>
          <w:lang w:val="en-GB"/>
        </w:rPr>
        <w:t xml:space="preserve"> </w:t>
      </w:r>
      <w:r w:rsidR="00956FE7">
        <w:rPr>
          <w:lang w:val="en-GB"/>
        </w:rPr>
        <w:t>have been</w:t>
      </w:r>
      <w:r w:rsidR="009D5581" w:rsidRPr="6642D6F8">
        <w:rPr>
          <w:lang w:val="en-GB"/>
        </w:rPr>
        <w:t xml:space="preserve"> significant and </w:t>
      </w:r>
      <w:r w:rsidR="00956FE7">
        <w:rPr>
          <w:lang w:val="en-GB"/>
        </w:rPr>
        <w:t>respectively equal to</w:t>
      </w:r>
      <w:r w:rsidR="009D5581" w:rsidRPr="6642D6F8">
        <w:rPr>
          <w:lang w:val="en-GB"/>
        </w:rPr>
        <w:t xml:space="preserve"> 25 %</w:t>
      </w:r>
      <w:r w:rsidR="00310606">
        <w:rPr>
          <w:lang w:val="en-GB"/>
        </w:rPr>
        <w:t>,</w:t>
      </w:r>
      <w:r w:rsidR="009D5581" w:rsidRPr="6642D6F8">
        <w:rPr>
          <w:lang w:val="en-GB"/>
        </w:rPr>
        <w:t xml:space="preserve"> </w:t>
      </w:r>
      <w:r w:rsidR="00A401F9">
        <w:rPr>
          <w:lang w:val="en-GB"/>
        </w:rPr>
        <w:t>50</w:t>
      </w:r>
      <w:r w:rsidR="00956FE7">
        <w:rPr>
          <w:lang w:val="en-GB"/>
        </w:rPr>
        <w:t xml:space="preserve"> % </w:t>
      </w:r>
      <w:r w:rsidR="009D5581" w:rsidRPr="6642D6F8">
        <w:rPr>
          <w:lang w:val="en-GB"/>
        </w:rPr>
        <w:t xml:space="preserve">and </w:t>
      </w:r>
      <w:r w:rsidR="00A401F9">
        <w:rPr>
          <w:lang w:val="en-GB"/>
        </w:rPr>
        <w:t>33.3</w:t>
      </w:r>
      <w:r w:rsidR="009D5581" w:rsidRPr="6642D6F8">
        <w:rPr>
          <w:lang w:val="en-GB"/>
        </w:rPr>
        <w:t xml:space="preserve"> %. </w:t>
      </w:r>
      <w:r w:rsidR="006D0DD5">
        <w:rPr>
          <w:lang w:val="en-GB"/>
        </w:rPr>
        <w:t>T</w:t>
      </w:r>
      <w:r w:rsidR="006C6B81" w:rsidRPr="6642D6F8">
        <w:rPr>
          <w:lang w:val="en-GB"/>
        </w:rPr>
        <w:t>able 7</w:t>
      </w:r>
      <w:r w:rsidR="006D0DD5">
        <w:rPr>
          <w:lang w:val="en-GB"/>
        </w:rPr>
        <w:t xml:space="preserve"> shows the</w:t>
      </w:r>
      <w:r w:rsidR="006C6B81" w:rsidRPr="6642D6F8">
        <w:rPr>
          <w:lang w:val="en-GB"/>
        </w:rPr>
        <w:t xml:space="preserve"> RC </w:t>
      </w:r>
      <w:r w:rsidR="007F21D2">
        <w:rPr>
          <w:lang w:val="en-GB"/>
        </w:rPr>
        <w:t>and W</w:t>
      </w:r>
      <w:r w:rsidR="007F21D2" w:rsidRPr="007F21D2">
        <w:rPr>
          <w:vertAlign w:val="subscript"/>
          <w:lang w:val="en-GB"/>
        </w:rPr>
        <w:t>g</w:t>
      </w:r>
      <w:r w:rsidR="007F21D2">
        <w:rPr>
          <w:lang w:val="en-GB"/>
        </w:rPr>
        <w:t xml:space="preserve"> </w:t>
      </w:r>
      <w:r w:rsidR="006C6B81" w:rsidRPr="6642D6F8">
        <w:rPr>
          <w:lang w:val="en-GB"/>
        </w:rPr>
        <w:t>values.</w:t>
      </w:r>
      <w:r w:rsidR="0007658F" w:rsidRPr="6642D6F8">
        <w:rPr>
          <w:lang w:val="en-GB"/>
        </w:rPr>
        <w:t xml:space="preserve"> </w:t>
      </w:r>
      <w:r w:rsidR="001406B7">
        <w:rPr>
          <w:lang w:val="en-GB"/>
        </w:rPr>
        <w:t>The release characteristic only depends on W</w:t>
      </w:r>
      <w:r w:rsidR="001406B7" w:rsidRPr="001406B7">
        <w:rPr>
          <w:vertAlign w:val="subscript"/>
          <w:lang w:val="en-GB"/>
        </w:rPr>
        <w:t>g</w:t>
      </w:r>
      <w:r w:rsidR="001406B7">
        <w:rPr>
          <w:lang w:val="en-GB"/>
        </w:rPr>
        <w:t xml:space="preserve">, because the </w:t>
      </w:r>
      <w:r w:rsidR="00DC7099">
        <w:rPr>
          <w:lang w:val="en-GB"/>
        </w:rPr>
        <w:t>e</w:t>
      </w:r>
      <w:r w:rsidR="00260E72">
        <w:rPr>
          <w:lang w:val="en-GB"/>
        </w:rPr>
        <w:t>q</w:t>
      </w:r>
      <w:r w:rsidR="00DC7099">
        <w:rPr>
          <w:lang w:val="en-GB"/>
        </w:rPr>
        <w:t>uation</w:t>
      </w:r>
      <w:r w:rsidR="00260E72">
        <w:rPr>
          <w:lang w:val="en-GB"/>
        </w:rPr>
        <w:t xml:space="preserve"> 2 denominator is constant. Indeed, the biomethane density (</w:t>
      </w:r>
      <w:r w:rsidR="00260E72">
        <w:rPr>
          <w:rFonts w:cs="Arial"/>
          <w:lang w:val="en-GB"/>
        </w:rPr>
        <w:t>ρ</w:t>
      </w:r>
      <w:r w:rsidR="00260E72">
        <w:rPr>
          <w:vertAlign w:val="subscript"/>
          <w:lang w:val="en-GB"/>
        </w:rPr>
        <w:t>g</w:t>
      </w:r>
      <w:r w:rsidR="00260E72">
        <w:rPr>
          <w:lang w:val="en-GB"/>
        </w:rPr>
        <w:t xml:space="preserve">)  is </w:t>
      </w:r>
      <w:r w:rsidR="00260E72">
        <w:rPr>
          <w:rFonts w:cs="Arial"/>
          <w:szCs w:val="18"/>
        </w:rPr>
        <w:t>linked to ambient pressure and temperature.</w:t>
      </w:r>
      <w:r w:rsidR="00260E72" w:rsidRPr="6642D6F8">
        <w:rPr>
          <w:lang w:val="en-GB"/>
        </w:rPr>
        <w:t xml:space="preserve"> </w:t>
      </w:r>
      <w:r w:rsidR="0007658F" w:rsidRPr="6642D6F8">
        <w:rPr>
          <w:lang w:val="en-GB"/>
        </w:rPr>
        <w:t>The passage from 50 bar to 70 bar has determined release characteristic</w:t>
      </w:r>
      <w:r w:rsidR="00C6568F">
        <w:rPr>
          <w:lang w:val="en-GB"/>
        </w:rPr>
        <w:t xml:space="preserve"> (3</w:t>
      </w:r>
      <w:r w:rsidR="001406B7">
        <w:rPr>
          <w:lang w:val="en-GB"/>
        </w:rPr>
        <w:t>9</w:t>
      </w:r>
      <w:r w:rsidR="00C6568F">
        <w:rPr>
          <w:lang w:val="en-GB"/>
        </w:rPr>
        <w:t xml:space="preserve"> %) and W</w:t>
      </w:r>
      <w:r w:rsidR="00C6568F" w:rsidRPr="00C6568F">
        <w:rPr>
          <w:vertAlign w:val="subscript"/>
          <w:lang w:val="en-GB"/>
        </w:rPr>
        <w:t>g</w:t>
      </w:r>
      <w:r w:rsidR="0007658F" w:rsidRPr="6642D6F8">
        <w:rPr>
          <w:lang w:val="en-GB"/>
        </w:rPr>
        <w:t xml:space="preserve"> </w:t>
      </w:r>
      <w:r w:rsidR="00C6568F">
        <w:rPr>
          <w:lang w:val="en-GB"/>
        </w:rPr>
        <w:t xml:space="preserve">(37.9 %) </w:t>
      </w:r>
      <w:r w:rsidR="0007658F" w:rsidRPr="6642D6F8">
        <w:rPr>
          <w:lang w:val="en-GB"/>
        </w:rPr>
        <w:t>increase</w:t>
      </w:r>
      <w:r w:rsidR="00C6568F">
        <w:rPr>
          <w:lang w:val="en-GB"/>
        </w:rPr>
        <w:t>s.</w:t>
      </w:r>
      <w:r w:rsidR="0007658F" w:rsidRPr="6642D6F8">
        <w:rPr>
          <w:lang w:val="en-GB"/>
        </w:rPr>
        <w:t xml:space="preserve"> </w:t>
      </w:r>
      <w:r w:rsidR="44AF53FE" w:rsidRPr="6642D6F8">
        <w:rPr>
          <w:lang w:val="en-GB"/>
        </w:rPr>
        <w:t xml:space="preserve">With reference to </w:t>
      </w:r>
      <w:r w:rsidR="48F3E010" w:rsidRPr="6642D6F8">
        <w:rPr>
          <w:lang w:val="en-GB"/>
        </w:rPr>
        <w:t xml:space="preserve">calculated </w:t>
      </w:r>
      <w:r w:rsidR="00B37156" w:rsidRPr="6642D6F8">
        <w:rPr>
          <w:lang w:val="en-GB"/>
        </w:rPr>
        <w:t>values</w:t>
      </w:r>
      <w:r w:rsidR="359E2DFE" w:rsidRPr="6642D6F8">
        <w:rPr>
          <w:lang w:val="en-GB"/>
        </w:rPr>
        <w:t xml:space="preserve"> of RC</w:t>
      </w:r>
      <w:r w:rsidR="00B37156" w:rsidRPr="6642D6F8">
        <w:rPr>
          <w:lang w:val="en-GB"/>
        </w:rPr>
        <w:t>, it has been noted that the best dilution degree is medium and this condition is achieved in case of ventilation air velocity, which is higher than 0.</w:t>
      </w:r>
      <w:r w:rsidR="008701EC">
        <w:rPr>
          <w:lang w:val="en-GB"/>
        </w:rPr>
        <w:t>3</w:t>
      </w:r>
      <w:r w:rsidR="00B37156" w:rsidRPr="6642D6F8">
        <w:rPr>
          <w:lang w:val="en-GB"/>
        </w:rPr>
        <w:t xml:space="preserve"> m/s</w:t>
      </w:r>
      <w:r w:rsidR="004B45AD">
        <w:rPr>
          <w:lang w:val="en-GB"/>
        </w:rPr>
        <w:t xml:space="preserve"> (Figure 1)</w:t>
      </w:r>
      <w:r w:rsidR="00B37156" w:rsidRPr="6642D6F8">
        <w:rPr>
          <w:lang w:val="en-GB"/>
        </w:rPr>
        <w:t xml:space="preserve">. </w:t>
      </w:r>
      <w:r w:rsidR="00BE00F6">
        <w:rPr>
          <w:lang w:val="en-GB"/>
        </w:rPr>
        <w:t>Therefore, such a threshold has to be used to set the operating of</w:t>
      </w:r>
      <w:r w:rsidR="00E33511">
        <w:rPr>
          <w:lang w:val="en-GB"/>
        </w:rPr>
        <w:t xml:space="preserve"> forced ventilation system</w:t>
      </w:r>
      <w:r w:rsidR="004B45AD">
        <w:rPr>
          <w:lang w:val="en-GB"/>
        </w:rPr>
        <w:t xml:space="preserve"> and ensure a safer compress</w:t>
      </w:r>
      <w:r w:rsidR="003C7179">
        <w:rPr>
          <w:lang w:val="en-GB"/>
        </w:rPr>
        <w:t>ion unit</w:t>
      </w:r>
      <w:r w:rsidR="004B45AD">
        <w:rPr>
          <w:lang w:val="en-GB"/>
        </w:rPr>
        <w:t xml:space="preserve"> operating</w:t>
      </w:r>
      <w:r w:rsidR="00BE00F6">
        <w:rPr>
          <w:lang w:val="en-GB"/>
        </w:rPr>
        <w:t>.</w:t>
      </w:r>
      <w:r w:rsidR="00E33511">
        <w:rPr>
          <w:lang w:val="en-GB"/>
        </w:rPr>
        <w:t xml:space="preserve"> </w:t>
      </w:r>
    </w:p>
    <w:p w14:paraId="3635B230" w14:textId="40A04DC6" w:rsidR="00175E8F" w:rsidRDefault="00175E8F" w:rsidP="0039058B">
      <w:pPr>
        <w:pStyle w:val="CETBodytext"/>
        <w:spacing w:line="22" w:lineRule="atLeast"/>
        <w:rPr>
          <w:lang w:val="en-GB"/>
        </w:rPr>
      </w:pPr>
    </w:p>
    <w:p w14:paraId="1EB1F0B4" w14:textId="67DE9FC9" w:rsidR="00655E00" w:rsidRPr="008B4209" w:rsidRDefault="00655E00" w:rsidP="0039058B">
      <w:pPr>
        <w:pStyle w:val="CETBodytext"/>
        <w:spacing w:line="22" w:lineRule="atLeast"/>
        <w:rPr>
          <w:i/>
          <w:lang w:val="en-GB"/>
        </w:rPr>
      </w:pPr>
      <w:r w:rsidRPr="008B4209">
        <w:rPr>
          <w:i/>
          <w:lang w:val="en-GB"/>
        </w:rPr>
        <w:t xml:space="preserve">Table 2: </w:t>
      </w:r>
      <w:r w:rsidR="00175E8F" w:rsidRPr="008B4209">
        <w:rPr>
          <w:i/>
          <w:lang w:val="en-GB"/>
        </w:rPr>
        <w:t>Biomethane release (parameters)</w:t>
      </w:r>
    </w:p>
    <w:tbl>
      <w:tblPr>
        <w:tblStyle w:val="Grigliatabella"/>
        <w:tblW w:w="0" w:type="auto"/>
        <w:tblLook w:val="04A0" w:firstRow="1" w:lastRow="0" w:firstColumn="1" w:lastColumn="0" w:noHBand="0" w:noVBand="1"/>
      </w:tblPr>
      <w:tblGrid>
        <w:gridCol w:w="3114"/>
        <w:gridCol w:w="1559"/>
      </w:tblGrid>
      <w:tr w:rsidR="00655E00" w14:paraId="12D0C0C1" w14:textId="77777777" w:rsidTr="00175E8F">
        <w:tc>
          <w:tcPr>
            <w:tcW w:w="3114" w:type="dxa"/>
            <w:tcBorders>
              <w:top w:val="single" w:sz="4" w:space="0" w:color="auto"/>
              <w:left w:val="nil"/>
              <w:bottom w:val="single" w:sz="4" w:space="0" w:color="auto"/>
              <w:right w:val="nil"/>
            </w:tcBorders>
          </w:tcPr>
          <w:p w14:paraId="588D44D0" w14:textId="13A93028" w:rsidR="00655E00" w:rsidRDefault="00655E00" w:rsidP="0039058B">
            <w:pPr>
              <w:pStyle w:val="CETBodytext"/>
              <w:spacing w:line="22" w:lineRule="atLeast"/>
              <w:jc w:val="left"/>
            </w:pPr>
            <w:r>
              <w:t>Parameter</w:t>
            </w:r>
          </w:p>
        </w:tc>
        <w:tc>
          <w:tcPr>
            <w:tcW w:w="1559" w:type="dxa"/>
            <w:tcBorders>
              <w:top w:val="single" w:sz="4" w:space="0" w:color="auto"/>
              <w:left w:val="nil"/>
              <w:bottom w:val="single" w:sz="4" w:space="0" w:color="auto"/>
              <w:right w:val="nil"/>
            </w:tcBorders>
          </w:tcPr>
          <w:p w14:paraId="3E95C5C4" w14:textId="6C0954CE" w:rsidR="00655E00" w:rsidRDefault="00655E00" w:rsidP="0039058B">
            <w:pPr>
              <w:pStyle w:val="CETBodytext"/>
              <w:spacing w:line="22" w:lineRule="atLeast"/>
              <w:jc w:val="center"/>
            </w:pPr>
            <w:r>
              <w:t>Value</w:t>
            </w:r>
          </w:p>
        </w:tc>
      </w:tr>
      <w:tr w:rsidR="00655E00" w14:paraId="4433ECBF" w14:textId="77777777" w:rsidTr="00175E8F">
        <w:tc>
          <w:tcPr>
            <w:tcW w:w="3114" w:type="dxa"/>
            <w:tcBorders>
              <w:top w:val="single" w:sz="4" w:space="0" w:color="auto"/>
              <w:left w:val="nil"/>
              <w:bottom w:val="nil"/>
              <w:right w:val="nil"/>
            </w:tcBorders>
          </w:tcPr>
          <w:p w14:paraId="6D7F69B4" w14:textId="56CFA9C5" w:rsidR="00655E00" w:rsidRPr="00655E00" w:rsidRDefault="00655E00" w:rsidP="00A93FAE">
            <w:pPr>
              <w:pStyle w:val="CETBodytext"/>
              <w:spacing w:line="22" w:lineRule="atLeast"/>
              <w:jc w:val="left"/>
              <w:rPr>
                <w:vertAlign w:val="subscript"/>
              </w:rPr>
            </w:pPr>
            <w:r>
              <w:t>T</w:t>
            </w:r>
            <w:r>
              <w:rPr>
                <w:vertAlign w:val="subscript"/>
              </w:rPr>
              <w:t>i</w:t>
            </w:r>
          </w:p>
        </w:tc>
        <w:tc>
          <w:tcPr>
            <w:tcW w:w="1559" w:type="dxa"/>
            <w:tcBorders>
              <w:top w:val="single" w:sz="4" w:space="0" w:color="auto"/>
              <w:left w:val="nil"/>
              <w:bottom w:val="nil"/>
              <w:right w:val="nil"/>
            </w:tcBorders>
          </w:tcPr>
          <w:p w14:paraId="4C070411" w14:textId="48E96F5E" w:rsidR="00655E00" w:rsidRDefault="00655E00" w:rsidP="0039058B">
            <w:pPr>
              <w:pStyle w:val="CETBodytext"/>
              <w:spacing w:line="22" w:lineRule="atLeast"/>
              <w:jc w:val="center"/>
            </w:pPr>
            <w:r>
              <w:t>291.15 K</w:t>
            </w:r>
          </w:p>
        </w:tc>
      </w:tr>
      <w:tr w:rsidR="00655E00" w14:paraId="4755F05F" w14:textId="77777777" w:rsidTr="00175E8F">
        <w:tc>
          <w:tcPr>
            <w:tcW w:w="3114" w:type="dxa"/>
            <w:tcBorders>
              <w:top w:val="nil"/>
              <w:left w:val="nil"/>
              <w:bottom w:val="nil"/>
              <w:right w:val="nil"/>
            </w:tcBorders>
          </w:tcPr>
          <w:p w14:paraId="170E3CCC" w14:textId="512BDA97" w:rsidR="00655E00" w:rsidRPr="00655E00" w:rsidRDefault="00655E00" w:rsidP="00A93FAE">
            <w:pPr>
              <w:pStyle w:val="CETBodytext"/>
              <w:spacing w:line="22" w:lineRule="atLeast"/>
              <w:jc w:val="left"/>
              <w:rPr>
                <w:vertAlign w:val="subscript"/>
              </w:rPr>
            </w:pPr>
            <w:r>
              <w:t>p</w:t>
            </w:r>
            <w:r>
              <w:rPr>
                <w:vertAlign w:val="subscript"/>
              </w:rPr>
              <w:t>i</w:t>
            </w:r>
          </w:p>
        </w:tc>
        <w:tc>
          <w:tcPr>
            <w:tcW w:w="1559" w:type="dxa"/>
            <w:tcBorders>
              <w:top w:val="nil"/>
              <w:left w:val="nil"/>
              <w:bottom w:val="nil"/>
              <w:right w:val="nil"/>
            </w:tcBorders>
          </w:tcPr>
          <w:p w14:paraId="183F16AF" w14:textId="52F3EBFC" w:rsidR="00655E00" w:rsidRDefault="00655E00" w:rsidP="0039058B">
            <w:pPr>
              <w:pStyle w:val="CETBodytext"/>
              <w:spacing w:line="22" w:lineRule="atLeast"/>
              <w:jc w:val="center"/>
            </w:pPr>
            <w:r>
              <w:t>400,000 Pa</w:t>
            </w:r>
          </w:p>
        </w:tc>
      </w:tr>
      <w:tr w:rsidR="00655E00" w14:paraId="1C5E3941" w14:textId="77777777" w:rsidTr="00175E8F">
        <w:tc>
          <w:tcPr>
            <w:tcW w:w="3114" w:type="dxa"/>
            <w:tcBorders>
              <w:top w:val="nil"/>
              <w:left w:val="nil"/>
              <w:bottom w:val="nil"/>
              <w:right w:val="nil"/>
            </w:tcBorders>
          </w:tcPr>
          <w:p w14:paraId="4815A0AC" w14:textId="77777777" w:rsidR="00655E00" w:rsidRDefault="00734DCE" w:rsidP="0039058B">
            <w:pPr>
              <w:pStyle w:val="CETBodytext"/>
              <w:spacing w:line="22" w:lineRule="atLeast"/>
              <w:jc w:val="left"/>
            </w:pPr>
            <w:r>
              <w:t>A</w:t>
            </w:r>
          </w:p>
          <w:p w14:paraId="46F33A36" w14:textId="4190F11D" w:rsidR="00DF3725" w:rsidRPr="00DF3725" w:rsidRDefault="00DF3725" w:rsidP="00DF3725">
            <w:pPr>
              <w:pStyle w:val="CETBodytext"/>
              <w:spacing w:line="22" w:lineRule="atLeast"/>
              <w:jc w:val="left"/>
            </w:pPr>
            <w:r>
              <w:t>A</w:t>
            </w:r>
            <w:r w:rsidRPr="00DF3725">
              <w:rPr>
                <w:vertAlign w:val="subscript"/>
              </w:rPr>
              <w:t>SV</w:t>
            </w:r>
            <w:r>
              <w:t xml:space="preserve">                                  </w:t>
            </w:r>
          </w:p>
        </w:tc>
        <w:tc>
          <w:tcPr>
            <w:tcW w:w="1559" w:type="dxa"/>
            <w:tcBorders>
              <w:top w:val="nil"/>
              <w:left w:val="nil"/>
              <w:bottom w:val="nil"/>
              <w:right w:val="nil"/>
            </w:tcBorders>
          </w:tcPr>
          <w:p w14:paraId="6D0684AF" w14:textId="77777777" w:rsidR="00655E00" w:rsidRDefault="00734DCE" w:rsidP="0039058B">
            <w:pPr>
              <w:pStyle w:val="CETBodytext"/>
              <w:spacing w:line="22" w:lineRule="atLeast"/>
              <w:jc w:val="center"/>
              <w:rPr>
                <w:vertAlign w:val="superscript"/>
              </w:rPr>
            </w:pPr>
            <w:r>
              <w:t>4</w:t>
            </w:r>
            <w:r>
              <w:rPr>
                <w:rFonts w:cs="Arial"/>
              </w:rPr>
              <w:t>·</w:t>
            </w:r>
            <w:r>
              <w:t>10</w:t>
            </w:r>
            <w:r>
              <w:rPr>
                <w:vertAlign w:val="superscript"/>
              </w:rPr>
              <w:t>-6</w:t>
            </w:r>
            <w:r>
              <w:t xml:space="preserve">  m</w:t>
            </w:r>
            <w:r>
              <w:rPr>
                <w:vertAlign w:val="superscript"/>
              </w:rPr>
              <w:t>2</w:t>
            </w:r>
          </w:p>
          <w:p w14:paraId="7C0D1151" w14:textId="5E18F813" w:rsidR="00DF3725" w:rsidRPr="00DF3725" w:rsidRDefault="00DF3725" w:rsidP="0039058B">
            <w:pPr>
              <w:pStyle w:val="CETBodytext"/>
              <w:spacing w:line="22" w:lineRule="atLeast"/>
              <w:jc w:val="center"/>
            </w:pPr>
            <w:r>
              <w:rPr>
                <w:rFonts w:cs="Arial"/>
                <w:szCs w:val="18"/>
                <w:lang w:val="en-GB"/>
              </w:rPr>
              <w:t>5.1·10</w:t>
            </w:r>
            <w:r>
              <w:rPr>
                <w:rFonts w:cs="Arial"/>
                <w:szCs w:val="18"/>
                <w:vertAlign w:val="superscript"/>
                <w:lang w:val="en-GB"/>
              </w:rPr>
              <w:t>-6</w:t>
            </w:r>
            <w:r>
              <w:rPr>
                <w:rFonts w:cs="Arial"/>
                <w:szCs w:val="18"/>
                <w:lang w:val="en-GB"/>
              </w:rPr>
              <w:t xml:space="preserve"> </w:t>
            </w:r>
            <w:r w:rsidRPr="00746222">
              <w:rPr>
                <w:rFonts w:cs="Arial"/>
                <w:szCs w:val="18"/>
                <w:lang w:val="en-GB"/>
              </w:rPr>
              <w:t>m</w:t>
            </w:r>
            <w:r w:rsidRPr="00746222">
              <w:rPr>
                <w:rFonts w:cs="Arial"/>
                <w:szCs w:val="18"/>
                <w:vertAlign w:val="superscript"/>
                <w:lang w:val="en-GB"/>
              </w:rPr>
              <w:t>2</w:t>
            </w:r>
            <w:r>
              <w:t xml:space="preserve">                  </w:t>
            </w:r>
          </w:p>
        </w:tc>
      </w:tr>
      <w:tr w:rsidR="00655E00" w14:paraId="7CFA415E" w14:textId="77777777" w:rsidTr="00175E8F">
        <w:tc>
          <w:tcPr>
            <w:tcW w:w="3114" w:type="dxa"/>
            <w:tcBorders>
              <w:top w:val="nil"/>
              <w:left w:val="nil"/>
              <w:bottom w:val="nil"/>
              <w:right w:val="nil"/>
            </w:tcBorders>
          </w:tcPr>
          <w:p w14:paraId="65C72A95" w14:textId="240130D8" w:rsidR="00655E00" w:rsidRPr="00734DCE" w:rsidRDefault="00734DCE" w:rsidP="0039058B">
            <w:pPr>
              <w:pStyle w:val="CETBodytext"/>
              <w:spacing w:line="22" w:lineRule="atLeast"/>
              <w:jc w:val="left"/>
              <w:rPr>
                <w:vertAlign w:val="subscript"/>
              </w:rPr>
            </w:pPr>
            <w:r>
              <w:t>C</w:t>
            </w:r>
            <w:r>
              <w:rPr>
                <w:vertAlign w:val="subscript"/>
              </w:rPr>
              <w:t>d</w:t>
            </w:r>
          </w:p>
        </w:tc>
        <w:tc>
          <w:tcPr>
            <w:tcW w:w="1559" w:type="dxa"/>
            <w:tcBorders>
              <w:top w:val="nil"/>
              <w:left w:val="nil"/>
              <w:bottom w:val="nil"/>
              <w:right w:val="nil"/>
            </w:tcBorders>
          </w:tcPr>
          <w:p w14:paraId="24B98A45" w14:textId="67067B4B" w:rsidR="00655E00" w:rsidRDefault="00734DCE" w:rsidP="0039058B">
            <w:pPr>
              <w:pStyle w:val="CETBodytext"/>
              <w:spacing w:line="22" w:lineRule="atLeast"/>
              <w:jc w:val="center"/>
            </w:pPr>
            <w:r>
              <w:t>0.7</w:t>
            </w:r>
          </w:p>
        </w:tc>
      </w:tr>
      <w:tr w:rsidR="00655E00" w14:paraId="094CCAB0" w14:textId="77777777" w:rsidTr="00175E8F">
        <w:tc>
          <w:tcPr>
            <w:tcW w:w="3114" w:type="dxa"/>
            <w:tcBorders>
              <w:top w:val="nil"/>
              <w:left w:val="nil"/>
              <w:bottom w:val="nil"/>
              <w:right w:val="nil"/>
            </w:tcBorders>
          </w:tcPr>
          <w:p w14:paraId="27AABE38" w14:textId="40E3081A" w:rsidR="00655E00" w:rsidRPr="00734DCE" w:rsidRDefault="00734DCE" w:rsidP="0039058B">
            <w:pPr>
              <w:pStyle w:val="CETBodytext"/>
              <w:spacing w:line="22" w:lineRule="atLeast"/>
              <w:jc w:val="left"/>
              <w:rPr>
                <w:vertAlign w:val="subscript"/>
              </w:rPr>
            </w:pPr>
            <w:r>
              <w:t>PM</w:t>
            </w:r>
            <w:r>
              <w:rPr>
                <w:vertAlign w:val="subscript"/>
              </w:rPr>
              <w:t>b</w:t>
            </w:r>
          </w:p>
        </w:tc>
        <w:tc>
          <w:tcPr>
            <w:tcW w:w="1559" w:type="dxa"/>
            <w:tcBorders>
              <w:top w:val="nil"/>
              <w:left w:val="nil"/>
              <w:bottom w:val="nil"/>
              <w:right w:val="nil"/>
            </w:tcBorders>
          </w:tcPr>
          <w:p w14:paraId="5C50229D" w14:textId="524FA063" w:rsidR="00655E00" w:rsidRDefault="00734DCE" w:rsidP="0039058B">
            <w:pPr>
              <w:pStyle w:val="CETBodytext"/>
              <w:spacing w:line="22" w:lineRule="atLeast"/>
              <w:jc w:val="center"/>
            </w:pPr>
            <w:r>
              <w:t>16 kg/kmol</w:t>
            </w:r>
          </w:p>
        </w:tc>
      </w:tr>
      <w:tr w:rsidR="00655E00" w14:paraId="3531FCC3" w14:textId="77777777" w:rsidTr="00175E8F">
        <w:tc>
          <w:tcPr>
            <w:tcW w:w="3114" w:type="dxa"/>
            <w:tcBorders>
              <w:top w:val="nil"/>
              <w:left w:val="nil"/>
              <w:bottom w:val="nil"/>
              <w:right w:val="nil"/>
            </w:tcBorders>
          </w:tcPr>
          <w:p w14:paraId="620879C2" w14:textId="4E1497B3" w:rsidR="00655E00" w:rsidRDefault="00734DCE" w:rsidP="0039058B">
            <w:pPr>
              <w:pStyle w:val="CETBodytext"/>
              <w:spacing w:line="22" w:lineRule="atLeast"/>
              <w:jc w:val="left"/>
            </w:pPr>
            <w:r>
              <w:t>R</w:t>
            </w:r>
          </w:p>
        </w:tc>
        <w:tc>
          <w:tcPr>
            <w:tcW w:w="1559" w:type="dxa"/>
            <w:tcBorders>
              <w:top w:val="nil"/>
              <w:left w:val="nil"/>
              <w:bottom w:val="nil"/>
              <w:right w:val="nil"/>
            </w:tcBorders>
          </w:tcPr>
          <w:p w14:paraId="7A33EDAD" w14:textId="4CE81CE8" w:rsidR="00655E00" w:rsidRDefault="00734DCE" w:rsidP="0039058B">
            <w:pPr>
              <w:pStyle w:val="CETBodytext"/>
              <w:spacing w:line="22" w:lineRule="atLeast"/>
              <w:jc w:val="center"/>
            </w:pPr>
            <w:r>
              <w:t>8,314 J/kmol K</w:t>
            </w:r>
          </w:p>
        </w:tc>
      </w:tr>
      <w:tr w:rsidR="00655E00" w14:paraId="62E8129A" w14:textId="77777777" w:rsidTr="00175E8F">
        <w:tc>
          <w:tcPr>
            <w:tcW w:w="3114" w:type="dxa"/>
            <w:tcBorders>
              <w:top w:val="nil"/>
              <w:left w:val="nil"/>
              <w:bottom w:val="nil"/>
              <w:right w:val="nil"/>
            </w:tcBorders>
          </w:tcPr>
          <w:p w14:paraId="59BA8281" w14:textId="1AE9CF36" w:rsidR="00655E00" w:rsidRDefault="00734DCE" w:rsidP="0039058B">
            <w:pPr>
              <w:pStyle w:val="CETBodytext"/>
              <w:spacing w:line="22" w:lineRule="atLeast"/>
              <w:jc w:val="left"/>
            </w:pPr>
            <w:r>
              <w:t>LFL</w:t>
            </w:r>
          </w:p>
        </w:tc>
        <w:tc>
          <w:tcPr>
            <w:tcW w:w="1559" w:type="dxa"/>
            <w:tcBorders>
              <w:top w:val="nil"/>
              <w:left w:val="nil"/>
              <w:bottom w:val="nil"/>
              <w:right w:val="nil"/>
            </w:tcBorders>
          </w:tcPr>
          <w:p w14:paraId="632D7B82" w14:textId="796E2910" w:rsidR="00655E00" w:rsidRDefault="00734DCE" w:rsidP="0039058B">
            <w:pPr>
              <w:pStyle w:val="CETBodytext"/>
              <w:spacing w:line="22" w:lineRule="atLeast"/>
              <w:jc w:val="center"/>
            </w:pPr>
            <w:r>
              <w:t>4 % (v/v)</w:t>
            </w:r>
          </w:p>
        </w:tc>
      </w:tr>
      <w:tr w:rsidR="00734DCE" w14:paraId="5A00BFAE" w14:textId="77777777" w:rsidTr="00175E8F">
        <w:tc>
          <w:tcPr>
            <w:tcW w:w="3114" w:type="dxa"/>
            <w:tcBorders>
              <w:top w:val="nil"/>
              <w:left w:val="nil"/>
              <w:bottom w:val="nil"/>
              <w:right w:val="nil"/>
            </w:tcBorders>
          </w:tcPr>
          <w:p w14:paraId="77DE4793" w14:textId="10E19CF3" w:rsidR="00734DCE" w:rsidRDefault="00734DCE" w:rsidP="0039058B">
            <w:pPr>
              <w:pStyle w:val="CETBodytext"/>
              <w:spacing w:line="22" w:lineRule="atLeast"/>
              <w:jc w:val="left"/>
            </w:pPr>
            <w:r>
              <w:t>k</w:t>
            </w:r>
          </w:p>
        </w:tc>
        <w:tc>
          <w:tcPr>
            <w:tcW w:w="1559" w:type="dxa"/>
            <w:tcBorders>
              <w:top w:val="nil"/>
              <w:left w:val="nil"/>
              <w:bottom w:val="nil"/>
              <w:right w:val="nil"/>
            </w:tcBorders>
          </w:tcPr>
          <w:p w14:paraId="256CCCFD" w14:textId="5E8E9C7C" w:rsidR="00734DCE" w:rsidRDefault="00734DCE" w:rsidP="0039058B">
            <w:pPr>
              <w:pStyle w:val="CETBodytext"/>
              <w:spacing w:line="22" w:lineRule="atLeast"/>
              <w:jc w:val="center"/>
            </w:pPr>
            <w:r>
              <w:t>0.5</w:t>
            </w:r>
          </w:p>
        </w:tc>
      </w:tr>
      <w:tr w:rsidR="00734DCE" w14:paraId="552F2A52" w14:textId="77777777" w:rsidTr="00175E8F">
        <w:tc>
          <w:tcPr>
            <w:tcW w:w="3114" w:type="dxa"/>
            <w:tcBorders>
              <w:top w:val="nil"/>
              <w:left w:val="nil"/>
              <w:bottom w:val="nil"/>
              <w:right w:val="nil"/>
            </w:tcBorders>
          </w:tcPr>
          <w:p w14:paraId="3FFE9B1C" w14:textId="5CA92F58" w:rsidR="00734DCE" w:rsidRPr="00734DCE" w:rsidRDefault="00734DCE" w:rsidP="0039058B">
            <w:pPr>
              <w:pStyle w:val="CETBodytext"/>
              <w:spacing w:line="22" w:lineRule="atLeast"/>
              <w:jc w:val="left"/>
            </w:pPr>
            <w:r>
              <w:t>T</w:t>
            </w:r>
            <w:r w:rsidRPr="00734DCE">
              <w:rPr>
                <w:vertAlign w:val="subscript"/>
              </w:rPr>
              <w:t>cr</w:t>
            </w:r>
            <w:r>
              <w:rPr>
                <w:vertAlign w:val="subscript"/>
              </w:rPr>
              <w:t xml:space="preserve"> </w:t>
            </w:r>
            <w:r>
              <w:t>(critical biomethane temperature)</w:t>
            </w:r>
          </w:p>
        </w:tc>
        <w:tc>
          <w:tcPr>
            <w:tcW w:w="1559" w:type="dxa"/>
            <w:tcBorders>
              <w:top w:val="nil"/>
              <w:left w:val="nil"/>
              <w:bottom w:val="nil"/>
              <w:right w:val="nil"/>
            </w:tcBorders>
          </w:tcPr>
          <w:p w14:paraId="2591607C" w14:textId="2E55D4F9" w:rsidR="00734DCE" w:rsidRDefault="00734DCE" w:rsidP="0039058B">
            <w:pPr>
              <w:pStyle w:val="CETBodytext"/>
              <w:spacing w:line="22" w:lineRule="atLeast"/>
              <w:jc w:val="center"/>
            </w:pPr>
            <w:r>
              <w:t>190.56 K</w:t>
            </w:r>
          </w:p>
        </w:tc>
      </w:tr>
      <w:tr w:rsidR="00734DCE" w14:paraId="08F737C7" w14:textId="77777777" w:rsidTr="00175E8F">
        <w:tc>
          <w:tcPr>
            <w:tcW w:w="3114" w:type="dxa"/>
            <w:tcBorders>
              <w:top w:val="nil"/>
              <w:left w:val="nil"/>
              <w:bottom w:val="nil"/>
              <w:right w:val="nil"/>
            </w:tcBorders>
          </w:tcPr>
          <w:p w14:paraId="6ECA96A5" w14:textId="0B09C0B2" w:rsidR="00734DCE" w:rsidRDefault="00734DCE" w:rsidP="0039058B">
            <w:pPr>
              <w:pStyle w:val="CETBodytext"/>
              <w:spacing w:line="22" w:lineRule="atLeast"/>
              <w:jc w:val="left"/>
            </w:pPr>
            <w:r>
              <w:t>p</w:t>
            </w:r>
            <w:r w:rsidRPr="00734DCE">
              <w:rPr>
                <w:vertAlign w:val="subscript"/>
              </w:rPr>
              <w:t xml:space="preserve">cr </w:t>
            </w:r>
            <w:r>
              <w:t>(critical biomethane pressure)</w:t>
            </w:r>
          </w:p>
        </w:tc>
        <w:tc>
          <w:tcPr>
            <w:tcW w:w="1559" w:type="dxa"/>
            <w:tcBorders>
              <w:top w:val="nil"/>
              <w:left w:val="nil"/>
              <w:bottom w:val="nil"/>
              <w:right w:val="nil"/>
            </w:tcBorders>
          </w:tcPr>
          <w:p w14:paraId="6D0236A5" w14:textId="1C9671D2" w:rsidR="00734DCE" w:rsidRDefault="00734DCE" w:rsidP="0039058B">
            <w:pPr>
              <w:pStyle w:val="CETBodytext"/>
              <w:spacing w:line="22" w:lineRule="atLeast"/>
              <w:jc w:val="center"/>
            </w:pPr>
            <w:r>
              <w:t>4</w:t>
            </w:r>
            <w:r w:rsidR="00175E8F">
              <w:t>.6 MPa</w:t>
            </w:r>
          </w:p>
        </w:tc>
      </w:tr>
      <w:tr w:rsidR="00175E8F" w14:paraId="70D7CDD7" w14:textId="77777777" w:rsidTr="00175E8F">
        <w:tc>
          <w:tcPr>
            <w:tcW w:w="3114" w:type="dxa"/>
            <w:tcBorders>
              <w:top w:val="nil"/>
              <w:left w:val="nil"/>
              <w:bottom w:val="single" w:sz="4" w:space="0" w:color="auto"/>
              <w:right w:val="nil"/>
            </w:tcBorders>
          </w:tcPr>
          <w:p w14:paraId="7AA79C06" w14:textId="7D3E470F" w:rsidR="00175E8F" w:rsidRPr="00175E8F" w:rsidRDefault="00175E8F" w:rsidP="0039058B">
            <w:pPr>
              <w:pStyle w:val="CETBodytext"/>
              <w:spacing w:line="22" w:lineRule="atLeast"/>
              <w:jc w:val="left"/>
              <w:rPr>
                <w:vertAlign w:val="subscript"/>
              </w:rPr>
            </w:pPr>
            <w:r>
              <w:rPr>
                <w:rFonts w:cs="Arial"/>
              </w:rPr>
              <w:t>η</w:t>
            </w:r>
            <w:r>
              <w:rPr>
                <w:vertAlign w:val="subscript"/>
              </w:rPr>
              <w:t>pol</w:t>
            </w:r>
          </w:p>
        </w:tc>
        <w:tc>
          <w:tcPr>
            <w:tcW w:w="1559" w:type="dxa"/>
            <w:tcBorders>
              <w:top w:val="nil"/>
              <w:left w:val="nil"/>
              <w:bottom w:val="single" w:sz="4" w:space="0" w:color="auto"/>
              <w:right w:val="nil"/>
            </w:tcBorders>
          </w:tcPr>
          <w:p w14:paraId="0B199E3A" w14:textId="4DD9C3D0" w:rsidR="00175E8F" w:rsidRDefault="00175E8F" w:rsidP="0039058B">
            <w:pPr>
              <w:pStyle w:val="CETBodytext"/>
              <w:spacing w:line="22" w:lineRule="atLeast"/>
              <w:jc w:val="center"/>
            </w:pPr>
            <w:r>
              <w:t>0.87</w:t>
            </w:r>
          </w:p>
        </w:tc>
      </w:tr>
    </w:tbl>
    <w:p w14:paraId="28802C5E" w14:textId="2E0E13AB" w:rsidR="00655E00" w:rsidRDefault="00655E00" w:rsidP="0039058B">
      <w:pPr>
        <w:pStyle w:val="CETBodytext"/>
        <w:spacing w:line="22" w:lineRule="atLeast"/>
      </w:pPr>
    </w:p>
    <w:p w14:paraId="0C4CB4D8" w14:textId="3CC93200" w:rsidR="00E33511" w:rsidRDefault="00E33511" w:rsidP="0039058B">
      <w:pPr>
        <w:pStyle w:val="CETBodytext"/>
        <w:spacing w:line="22" w:lineRule="atLeast"/>
        <w:rPr>
          <w:lang w:val="en-GB"/>
        </w:rPr>
      </w:pPr>
      <w:r>
        <w:rPr>
          <w:lang w:val="en-GB"/>
        </w:rPr>
        <w:t>In order to classify the zone generated by compressor emission, the worst scenario has to be considered. It is due to the highest production pressure</w:t>
      </w:r>
      <w:r w:rsidR="00B465DD">
        <w:rPr>
          <w:lang w:val="en-GB"/>
        </w:rPr>
        <w:t xml:space="preserve"> (70 bar)</w:t>
      </w:r>
      <w:r>
        <w:rPr>
          <w:lang w:val="en-GB"/>
        </w:rPr>
        <w:t xml:space="preserve">, which causes the maximum biomethane flow. </w:t>
      </w:r>
      <w:r w:rsidRPr="6642D6F8">
        <w:rPr>
          <w:lang w:val="en-GB"/>
        </w:rPr>
        <w:t xml:space="preserve">As the compressor can be considered as a secondary grade source and the best dilution is medium, the region generated by its emission is a Zone 2 </w:t>
      </w:r>
      <w:r>
        <w:rPr>
          <w:lang w:val="en-GB"/>
        </w:rPr>
        <w:t xml:space="preserve">for every level (good, fair and poor) of </w:t>
      </w:r>
      <w:r w:rsidRPr="6642D6F8">
        <w:rPr>
          <w:lang w:val="en-GB"/>
        </w:rPr>
        <w:t>ventilation availability</w:t>
      </w:r>
      <w:r>
        <w:rPr>
          <w:lang w:val="en-GB"/>
        </w:rPr>
        <w:t xml:space="preserve"> </w:t>
      </w:r>
      <w:r w:rsidRPr="6642D6F8">
        <w:rPr>
          <w:lang w:val="en-GB"/>
        </w:rPr>
        <w:t xml:space="preserve">(Figure </w:t>
      </w:r>
      <w:r>
        <w:rPr>
          <w:lang w:val="en-GB"/>
        </w:rPr>
        <w:t>3</w:t>
      </w:r>
      <w:r w:rsidRPr="6642D6F8">
        <w:rPr>
          <w:lang w:val="en-GB"/>
        </w:rPr>
        <w:t xml:space="preserve">). </w:t>
      </w:r>
      <w:r>
        <w:rPr>
          <w:lang w:val="en-GB"/>
        </w:rPr>
        <w:t xml:space="preserve">In comparison with Zone 0 and Zone 1, Zone 2 is the less dangerous area. </w:t>
      </w:r>
      <w:r w:rsidRPr="6642D6F8">
        <w:rPr>
          <w:lang w:val="en-GB"/>
        </w:rPr>
        <w:t xml:space="preserve">   </w:t>
      </w:r>
    </w:p>
    <w:p w14:paraId="6D1551AC" w14:textId="77777777" w:rsidR="00E33511" w:rsidRPr="00E33511" w:rsidRDefault="00E33511" w:rsidP="0039058B">
      <w:pPr>
        <w:pStyle w:val="CETBodytext"/>
        <w:spacing w:line="22" w:lineRule="atLeast"/>
        <w:rPr>
          <w:lang w:val="en-GB"/>
        </w:rPr>
      </w:pPr>
    </w:p>
    <w:p w14:paraId="3386F1BD" w14:textId="4730BBBA" w:rsidR="008B4209" w:rsidRPr="008B4209" w:rsidRDefault="008B4209" w:rsidP="0039058B">
      <w:pPr>
        <w:pStyle w:val="CETBodytext"/>
        <w:spacing w:line="22" w:lineRule="atLeast"/>
        <w:rPr>
          <w:i/>
          <w:lang w:val="en-GB"/>
        </w:rPr>
      </w:pPr>
      <w:r w:rsidRPr="008B4209">
        <w:rPr>
          <w:i/>
          <w:lang w:val="en-GB"/>
        </w:rPr>
        <w:t>Table 3: Safety valves setting</w:t>
      </w:r>
    </w:p>
    <w:tbl>
      <w:tblPr>
        <w:tblStyle w:val="Tabellasemplice-2"/>
        <w:tblW w:w="0" w:type="auto"/>
        <w:tblLook w:val="04A0" w:firstRow="1" w:lastRow="0" w:firstColumn="1" w:lastColumn="0" w:noHBand="0" w:noVBand="1"/>
      </w:tblPr>
      <w:tblGrid>
        <w:gridCol w:w="2925"/>
        <w:gridCol w:w="2178"/>
        <w:gridCol w:w="2410"/>
      </w:tblGrid>
      <w:tr w:rsidR="006B3B1B" w14:paraId="481A0B38" w14:textId="77777777" w:rsidTr="006B3B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Borders>
              <w:bottom w:val="single" w:sz="4" w:space="0" w:color="auto"/>
            </w:tcBorders>
          </w:tcPr>
          <w:p w14:paraId="57760005" w14:textId="13EE5A81" w:rsidR="006B3B1B" w:rsidRPr="006B3B1B" w:rsidRDefault="006B3B1B" w:rsidP="0039058B">
            <w:pPr>
              <w:pStyle w:val="CETBodytext"/>
              <w:spacing w:line="22" w:lineRule="atLeast"/>
              <w:jc w:val="center"/>
              <w:rPr>
                <w:rFonts w:cs="Arial"/>
                <w:b w:val="0"/>
                <w:szCs w:val="18"/>
                <w:lang w:val="en-GB"/>
              </w:rPr>
            </w:pPr>
            <w:r w:rsidRPr="006B3B1B">
              <w:rPr>
                <w:rFonts w:cs="Arial"/>
                <w:b w:val="0"/>
                <w:szCs w:val="18"/>
                <w:lang w:val="en-GB"/>
              </w:rPr>
              <w:t>Biomethane production pressure (bar)</w:t>
            </w:r>
          </w:p>
        </w:tc>
        <w:tc>
          <w:tcPr>
            <w:tcW w:w="2178" w:type="dxa"/>
            <w:tcBorders>
              <w:bottom w:val="single" w:sz="4" w:space="0" w:color="auto"/>
            </w:tcBorders>
          </w:tcPr>
          <w:p w14:paraId="5B619BD3" w14:textId="77777777" w:rsidR="006B3B1B" w:rsidRPr="006B3B1B" w:rsidRDefault="006B3B1B" w:rsidP="0039058B">
            <w:pPr>
              <w:pStyle w:val="CETBodytext"/>
              <w:spacing w:line="22" w:lineRule="atLeast"/>
              <w:jc w:val="center"/>
              <w:cnfStyle w:val="100000000000" w:firstRow="1" w:lastRow="0" w:firstColumn="0" w:lastColumn="0" w:oddVBand="0" w:evenVBand="0" w:oddHBand="0" w:evenHBand="0" w:firstRowFirstColumn="0" w:firstRowLastColumn="0" w:lastRowFirstColumn="0" w:lastRowLastColumn="0"/>
              <w:rPr>
                <w:rFonts w:cs="Arial"/>
                <w:b w:val="0"/>
                <w:szCs w:val="18"/>
                <w:lang w:val="en-GB"/>
              </w:rPr>
            </w:pPr>
            <w:r w:rsidRPr="006B3B1B">
              <w:rPr>
                <w:rFonts w:cs="Arial"/>
                <w:b w:val="0"/>
                <w:szCs w:val="18"/>
                <w:lang w:val="en-GB"/>
              </w:rPr>
              <w:t>SV setting (first stage)</w:t>
            </w:r>
          </w:p>
          <w:p w14:paraId="64EB9E26" w14:textId="412634F1" w:rsidR="006B3B1B" w:rsidRPr="006B3B1B" w:rsidRDefault="006B3B1B" w:rsidP="0039058B">
            <w:pPr>
              <w:pStyle w:val="CETBodytext"/>
              <w:spacing w:line="22" w:lineRule="atLeast"/>
              <w:jc w:val="center"/>
              <w:cnfStyle w:val="100000000000" w:firstRow="1" w:lastRow="0" w:firstColumn="0" w:lastColumn="0" w:oddVBand="0" w:evenVBand="0" w:oddHBand="0" w:evenHBand="0" w:firstRowFirstColumn="0" w:firstRowLastColumn="0" w:lastRowFirstColumn="0" w:lastRowLastColumn="0"/>
              <w:rPr>
                <w:rFonts w:cs="Arial"/>
                <w:b w:val="0"/>
                <w:szCs w:val="18"/>
                <w:lang w:val="en-GB"/>
              </w:rPr>
            </w:pPr>
            <w:r w:rsidRPr="006B3B1B">
              <w:rPr>
                <w:rFonts w:cs="Arial"/>
                <w:b w:val="0"/>
                <w:szCs w:val="18"/>
                <w:lang w:val="en-GB"/>
              </w:rPr>
              <w:t>(bar)</w:t>
            </w:r>
          </w:p>
        </w:tc>
        <w:tc>
          <w:tcPr>
            <w:tcW w:w="2410" w:type="dxa"/>
            <w:tcBorders>
              <w:bottom w:val="single" w:sz="4" w:space="0" w:color="auto"/>
            </w:tcBorders>
          </w:tcPr>
          <w:p w14:paraId="5C8AC826" w14:textId="77777777" w:rsidR="006B3B1B" w:rsidRPr="006B3B1B" w:rsidRDefault="006B3B1B" w:rsidP="0039058B">
            <w:pPr>
              <w:pStyle w:val="CETBodytext"/>
              <w:spacing w:line="22" w:lineRule="atLeast"/>
              <w:jc w:val="center"/>
              <w:cnfStyle w:val="100000000000" w:firstRow="1" w:lastRow="0" w:firstColumn="0" w:lastColumn="0" w:oddVBand="0" w:evenVBand="0" w:oddHBand="0" w:evenHBand="0" w:firstRowFirstColumn="0" w:firstRowLastColumn="0" w:lastRowFirstColumn="0" w:lastRowLastColumn="0"/>
              <w:rPr>
                <w:rFonts w:cs="Arial"/>
                <w:b w:val="0"/>
                <w:szCs w:val="18"/>
                <w:lang w:val="en-GB"/>
              </w:rPr>
            </w:pPr>
            <w:r w:rsidRPr="006B3B1B">
              <w:rPr>
                <w:rFonts w:cs="Arial"/>
                <w:b w:val="0"/>
                <w:szCs w:val="18"/>
                <w:lang w:val="en-GB"/>
              </w:rPr>
              <w:t>SV setting (second stage)</w:t>
            </w:r>
          </w:p>
          <w:p w14:paraId="3E1F0BF2" w14:textId="751860D9" w:rsidR="006B3B1B" w:rsidRPr="006B3B1B" w:rsidRDefault="006B3B1B" w:rsidP="0039058B">
            <w:pPr>
              <w:pStyle w:val="CETBodytext"/>
              <w:spacing w:line="22" w:lineRule="atLeast"/>
              <w:jc w:val="center"/>
              <w:cnfStyle w:val="100000000000" w:firstRow="1" w:lastRow="0" w:firstColumn="0" w:lastColumn="0" w:oddVBand="0" w:evenVBand="0" w:oddHBand="0" w:evenHBand="0" w:firstRowFirstColumn="0" w:firstRowLastColumn="0" w:lastRowFirstColumn="0" w:lastRowLastColumn="0"/>
              <w:rPr>
                <w:rFonts w:cs="Arial"/>
                <w:b w:val="0"/>
                <w:szCs w:val="18"/>
                <w:lang w:val="en-GB"/>
              </w:rPr>
            </w:pPr>
            <w:r w:rsidRPr="006B3B1B">
              <w:rPr>
                <w:rFonts w:cs="Arial"/>
                <w:b w:val="0"/>
                <w:szCs w:val="18"/>
                <w:lang w:val="en-GB"/>
              </w:rPr>
              <w:t>(bar)</w:t>
            </w:r>
          </w:p>
        </w:tc>
      </w:tr>
      <w:tr w:rsidR="006B3B1B" w14:paraId="00D292EC" w14:textId="77777777" w:rsidTr="006B3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Borders>
              <w:top w:val="single" w:sz="4" w:space="0" w:color="auto"/>
              <w:bottom w:val="nil"/>
            </w:tcBorders>
          </w:tcPr>
          <w:p w14:paraId="2A2D480D" w14:textId="1A87389E" w:rsidR="006B3B1B" w:rsidRPr="006B3B1B" w:rsidRDefault="006B3B1B" w:rsidP="0039058B">
            <w:pPr>
              <w:pStyle w:val="CETBodytext"/>
              <w:spacing w:line="22" w:lineRule="atLeast"/>
              <w:jc w:val="center"/>
              <w:rPr>
                <w:rFonts w:cs="Arial"/>
                <w:b w:val="0"/>
                <w:szCs w:val="18"/>
                <w:lang w:val="en-GB"/>
              </w:rPr>
            </w:pPr>
            <w:r w:rsidRPr="006B3B1B">
              <w:rPr>
                <w:rFonts w:cs="Arial"/>
                <w:b w:val="0"/>
                <w:szCs w:val="18"/>
                <w:lang w:val="en-GB"/>
              </w:rPr>
              <w:t>50</w:t>
            </w:r>
          </w:p>
        </w:tc>
        <w:tc>
          <w:tcPr>
            <w:tcW w:w="2178" w:type="dxa"/>
            <w:tcBorders>
              <w:top w:val="single" w:sz="4" w:space="0" w:color="auto"/>
              <w:bottom w:val="nil"/>
            </w:tcBorders>
          </w:tcPr>
          <w:p w14:paraId="2631D2FF" w14:textId="20A2E85A" w:rsidR="006B3B1B" w:rsidRPr="006B3B1B" w:rsidRDefault="006B3B1B" w:rsidP="0039058B">
            <w:pPr>
              <w:pStyle w:val="CETBodytext"/>
              <w:spacing w:line="22" w:lineRule="atLeast"/>
              <w:jc w:val="center"/>
              <w:cnfStyle w:val="000000100000" w:firstRow="0" w:lastRow="0" w:firstColumn="0" w:lastColumn="0" w:oddVBand="0" w:evenVBand="0" w:oddHBand="1" w:evenHBand="0" w:firstRowFirstColumn="0" w:firstRowLastColumn="0" w:lastRowFirstColumn="0" w:lastRowLastColumn="0"/>
              <w:rPr>
                <w:rFonts w:cs="Arial"/>
                <w:szCs w:val="18"/>
                <w:lang w:val="en-GB"/>
              </w:rPr>
            </w:pPr>
            <w:r w:rsidRPr="006B3B1B">
              <w:rPr>
                <w:rFonts w:cs="Arial"/>
                <w:szCs w:val="18"/>
                <w:lang w:val="en-GB"/>
              </w:rPr>
              <w:t>16</w:t>
            </w:r>
          </w:p>
        </w:tc>
        <w:tc>
          <w:tcPr>
            <w:tcW w:w="2410" w:type="dxa"/>
            <w:tcBorders>
              <w:top w:val="single" w:sz="4" w:space="0" w:color="auto"/>
              <w:bottom w:val="nil"/>
            </w:tcBorders>
          </w:tcPr>
          <w:p w14:paraId="607843EC" w14:textId="4E2FB82D" w:rsidR="006B3B1B" w:rsidRPr="006B3B1B" w:rsidRDefault="006B3B1B" w:rsidP="0039058B">
            <w:pPr>
              <w:pStyle w:val="CETBodytext"/>
              <w:spacing w:line="22" w:lineRule="atLeast"/>
              <w:jc w:val="center"/>
              <w:cnfStyle w:val="000000100000" w:firstRow="0" w:lastRow="0" w:firstColumn="0" w:lastColumn="0" w:oddVBand="0" w:evenVBand="0" w:oddHBand="1" w:evenHBand="0" w:firstRowFirstColumn="0" w:firstRowLastColumn="0" w:lastRowFirstColumn="0" w:lastRowLastColumn="0"/>
              <w:rPr>
                <w:rFonts w:cs="Arial"/>
                <w:szCs w:val="18"/>
                <w:lang w:val="en-GB"/>
              </w:rPr>
            </w:pPr>
            <w:r w:rsidRPr="006B3B1B">
              <w:rPr>
                <w:rFonts w:cs="Arial"/>
                <w:szCs w:val="18"/>
                <w:lang w:val="en-GB"/>
              </w:rPr>
              <w:t>52.5</w:t>
            </w:r>
          </w:p>
        </w:tc>
      </w:tr>
      <w:tr w:rsidR="006B3B1B" w14:paraId="69A1E142" w14:textId="77777777" w:rsidTr="006B3B1B">
        <w:tc>
          <w:tcPr>
            <w:cnfStyle w:val="001000000000" w:firstRow="0" w:lastRow="0" w:firstColumn="1" w:lastColumn="0" w:oddVBand="0" w:evenVBand="0" w:oddHBand="0" w:evenHBand="0" w:firstRowFirstColumn="0" w:firstRowLastColumn="0" w:lastRowFirstColumn="0" w:lastRowLastColumn="0"/>
            <w:tcW w:w="2925" w:type="dxa"/>
            <w:tcBorders>
              <w:top w:val="nil"/>
              <w:bottom w:val="nil"/>
            </w:tcBorders>
          </w:tcPr>
          <w:p w14:paraId="295B2793" w14:textId="36D06226" w:rsidR="006B3B1B" w:rsidRPr="006B3B1B" w:rsidRDefault="006B3B1B" w:rsidP="0039058B">
            <w:pPr>
              <w:pStyle w:val="CETBodytext"/>
              <w:spacing w:line="22" w:lineRule="atLeast"/>
              <w:jc w:val="center"/>
              <w:rPr>
                <w:rFonts w:cs="Arial"/>
                <w:b w:val="0"/>
                <w:szCs w:val="18"/>
                <w:lang w:val="en-GB"/>
              </w:rPr>
            </w:pPr>
            <w:r w:rsidRPr="006B3B1B">
              <w:rPr>
                <w:rFonts w:cs="Arial"/>
                <w:b w:val="0"/>
                <w:szCs w:val="18"/>
                <w:lang w:val="en-GB"/>
              </w:rPr>
              <w:t>60</w:t>
            </w:r>
          </w:p>
        </w:tc>
        <w:tc>
          <w:tcPr>
            <w:tcW w:w="2178" w:type="dxa"/>
            <w:tcBorders>
              <w:top w:val="nil"/>
              <w:bottom w:val="nil"/>
            </w:tcBorders>
          </w:tcPr>
          <w:p w14:paraId="290A02F4" w14:textId="2D92EF0D" w:rsidR="006B3B1B" w:rsidRPr="006B3B1B" w:rsidRDefault="006B3B1B" w:rsidP="0039058B">
            <w:pPr>
              <w:pStyle w:val="CETBodytext"/>
              <w:spacing w:line="22" w:lineRule="atLeast"/>
              <w:jc w:val="center"/>
              <w:cnfStyle w:val="000000000000" w:firstRow="0" w:lastRow="0" w:firstColumn="0" w:lastColumn="0" w:oddVBand="0" w:evenVBand="0" w:oddHBand="0" w:evenHBand="0" w:firstRowFirstColumn="0" w:firstRowLastColumn="0" w:lastRowFirstColumn="0" w:lastRowLastColumn="0"/>
              <w:rPr>
                <w:rFonts w:cs="Arial"/>
                <w:szCs w:val="18"/>
                <w:lang w:val="en-GB"/>
              </w:rPr>
            </w:pPr>
            <w:r w:rsidRPr="006B3B1B">
              <w:rPr>
                <w:rFonts w:cs="Arial"/>
                <w:szCs w:val="18"/>
                <w:lang w:val="en-GB"/>
              </w:rPr>
              <w:t>17</w:t>
            </w:r>
          </w:p>
        </w:tc>
        <w:tc>
          <w:tcPr>
            <w:tcW w:w="2410" w:type="dxa"/>
            <w:tcBorders>
              <w:top w:val="nil"/>
              <w:bottom w:val="nil"/>
            </w:tcBorders>
          </w:tcPr>
          <w:p w14:paraId="002013BD" w14:textId="264E1518" w:rsidR="006B3B1B" w:rsidRPr="006B3B1B" w:rsidRDefault="006B3B1B" w:rsidP="0039058B">
            <w:pPr>
              <w:pStyle w:val="CETBodytext"/>
              <w:spacing w:line="22" w:lineRule="atLeast"/>
              <w:jc w:val="center"/>
              <w:cnfStyle w:val="000000000000" w:firstRow="0" w:lastRow="0" w:firstColumn="0" w:lastColumn="0" w:oddVBand="0" w:evenVBand="0" w:oddHBand="0" w:evenHBand="0" w:firstRowFirstColumn="0" w:firstRowLastColumn="0" w:lastRowFirstColumn="0" w:lastRowLastColumn="0"/>
              <w:rPr>
                <w:rFonts w:cs="Arial"/>
                <w:szCs w:val="18"/>
                <w:lang w:val="en-GB"/>
              </w:rPr>
            </w:pPr>
            <w:r w:rsidRPr="006B3B1B">
              <w:rPr>
                <w:rFonts w:cs="Arial"/>
                <w:szCs w:val="18"/>
                <w:lang w:val="en-GB"/>
              </w:rPr>
              <w:t>63</w:t>
            </w:r>
          </w:p>
        </w:tc>
      </w:tr>
      <w:tr w:rsidR="006B3B1B" w14:paraId="64E6F259" w14:textId="77777777" w:rsidTr="006B3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Borders>
              <w:top w:val="nil"/>
            </w:tcBorders>
          </w:tcPr>
          <w:p w14:paraId="024B8DE4" w14:textId="74566269" w:rsidR="006B3B1B" w:rsidRPr="006B3B1B" w:rsidRDefault="006B3B1B" w:rsidP="0039058B">
            <w:pPr>
              <w:pStyle w:val="CETBodytext"/>
              <w:spacing w:line="22" w:lineRule="atLeast"/>
              <w:jc w:val="center"/>
              <w:rPr>
                <w:rFonts w:cs="Arial"/>
                <w:b w:val="0"/>
                <w:szCs w:val="18"/>
                <w:lang w:val="en-GB"/>
              </w:rPr>
            </w:pPr>
            <w:r w:rsidRPr="006B3B1B">
              <w:rPr>
                <w:rFonts w:cs="Arial"/>
                <w:b w:val="0"/>
                <w:szCs w:val="18"/>
                <w:lang w:val="en-GB"/>
              </w:rPr>
              <w:t>70</w:t>
            </w:r>
          </w:p>
        </w:tc>
        <w:tc>
          <w:tcPr>
            <w:tcW w:w="2178" w:type="dxa"/>
            <w:tcBorders>
              <w:top w:val="nil"/>
            </w:tcBorders>
          </w:tcPr>
          <w:p w14:paraId="278F1309" w14:textId="490B445F" w:rsidR="006B3B1B" w:rsidRPr="006B3B1B" w:rsidRDefault="006B3B1B" w:rsidP="0039058B">
            <w:pPr>
              <w:pStyle w:val="CETBodytext"/>
              <w:spacing w:line="22" w:lineRule="atLeast"/>
              <w:jc w:val="center"/>
              <w:cnfStyle w:val="000000100000" w:firstRow="0" w:lastRow="0" w:firstColumn="0" w:lastColumn="0" w:oddVBand="0" w:evenVBand="0" w:oddHBand="1" w:evenHBand="0" w:firstRowFirstColumn="0" w:firstRowLastColumn="0" w:lastRowFirstColumn="0" w:lastRowLastColumn="0"/>
              <w:rPr>
                <w:rFonts w:cs="Arial"/>
                <w:szCs w:val="18"/>
                <w:lang w:val="en-GB"/>
              </w:rPr>
            </w:pPr>
            <w:r w:rsidRPr="006B3B1B">
              <w:rPr>
                <w:rFonts w:cs="Arial"/>
                <w:szCs w:val="18"/>
                <w:lang w:val="en-GB"/>
              </w:rPr>
              <w:t>18</w:t>
            </w:r>
          </w:p>
        </w:tc>
        <w:tc>
          <w:tcPr>
            <w:tcW w:w="2410" w:type="dxa"/>
            <w:tcBorders>
              <w:top w:val="nil"/>
            </w:tcBorders>
          </w:tcPr>
          <w:p w14:paraId="36DA0462" w14:textId="7335F8C1" w:rsidR="006B3B1B" w:rsidRPr="006B3B1B" w:rsidRDefault="006B3B1B" w:rsidP="0039058B">
            <w:pPr>
              <w:pStyle w:val="CETBodytext"/>
              <w:spacing w:line="22" w:lineRule="atLeast"/>
              <w:jc w:val="center"/>
              <w:cnfStyle w:val="000000100000" w:firstRow="0" w:lastRow="0" w:firstColumn="0" w:lastColumn="0" w:oddVBand="0" w:evenVBand="0" w:oddHBand="1" w:evenHBand="0" w:firstRowFirstColumn="0" w:firstRowLastColumn="0" w:lastRowFirstColumn="0" w:lastRowLastColumn="0"/>
              <w:rPr>
                <w:rFonts w:cs="Arial"/>
                <w:szCs w:val="18"/>
                <w:lang w:val="en-GB"/>
              </w:rPr>
            </w:pPr>
            <w:r w:rsidRPr="006B3B1B">
              <w:rPr>
                <w:rFonts w:cs="Arial"/>
                <w:szCs w:val="18"/>
                <w:lang w:val="en-GB"/>
              </w:rPr>
              <w:t>73.5</w:t>
            </w:r>
          </w:p>
        </w:tc>
      </w:tr>
    </w:tbl>
    <w:p w14:paraId="4D02FEE4" w14:textId="2D23E9D4" w:rsidR="006B3B1B" w:rsidRDefault="006B3B1B" w:rsidP="0039058B">
      <w:pPr>
        <w:pStyle w:val="CETBodytext"/>
        <w:spacing w:line="22" w:lineRule="atLeast"/>
        <w:rPr>
          <w:rFonts w:cs="Arial"/>
          <w:szCs w:val="18"/>
          <w:lang w:val="en-GB"/>
        </w:rPr>
      </w:pPr>
    </w:p>
    <w:p w14:paraId="6675565E" w14:textId="6FDF5CC7" w:rsidR="008D5154" w:rsidRDefault="008D5154" w:rsidP="0039058B">
      <w:pPr>
        <w:pStyle w:val="CETBodytext"/>
        <w:spacing w:line="22" w:lineRule="atLeast"/>
        <w:rPr>
          <w:rFonts w:cs="Arial"/>
          <w:szCs w:val="18"/>
          <w:lang w:val="en-GB"/>
        </w:rPr>
      </w:pPr>
    </w:p>
    <w:p w14:paraId="10341B69" w14:textId="0EBC8B82" w:rsidR="00ED4077" w:rsidRPr="00ED4077" w:rsidRDefault="00912C2A" w:rsidP="0039058B">
      <w:pPr>
        <w:pStyle w:val="CETBodytext"/>
        <w:spacing w:line="22" w:lineRule="atLeast"/>
        <w:rPr>
          <w:rFonts w:cs="Arial"/>
          <w:i/>
          <w:szCs w:val="18"/>
          <w:lang w:val="en-GB"/>
        </w:rPr>
      </w:pPr>
      <w:r>
        <w:rPr>
          <w:rFonts w:cs="Arial"/>
          <w:szCs w:val="18"/>
          <w:lang w:val="en-GB"/>
        </w:rPr>
        <w:lastRenderedPageBreak/>
        <w:t xml:space="preserve"> </w:t>
      </w:r>
      <w:r w:rsidR="009C18A2">
        <w:rPr>
          <w:rFonts w:cs="Arial"/>
          <w:szCs w:val="18"/>
          <w:lang w:val="en-GB"/>
        </w:rPr>
        <w:t xml:space="preserve"> </w:t>
      </w:r>
      <w:r w:rsidR="00ED4077" w:rsidRPr="00ED4077">
        <w:rPr>
          <w:rFonts w:cs="Arial"/>
          <w:i/>
          <w:szCs w:val="18"/>
          <w:lang w:val="en-GB"/>
        </w:rPr>
        <w:t>Table 4: Biomethane release from safety valve (first stage)</w:t>
      </w:r>
    </w:p>
    <w:tbl>
      <w:tblPr>
        <w:tblStyle w:val="Grigliatabella"/>
        <w:tblW w:w="8931" w:type="dxa"/>
        <w:tblLook w:val="04A0" w:firstRow="1" w:lastRow="0" w:firstColumn="1" w:lastColumn="0" w:noHBand="0" w:noVBand="1"/>
      </w:tblPr>
      <w:tblGrid>
        <w:gridCol w:w="1203"/>
        <w:gridCol w:w="895"/>
        <w:gridCol w:w="858"/>
        <w:gridCol w:w="588"/>
        <w:gridCol w:w="173"/>
        <w:gridCol w:w="1000"/>
        <w:gridCol w:w="861"/>
        <w:gridCol w:w="772"/>
        <w:gridCol w:w="791"/>
        <w:gridCol w:w="777"/>
        <w:gridCol w:w="1013"/>
      </w:tblGrid>
      <w:tr w:rsidR="00ED4077" w14:paraId="35066BD8" w14:textId="77777777" w:rsidTr="00C130DD">
        <w:tc>
          <w:tcPr>
            <w:tcW w:w="1203" w:type="dxa"/>
            <w:tcBorders>
              <w:top w:val="single" w:sz="4" w:space="0" w:color="auto"/>
              <w:left w:val="nil"/>
              <w:bottom w:val="single" w:sz="4" w:space="0" w:color="auto"/>
              <w:right w:val="nil"/>
            </w:tcBorders>
          </w:tcPr>
          <w:p w14:paraId="3E416E20" w14:textId="439F3037" w:rsidR="00ED4077" w:rsidRDefault="00ED4077" w:rsidP="0039058B">
            <w:pPr>
              <w:pStyle w:val="CETBodytext"/>
              <w:spacing w:line="22" w:lineRule="atLeast"/>
              <w:jc w:val="center"/>
            </w:pPr>
            <w:r>
              <w:t>p</w:t>
            </w:r>
            <w:r w:rsidRPr="00DE0668">
              <w:rPr>
                <w:vertAlign w:val="subscript"/>
              </w:rPr>
              <w:t>out</w:t>
            </w:r>
            <w:r>
              <w:t xml:space="preserve"> (MPa)</w:t>
            </w:r>
          </w:p>
        </w:tc>
        <w:tc>
          <w:tcPr>
            <w:tcW w:w="895" w:type="dxa"/>
            <w:tcBorders>
              <w:top w:val="single" w:sz="4" w:space="0" w:color="auto"/>
              <w:left w:val="nil"/>
              <w:bottom w:val="single" w:sz="4" w:space="0" w:color="auto"/>
              <w:right w:val="nil"/>
            </w:tcBorders>
          </w:tcPr>
          <w:p w14:paraId="6F2A97CA" w14:textId="77777777" w:rsidR="00ED4077" w:rsidRDefault="00ED4077" w:rsidP="0039058B">
            <w:pPr>
              <w:pStyle w:val="CETBodytext"/>
              <w:spacing w:line="22" w:lineRule="atLeast"/>
              <w:jc w:val="center"/>
            </w:pPr>
            <w:r>
              <w:t>T</w:t>
            </w:r>
            <w:r w:rsidRPr="00DE0668">
              <w:rPr>
                <w:vertAlign w:val="subscript"/>
              </w:rPr>
              <w:t>in</w:t>
            </w:r>
            <w:r>
              <w:t xml:space="preserve"> (K)</w:t>
            </w:r>
          </w:p>
        </w:tc>
        <w:tc>
          <w:tcPr>
            <w:tcW w:w="858" w:type="dxa"/>
            <w:tcBorders>
              <w:top w:val="single" w:sz="4" w:space="0" w:color="auto"/>
              <w:left w:val="nil"/>
              <w:bottom w:val="single" w:sz="4" w:space="0" w:color="auto"/>
              <w:right w:val="nil"/>
            </w:tcBorders>
          </w:tcPr>
          <w:p w14:paraId="500E1C3D" w14:textId="77777777" w:rsidR="00ED4077" w:rsidRDefault="00ED4077" w:rsidP="0039058B">
            <w:pPr>
              <w:pStyle w:val="CETBodytext"/>
              <w:spacing w:line="22" w:lineRule="atLeast"/>
              <w:jc w:val="center"/>
            </w:pPr>
            <w:r>
              <w:t>T</w:t>
            </w:r>
            <w:r w:rsidRPr="00DE0668">
              <w:rPr>
                <w:vertAlign w:val="subscript"/>
              </w:rPr>
              <w:t>out</w:t>
            </w:r>
            <w:r>
              <w:t xml:space="preserve"> (K)</w:t>
            </w:r>
          </w:p>
        </w:tc>
        <w:tc>
          <w:tcPr>
            <w:tcW w:w="588" w:type="dxa"/>
            <w:tcBorders>
              <w:top w:val="single" w:sz="4" w:space="0" w:color="auto"/>
              <w:left w:val="nil"/>
              <w:bottom w:val="single" w:sz="4" w:space="0" w:color="auto"/>
              <w:right w:val="nil"/>
            </w:tcBorders>
          </w:tcPr>
          <w:p w14:paraId="485E33BD" w14:textId="5A10D774" w:rsidR="00ED4077" w:rsidRDefault="00C130DD" w:rsidP="0039058B">
            <w:pPr>
              <w:pStyle w:val="CETBodytext"/>
              <w:spacing w:line="22" w:lineRule="atLeast"/>
              <w:jc w:val="center"/>
            </w:pPr>
            <w:r>
              <w:rPr>
                <w:rFonts w:cs="Arial"/>
              </w:rPr>
              <w:t xml:space="preserve">  </w:t>
            </w:r>
            <w:r w:rsidR="00ED4077">
              <w:rPr>
                <w:rFonts w:cs="Arial"/>
              </w:rPr>
              <w:t>γ</w:t>
            </w:r>
          </w:p>
        </w:tc>
        <w:tc>
          <w:tcPr>
            <w:tcW w:w="1173" w:type="dxa"/>
            <w:gridSpan w:val="2"/>
            <w:tcBorders>
              <w:top w:val="single" w:sz="4" w:space="0" w:color="auto"/>
              <w:left w:val="nil"/>
              <w:bottom w:val="single" w:sz="4" w:space="0" w:color="auto"/>
              <w:right w:val="nil"/>
            </w:tcBorders>
          </w:tcPr>
          <w:p w14:paraId="60F3C2DC" w14:textId="56B4F41D" w:rsidR="00ED4077" w:rsidRDefault="00ED4077" w:rsidP="0039058B">
            <w:pPr>
              <w:pStyle w:val="CETBodytext"/>
              <w:spacing w:line="22" w:lineRule="atLeast"/>
              <w:jc w:val="center"/>
            </w:pPr>
            <w:r>
              <w:t>p</w:t>
            </w:r>
            <w:r w:rsidRPr="00DE0668">
              <w:rPr>
                <w:vertAlign w:val="subscript"/>
              </w:rPr>
              <w:t>son</w:t>
            </w:r>
            <w:r w:rsidR="00C130DD">
              <w:rPr>
                <w:vertAlign w:val="subscript"/>
              </w:rPr>
              <w:t xml:space="preserve"> </w:t>
            </w:r>
            <w:r>
              <w:t>(</w:t>
            </w:r>
            <w:r w:rsidR="00C130DD">
              <w:t>M</w:t>
            </w:r>
            <w:r>
              <w:t>Pa)</w:t>
            </w:r>
          </w:p>
        </w:tc>
        <w:tc>
          <w:tcPr>
            <w:tcW w:w="861" w:type="dxa"/>
            <w:tcBorders>
              <w:top w:val="single" w:sz="4" w:space="0" w:color="auto"/>
              <w:left w:val="nil"/>
              <w:bottom w:val="single" w:sz="4" w:space="0" w:color="auto"/>
              <w:right w:val="nil"/>
            </w:tcBorders>
          </w:tcPr>
          <w:p w14:paraId="02874CAA" w14:textId="77777777" w:rsidR="00ED4077" w:rsidRDefault="00ED4077" w:rsidP="0039058B">
            <w:pPr>
              <w:pStyle w:val="CETBodytext"/>
              <w:spacing w:line="22" w:lineRule="atLeast"/>
              <w:jc w:val="center"/>
            </w:pPr>
            <w:r>
              <w:t>Flow</w:t>
            </w:r>
          </w:p>
        </w:tc>
        <w:tc>
          <w:tcPr>
            <w:tcW w:w="772" w:type="dxa"/>
            <w:tcBorders>
              <w:top w:val="single" w:sz="4" w:space="0" w:color="auto"/>
              <w:left w:val="nil"/>
              <w:bottom w:val="single" w:sz="4" w:space="0" w:color="auto"/>
              <w:right w:val="nil"/>
            </w:tcBorders>
          </w:tcPr>
          <w:p w14:paraId="1B94C7F6" w14:textId="77777777" w:rsidR="00ED4077" w:rsidRDefault="00ED4077" w:rsidP="0039058B">
            <w:pPr>
              <w:pStyle w:val="CETBodytext"/>
              <w:spacing w:line="22" w:lineRule="atLeast"/>
              <w:jc w:val="center"/>
            </w:pPr>
            <w:r>
              <w:t>T</w:t>
            </w:r>
            <w:r w:rsidRPr="00DE0668">
              <w:rPr>
                <w:vertAlign w:val="subscript"/>
              </w:rPr>
              <w:t>r</w:t>
            </w:r>
          </w:p>
        </w:tc>
        <w:tc>
          <w:tcPr>
            <w:tcW w:w="791" w:type="dxa"/>
            <w:tcBorders>
              <w:top w:val="single" w:sz="4" w:space="0" w:color="auto"/>
              <w:left w:val="nil"/>
              <w:bottom w:val="single" w:sz="4" w:space="0" w:color="auto"/>
              <w:right w:val="nil"/>
            </w:tcBorders>
          </w:tcPr>
          <w:p w14:paraId="35C7F6AC" w14:textId="77777777" w:rsidR="00ED4077" w:rsidRDefault="00ED4077" w:rsidP="0039058B">
            <w:pPr>
              <w:pStyle w:val="CETBodytext"/>
              <w:spacing w:line="22" w:lineRule="atLeast"/>
              <w:jc w:val="center"/>
            </w:pPr>
            <w:r>
              <w:t>p</w:t>
            </w:r>
            <w:r w:rsidRPr="00DE0668">
              <w:rPr>
                <w:vertAlign w:val="subscript"/>
              </w:rPr>
              <w:t>r</w:t>
            </w:r>
          </w:p>
        </w:tc>
        <w:tc>
          <w:tcPr>
            <w:tcW w:w="777" w:type="dxa"/>
            <w:tcBorders>
              <w:top w:val="single" w:sz="4" w:space="0" w:color="auto"/>
              <w:left w:val="nil"/>
              <w:bottom w:val="single" w:sz="4" w:space="0" w:color="auto"/>
              <w:right w:val="nil"/>
            </w:tcBorders>
          </w:tcPr>
          <w:p w14:paraId="534EE7D8" w14:textId="77777777" w:rsidR="00ED4077" w:rsidRDefault="00ED4077" w:rsidP="0039058B">
            <w:pPr>
              <w:pStyle w:val="CETBodytext"/>
              <w:spacing w:line="22" w:lineRule="atLeast"/>
              <w:jc w:val="center"/>
            </w:pPr>
            <w:r>
              <w:t>Z</w:t>
            </w:r>
          </w:p>
        </w:tc>
        <w:tc>
          <w:tcPr>
            <w:tcW w:w="1013" w:type="dxa"/>
            <w:tcBorders>
              <w:top w:val="single" w:sz="4" w:space="0" w:color="auto"/>
              <w:left w:val="nil"/>
              <w:bottom w:val="single" w:sz="4" w:space="0" w:color="auto"/>
              <w:right w:val="nil"/>
            </w:tcBorders>
          </w:tcPr>
          <w:p w14:paraId="15212EA0" w14:textId="77777777" w:rsidR="00ED4077" w:rsidRDefault="00ED4077" w:rsidP="0039058B">
            <w:pPr>
              <w:pStyle w:val="CETBodytext"/>
              <w:spacing w:line="22" w:lineRule="atLeast"/>
              <w:jc w:val="center"/>
            </w:pPr>
            <w:r>
              <w:t>M</w:t>
            </w:r>
            <w:r w:rsidRPr="00DE0668">
              <w:rPr>
                <w:vertAlign w:val="subscript"/>
              </w:rPr>
              <w:t>1</w:t>
            </w:r>
            <w:r>
              <w:t xml:space="preserve"> (kg/s)</w:t>
            </w:r>
          </w:p>
        </w:tc>
      </w:tr>
      <w:tr w:rsidR="00ED4077" w:rsidRPr="00350595" w14:paraId="40DA7782" w14:textId="77777777" w:rsidTr="00C130DD">
        <w:tc>
          <w:tcPr>
            <w:tcW w:w="1203" w:type="dxa"/>
            <w:tcBorders>
              <w:top w:val="single" w:sz="4" w:space="0" w:color="auto"/>
              <w:left w:val="nil"/>
              <w:bottom w:val="nil"/>
              <w:right w:val="nil"/>
            </w:tcBorders>
          </w:tcPr>
          <w:p w14:paraId="52640E64" w14:textId="44196F8A" w:rsidR="00ED4077" w:rsidRDefault="00ED4077" w:rsidP="0039058B">
            <w:pPr>
              <w:pStyle w:val="CETBodytext"/>
              <w:spacing w:line="22" w:lineRule="atLeast"/>
              <w:jc w:val="center"/>
            </w:pPr>
            <w:r>
              <w:t>1.6</w:t>
            </w:r>
          </w:p>
        </w:tc>
        <w:tc>
          <w:tcPr>
            <w:tcW w:w="895" w:type="dxa"/>
            <w:tcBorders>
              <w:top w:val="single" w:sz="4" w:space="0" w:color="auto"/>
              <w:left w:val="nil"/>
              <w:bottom w:val="nil"/>
              <w:right w:val="nil"/>
            </w:tcBorders>
          </w:tcPr>
          <w:p w14:paraId="6388F2C2" w14:textId="77777777" w:rsidR="00ED4077" w:rsidRDefault="00ED4077" w:rsidP="0039058B">
            <w:pPr>
              <w:pStyle w:val="CETBodytext"/>
              <w:spacing w:line="22" w:lineRule="atLeast"/>
              <w:jc w:val="center"/>
            </w:pPr>
            <w:r w:rsidRPr="007E2F66">
              <w:t>291.15</w:t>
            </w:r>
          </w:p>
        </w:tc>
        <w:tc>
          <w:tcPr>
            <w:tcW w:w="858" w:type="dxa"/>
            <w:tcBorders>
              <w:top w:val="single" w:sz="4" w:space="0" w:color="auto"/>
              <w:left w:val="nil"/>
              <w:bottom w:val="nil"/>
              <w:right w:val="nil"/>
            </w:tcBorders>
          </w:tcPr>
          <w:p w14:paraId="17D5F3EA" w14:textId="77777777" w:rsidR="00ED4077" w:rsidRDefault="00ED4077" w:rsidP="0039058B">
            <w:pPr>
              <w:pStyle w:val="CETBodytext"/>
              <w:spacing w:line="22" w:lineRule="atLeast"/>
              <w:jc w:val="center"/>
            </w:pPr>
            <w:r>
              <w:t>455.7</w:t>
            </w:r>
          </w:p>
        </w:tc>
        <w:tc>
          <w:tcPr>
            <w:tcW w:w="761" w:type="dxa"/>
            <w:gridSpan w:val="2"/>
            <w:tcBorders>
              <w:top w:val="single" w:sz="4" w:space="0" w:color="auto"/>
              <w:left w:val="nil"/>
              <w:bottom w:val="nil"/>
              <w:right w:val="nil"/>
            </w:tcBorders>
          </w:tcPr>
          <w:p w14:paraId="05FB2005" w14:textId="77777777" w:rsidR="00ED4077" w:rsidRDefault="00ED4077" w:rsidP="0039058B">
            <w:pPr>
              <w:pStyle w:val="CETBodytext"/>
              <w:spacing w:line="22" w:lineRule="atLeast"/>
              <w:jc w:val="center"/>
            </w:pPr>
            <w:r>
              <w:t>1.39</w:t>
            </w:r>
          </w:p>
        </w:tc>
        <w:tc>
          <w:tcPr>
            <w:tcW w:w="1000" w:type="dxa"/>
            <w:tcBorders>
              <w:top w:val="single" w:sz="4" w:space="0" w:color="auto"/>
              <w:left w:val="nil"/>
              <w:bottom w:val="nil"/>
              <w:right w:val="nil"/>
            </w:tcBorders>
          </w:tcPr>
          <w:p w14:paraId="0E080249" w14:textId="322FA145" w:rsidR="00ED4077" w:rsidRDefault="00C130DD" w:rsidP="0039058B">
            <w:pPr>
              <w:pStyle w:val="CETBodytext"/>
              <w:spacing w:line="22" w:lineRule="atLeast"/>
              <w:jc w:val="center"/>
            </w:pPr>
            <w:r>
              <w:t>0.8</w:t>
            </w:r>
            <w:r w:rsidR="00B2222D">
              <w:t>6</w:t>
            </w:r>
          </w:p>
        </w:tc>
        <w:tc>
          <w:tcPr>
            <w:tcW w:w="861" w:type="dxa"/>
            <w:tcBorders>
              <w:top w:val="single" w:sz="4" w:space="0" w:color="auto"/>
              <w:left w:val="nil"/>
              <w:bottom w:val="nil"/>
              <w:right w:val="nil"/>
            </w:tcBorders>
          </w:tcPr>
          <w:p w14:paraId="644C7346" w14:textId="77777777" w:rsidR="00ED4077" w:rsidRDefault="00ED4077" w:rsidP="0039058B">
            <w:pPr>
              <w:pStyle w:val="CETBodytext"/>
              <w:spacing w:line="22" w:lineRule="atLeast"/>
              <w:jc w:val="center"/>
            </w:pPr>
            <w:r>
              <w:t>sonic</w:t>
            </w:r>
          </w:p>
        </w:tc>
        <w:tc>
          <w:tcPr>
            <w:tcW w:w="772" w:type="dxa"/>
            <w:tcBorders>
              <w:top w:val="single" w:sz="4" w:space="0" w:color="auto"/>
              <w:left w:val="nil"/>
              <w:bottom w:val="nil"/>
              <w:right w:val="nil"/>
            </w:tcBorders>
          </w:tcPr>
          <w:p w14:paraId="63EF2C94" w14:textId="77777777" w:rsidR="00ED4077" w:rsidRDefault="00ED4077" w:rsidP="0039058B">
            <w:pPr>
              <w:pStyle w:val="CETBodytext"/>
              <w:spacing w:line="22" w:lineRule="atLeast"/>
              <w:jc w:val="center"/>
            </w:pPr>
            <w:r>
              <w:t>2.39</w:t>
            </w:r>
          </w:p>
        </w:tc>
        <w:tc>
          <w:tcPr>
            <w:tcW w:w="791" w:type="dxa"/>
            <w:tcBorders>
              <w:top w:val="single" w:sz="4" w:space="0" w:color="auto"/>
              <w:left w:val="nil"/>
              <w:bottom w:val="nil"/>
              <w:right w:val="nil"/>
            </w:tcBorders>
          </w:tcPr>
          <w:p w14:paraId="698E1609" w14:textId="77777777" w:rsidR="00ED4077" w:rsidRDefault="00ED4077" w:rsidP="0039058B">
            <w:pPr>
              <w:pStyle w:val="CETBodytext"/>
              <w:spacing w:line="22" w:lineRule="atLeast"/>
              <w:jc w:val="center"/>
            </w:pPr>
            <w:r>
              <w:t>0.35</w:t>
            </w:r>
          </w:p>
        </w:tc>
        <w:tc>
          <w:tcPr>
            <w:tcW w:w="777" w:type="dxa"/>
            <w:tcBorders>
              <w:top w:val="single" w:sz="4" w:space="0" w:color="auto"/>
              <w:left w:val="nil"/>
              <w:bottom w:val="nil"/>
              <w:right w:val="nil"/>
            </w:tcBorders>
          </w:tcPr>
          <w:p w14:paraId="0AF0432B" w14:textId="1663C14F" w:rsidR="00ED4077" w:rsidRDefault="00ED4077" w:rsidP="0039058B">
            <w:pPr>
              <w:pStyle w:val="CETBodytext"/>
              <w:spacing w:line="22" w:lineRule="atLeast"/>
              <w:jc w:val="center"/>
            </w:pPr>
            <w:r>
              <w:t>1.0</w:t>
            </w:r>
            <w:r w:rsidR="008E6C0D">
              <w:t>1</w:t>
            </w:r>
          </w:p>
        </w:tc>
        <w:tc>
          <w:tcPr>
            <w:tcW w:w="1013" w:type="dxa"/>
            <w:tcBorders>
              <w:top w:val="single" w:sz="4" w:space="0" w:color="auto"/>
              <w:left w:val="nil"/>
              <w:bottom w:val="nil"/>
              <w:right w:val="nil"/>
            </w:tcBorders>
          </w:tcPr>
          <w:p w14:paraId="3E4D91AD" w14:textId="77777777" w:rsidR="00ED4077" w:rsidRPr="00350595" w:rsidRDefault="00ED4077" w:rsidP="0039058B">
            <w:pPr>
              <w:pStyle w:val="CETBodytext"/>
              <w:spacing w:line="22" w:lineRule="atLeast"/>
              <w:jc w:val="center"/>
              <w:rPr>
                <w:vertAlign w:val="superscript"/>
              </w:rPr>
            </w:pPr>
            <w:r>
              <w:t>8</w:t>
            </w:r>
            <w:r>
              <w:rPr>
                <w:rFonts w:cs="Arial"/>
              </w:rPr>
              <w:t>·</w:t>
            </w:r>
            <w:r>
              <w:t>10</w:t>
            </w:r>
            <w:r>
              <w:rPr>
                <w:vertAlign w:val="superscript"/>
              </w:rPr>
              <w:t>-3</w:t>
            </w:r>
          </w:p>
        </w:tc>
      </w:tr>
      <w:tr w:rsidR="00ED4077" w14:paraId="7EEF6ED6" w14:textId="77777777" w:rsidTr="00C130DD">
        <w:tc>
          <w:tcPr>
            <w:tcW w:w="1203" w:type="dxa"/>
            <w:tcBorders>
              <w:top w:val="nil"/>
              <w:left w:val="nil"/>
              <w:bottom w:val="nil"/>
              <w:right w:val="nil"/>
            </w:tcBorders>
          </w:tcPr>
          <w:p w14:paraId="18279204" w14:textId="743B2517" w:rsidR="00ED4077" w:rsidRDefault="00ED4077" w:rsidP="0039058B">
            <w:pPr>
              <w:pStyle w:val="CETBodytext"/>
              <w:spacing w:line="22" w:lineRule="atLeast"/>
              <w:jc w:val="center"/>
            </w:pPr>
            <w:r>
              <w:t>1.7</w:t>
            </w:r>
          </w:p>
        </w:tc>
        <w:tc>
          <w:tcPr>
            <w:tcW w:w="895" w:type="dxa"/>
            <w:tcBorders>
              <w:top w:val="nil"/>
              <w:left w:val="nil"/>
              <w:bottom w:val="nil"/>
              <w:right w:val="nil"/>
            </w:tcBorders>
          </w:tcPr>
          <w:p w14:paraId="41196A7C" w14:textId="77777777" w:rsidR="00ED4077" w:rsidRDefault="00ED4077" w:rsidP="0039058B">
            <w:pPr>
              <w:pStyle w:val="CETBodytext"/>
              <w:spacing w:line="22" w:lineRule="atLeast"/>
              <w:jc w:val="center"/>
            </w:pPr>
            <w:r w:rsidRPr="007E2F66">
              <w:t>291.15</w:t>
            </w:r>
          </w:p>
        </w:tc>
        <w:tc>
          <w:tcPr>
            <w:tcW w:w="858" w:type="dxa"/>
            <w:tcBorders>
              <w:top w:val="nil"/>
              <w:left w:val="nil"/>
              <w:bottom w:val="nil"/>
              <w:right w:val="nil"/>
            </w:tcBorders>
          </w:tcPr>
          <w:p w14:paraId="0716F862" w14:textId="77777777" w:rsidR="00ED4077" w:rsidRDefault="00ED4077" w:rsidP="0039058B">
            <w:pPr>
              <w:pStyle w:val="CETBodytext"/>
              <w:spacing w:line="22" w:lineRule="atLeast"/>
              <w:jc w:val="center"/>
            </w:pPr>
            <w:r>
              <w:t>464.7</w:t>
            </w:r>
          </w:p>
        </w:tc>
        <w:tc>
          <w:tcPr>
            <w:tcW w:w="761" w:type="dxa"/>
            <w:gridSpan w:val="2"/>
            <w:tcBorders>
              <w:top w:val="nil"/>
              <w:left w:val="nil"/>
              <w:bottom w:val="nil"/>
              <w:right w:val="nil"/>
            </w:tcBorders>
          </w:tcPr>
          <w:p w14:paraId="17437935" w14:textId="77777777" w:rsidR="00ED4077" w:rsidRPr="000E4444" w:rsidRDefault="00ED4077" w:rsidP="0039058B">
            <w:pPr>
              <w:pStyle w:val="CETBodytext"/>
              <w:spacing w:line="22" w:lineRule="atLeast"/>
              <w:jc w:val="center"/>
            </w:pPr>
            <w:r w:rsidRPr="00C76F04">
              <w:t>1.39</w:t>
            </w:r>
          </w:p>
        </w:tc>
        <w:tc>
          <w:tcPr>
            <w:tcW w:w="1000" w:type="dxa"/>
            <w:tcBorders>
              <w:top w:val="nil"/>
              <w:left w:val="nil"/>
              <w:bottom w:val="nil"/>
              <w:right w:val="nil"/>
            </w:tcBorders>
          </w:tcPr>
          <w:p w14:paraId="128DA32C" w14:textId="3F221217" w:rsidR="00ED4077" w:rsidRDefault="00C130DD" w:rsidP="0039058B">
            <w:pPr>
              <w:pStyle w:val="CETBodytext"/>
              <w:spacing w:line="22" w:lineRule="atLeast"/>
              <w:jc w:val="center"/>
            </w:pPr>
            <w:r>
              <w:t>0.9</w:t>
            </w:r>
            <w:r w:rsidR="00076EAD">
              <w:t>2</w:t>
            </w:r>
          </w:p>
        </w:tc>
        <w:tc>
          <w:tcPr>
            <w:tcW w:w="861" w:type="dxa"/>
            <w:tcBorders>
              <w:top w:val="nil"/>
              <w:left w:val="nil"/>
              <w:bottom w:val="nil"/>
              <w:right w:val="nil"/>
            </w:tcBorders>
          </w:tcPr>
          <w:p w14:paraId="5EB99C4F" w14:textId="77777777" w:rsidR="00ED4077" w:rsidRDefault="00ED4077" w:rsidP="0039058B">
            <w:pPr>
              <w:pStyle w:val="CETBodytext"/>
              <w:spacing w:line="22" w:lineRule="atLeast"/>
              <w:jc w:val="center"/>
            </w:pPr>
            <w:r>
              <w:t>sonic</w:t>
            </w:r>
          </w:p>
        </w:tc>
        <w:tc>
          <w:tcPr>
            <w:tcW w:w="772" w:type="dxa"/>
            <w:tcBorders>
              <w:top w:val="nil"/>
              <w:left w:val="nil"/>
              <w:bottom w:val="nil"/>
              <w:right w:val="nil"/>
            </w:tcBorders>
          </w:tcPr>
          <w:p w14:paraId="11AE6DED" w14:textId="77777777" w:rsidR="00ED4077" w:rsidRDefault="00ED4077" w:rsidP="0039058B">
            <w:pPr>
              <w:pStyle w:val="CETBodytext"/>
              <w:spacing w:line="22" w:lineRule="atLeast"/>
              <w:jc w:val="center"/>
            </w:pPr>
            <w:r>
              <w:t>2.44</w:t>
            </w:r>
          </w:p>
        </w:tc>
        <w:tc>
          <w:tcPr>
            <w:tcW w:w="791" w:type="dxa"/>
            <w:tcBorders>
              <w:top w:val="nil"/>
              <w:left w:val="nil"/>
              <w:bottom w:val="nil"/>
              <w:right w:val="nil"/>
            </w:tcBorders>
          </w:tcPr>
          <w:p w14:paraId="6BBBCDCC" w14:textId="77777777" w:rsidR="00ED4077" w:rsidRDefault="00ED4077" w:rsidP="0039058B">
            <w:pPr>
              <w:pStyle w:val="CETBodytext"/>
              <w:spacing w:line="22" w:lineRule="atLeast"/>
              <w:jc w:val="center"/>
            </w:pPr>
            <w:r>
              <w:t>0.37</w:t>
            </w:r>
          </w:p>
        </w:tc>
        <w:tc>
          <w:tcPr>
            <w:tcW w:w="777" w:type="dxa"/>
            <w:tcBorders>
              <w:top w:val="nil"/>
              <w:left w:val="nil"/>
              <w:bottom w:val="nil"/>
              <w:right w:val="nil"/>
            </w:tcBorders>
          </w:tcPr>
          <w:p w14:paraId="1ED30DDD" w14:textId="77777777" w:rsidR="00ED4077" w:rsidRDefault="00ED4077" w:rsidP="0039058B">
            <w:pPr>
              <w:pStyle w:val="CETBodytext"/>
              <w:spacing w:line="22" w:lineRule="atLeast"/>
              <w:jc w:val="center"/>
            </w:pPr>
            <w:r>
              <w:t>1.01</w:t>
            </w:r>
          </w:p>
        </w:tc>
        <w:tc>
          <w:tcPr>
            <w:tcW w:w="1013" w:type="dxa"/>
            <w:tcBorders>
              <w:top w:val="nil"/>
              <w:left w:val="nil"/>
              <w:bottom w:val="nil"/>
              <w:right w:val="nil"/>
            </w:tcBorders>
          </w:tcPr>
          <w:p w14:paraId="21C7896A" w14:textId="77777777" w:rsidR="00ED4077" w:rsidRDefault="00ED4077" w:rsidP="0039058B">
            <w:pPr>
              <w:pStyle w:val="CETBodytext"/>
              <w:spacing w:line="22" w:lineRule="atLeast"/>
              <w:jc w:val="center"/>
            </w:pPr>
            <w:r>
              <w:t>8.4</w:t>
            </w:r>
            <w:r>
              <w:rPr>
                <w:rFonts w:cs="Arial"/>
              </w:rPr>
              <w:t>·</w:t>
            </w:r>
            <w:r>
              <w:t>10</w:t>
            </w:r>
            <w:r>
              <w:rPr>
                <w:vertAlign w:val="superscript"/>
              </w:rPr>
              <w:t>-3</w:t>
            </w:r>
          </w:p>
        </w:tc>
      </w:tr>
      <w:tr w:rsidR="00ED4077" w14:paraId="79C0D279" w14:textId="77777777" w:rsidTr="00C130DD">
        <w:tc>
          <w:tcPr>
            <w:tcW w:w="1203" w:type="dxa"/>
            <w:tcBorders>
              <w:top w:val="nil"/>
              <w:left w:val="nil"/>
              <w:bottom w:val="single" w:sz="4" w:space="0" w:color="auto"/>
              <w:right w:val="nil"/>
            </w:tcBorders>
          </w:tcPr>
          <w:p w14:paraId="427C04F3" w14:textId="685EB9A3" w:rsidR="00ED4077" w:rsidRDefault="00ED4077" w:rsidP="0039058B">
            <w:pPr>
              <w:pStyle w:val="CETBodytext"/>
              <w:spacing w:line="22" w:lineRule="atLeast"/>
              <w:jc w:val="center"/>
            </w:pPr>
            <w:r>
              <w:t>1.8</w:t>
            </w:r>
          </w:p>
        </w:tc>
        <w:tc>
          <w:tcPr>
            <w:tcW w:w="895" w:type="dxa"/>
            <w:tcBorders>
              <w:top w:val="nil"/>
              <w:left w:val="nil"/>
              <w:bottom w:val="single" w:sz="4" w:space="0" w:color="auto"/>
              <w:right w:val="nil"/>
            </w:tcBorders>
          </w:tcPr>
          <w:p w14:paraId="2AD6A5D6" w14:textId="77777777" w:rsidR="00ED4077" w:rsidRDefault="00ED4077" w:rsidP="0039058B">
            <w:pPr>
              <w:pStyle w:val="CETBodytext"/>
              <w:spacing w:line="22" w:lineRule="atLeast"/>
              <w:jc w:val="center"/>
            </w:pPr>
            <w:r w:rsidRPr="007E2F66">
              <w:t>291.15</w:t>
            </w:r>
          </w:p>
        </w:tc>
        <w:tc>
          <w:tcPr>
            <w:tcW w:w="858" w:type="dxa"/>
            <w:tcBorders>
              <w:top w:val="nil"/>
              <w:left w:val="nil"/>
              <w:bottom w:val="single" w:sz="4" w:space="0" w:color="auto"/>
              <w:right w:val="nil"/>
            </w:tcBorders>
          </w:tcPr>
          <w:p w14:paraId="07A4C821" w14:textId="77777777" w:rsidR="00ED4077" w:rsidRDefault="00ED4077" w:rsidP="0039058B">
            <w:pPr>
              <w:pStyle w:val="CETBodytext"/>
              <w:spacing w:line="22" w:lineRule="atLeast"/>
              <w:jc w:val="center"/>
            </w:pPr>
            <w:r>
              <w:t>473.3</w:t>
            </w:r>
          </w:p>
        </w:tc>
        <w:tc>
          <w:tcPr>
            <w:tcW w:w="761" w:type="dxa"/>
            <w:gridSpan w:val="2"/>
            <w:tcBorders>
              <w:top w:val="nil"/>
              <w:left w:val="nil"/>
              <w:bottom w:val="single" w:sz="4" w:space="0" w:color="auto"/>
              <w:right w:val="nil"/>
            </w:tcBorders>
          </w:tcPr>
          <w:p w14:paraId="579E551B" w14:textId="77777777" w:rsidR="00ED4077" w:rsidRPr="000E4444" w:rsidRDefault="00ED4077" w:rsidP="0039058B">
            <w:pPr>
              <w:pStyle w:val="CETBodytext"/>
              <w:spacing w:line="22" w:lineRule="atLeast"/>
              <w:jc w:val="center"/>
            </w:pPr>
            <w:r w:rsidRPr="00C76F04">
              <w:t>1.39</w:t>
            </w:r>
          </w:p>
        </w:tc>
        <w:tc>
          <w:tcPr>
            <w:tcW w:w="1000" w:type="dxa"/>
            <w:tcBorders>
              <w:top w:val="nil"/>
              <w:left w:val="nil"/>
              <w:bottom w:val="single" w:sz="4" w:space="0" w:color="auto"/>
              <w:right w:val="nil"/>
            </w:tcBorders>
          </w:tcPr>
          <w:p w14:paraId="7033D2B5" w14:textId="2AC9E657" w:rsidR="00ED4077" w:rsidRDefault="00C130DD" w:rsidP="0039058B">
            <w:pPr>
              <w:pStyle w:val="CETBodytext"/>
              <w:spacing w:line="22" w:lineRule="atLeast"/>
              <w:jc w:val="center"/>
            </w:pPr>
            <w:r>
              <w:t>0.9</w:t>
            </w:r>
            <w:r w:rsidR="008E6C0D">
              <w:t>7</w:t>
            </w:r>
          </w:p>
        </w:tc>
        <w:tc>
          <w:tcPr>
            <w:tcW w:w="861" w:type="dxa"/>
            <w:tcBorders>
              <w:top w:val="nil"/>
              <w:left w:val="nil"/>
              <w:bottom w:val="single" w:sz="4" w:space="0" w:color="auto"/>
              <w:right w:val="nil"/>
            </w:tcBorders>
          </w:tcPr>
          <w:p w14:paraId="0F276B29" w14:textId="77777777" w:rsidR="00ED4077" w:rsidRDefault="00ED4077" w:rsidP="0039058B">
            <w:pPr>
              <w:pStyle w:val="CETBodytext"/>
              <w:spacing w:line="22" w:lineRule="atLeast"/>
              <w:jc w:val="center"/>
            </w:pPr>
            <w:r>
              <w:t>sonic</w:t>
            </w:r>
          </w:p>
        </w:tc>
        <w:tc>
          <w:tcPr>
            <w:tcW w:w="772" w:type="dxa"/>
            <w:tcBorders>
              <w:top w:val="nil"/>
              <w:left w:val="nil"/>
              <w:bottom w:val="single" w:sz="4" w:space="0" w:color="auto"/>
              <w:right w:val="nil"/>
            </w:tcBorders>
          </w:tcPr>
          <w:p w14:paraId="7646ABAE" w14:textId="77777777" w:rsidR="00ED4077" w:rsidRDefault="00ED4077" w:rsidP="0039058B">
            <w:pPr>
              <w:pStyle w:val="CETBodytext"/>
              <w:spacing w:line="22" w:lineRule="atLeast"/>
              <w:jc w:val="center"/>
            </w:pPr>
            <w:r>
              <w:t>2.48</w:t>
            </w:r>
          </w:p>
        </w:tc>
        <w:tc>
          <w:tcPr>
            <w:tcW w:w="791" w:type="dxa"/>
            <w:tcBorders>
              <w:top w:val="nil"/>
              <w:left w:val="nil"/>
              <w:bottom w:val="single" w:sz="4" w:space="0" w:color="auto"/>
              <w:right w:val="nil"/>
            </w:tcBorders>
          </w:tcPr>
          <w:p w14:paraId="10351D5D" w14:textId="77777777" w:rsidR="00ED4077" w:rsidRDefault="00ED4077" w:rsidP="0039058B">
            <w:pPr>
              <w:pStyle w:val="CETBodytext"/>
              <w:spacing w:line="22" w:lineRule="atLeast"/>
              <w:jc w:val="center"/>
            </w:pPr>
            <w:r>
              <w:t>0.39</w:t>
            </w:r>
          </w:p>
        </w:tc>
        <w:tc>
          <w:tcPr>
            <w:tcW w:w="777" w:type="dxa"/>
            <w:tcBorders>
              <w:top w:val="nil"/>
              <w:left w:val="nil"/>
              <w:bottom w:val="single" w:sz="4" w:space="0" w:color="auto"/>
              <w:right w:val="nil"/>
            </w:tcBorders>
          </w:tcPr>
          <w:p w14:paraId="60B422AB" w14:textId="4E073B2C" w:rsidR="00ED4077" w:rsidRDefault="00ED4077" w:rsidP="0039058B">
            <w:pPr>
              <w:pStyle w:val="CETBodytext"/>
              <w:spacing w:line="22" w:lineRule="atLeast"/>
              <w:jc w:val="center"/>
            </w:pPr>
            <w:r>
              <w:t>1.0</w:t>
            </w:r>
            <w:r w:rsidR="008E6C0D">
              <w:t>2</w:t>
            </w:r>
          </w:p>
        </w:tc>
        <w:tc>
          <w:tcPr>
            <w:tcW w:w="1013" w:type="dxa"/>
            <w:tcBorders>
              <w:top w:val="nil"/>
              <w:left w:val="nil"/>
              <w:bottom w:val="single" w:sz="4" w:space="0" w:color="auto"/>
              <w:right w:val="nil"/>
            </w:tcBorders>
          </w:tcPr>
          <w:p w14:paraId="79A2E890" w14:textId="77777777" w:rsidR="00ED4077" w:rsidRDefault="00ED4077" w:rsidP="0039058B">
            <w:pPr>
              <w:pStyle w:val="CETBodytext"/>
              <w:spacing w:line="22" w:lineRule="atLeast"/>
              <w:jc w:val="center"/>
            </w:pPr>
            <w:r>
              <w:t>0.01</w:t>
            </w:r>
          </w:p>
        </w:tc>
      </w:tr>
    </w:tbl>
    <w:p w14:paraId="55EC0EB1" w14:textId="30BA34F1" w:rsidR="00FC586F" w:rsidRDefault="00FC586F" w:rsidP="0039058B">
      <w:pPr>
        <w:pStyle w:val="CETBodytext"/>
        <w:spacing w:line="22" w:lineRule="atLeast"/>
        <w:rPr>
          <w:rFonts w:cs="Arial"/>
          <w:i/>
          <w:szCs w:val="18"/>
          <w:lang w:val="en-GB"/>
        </w:rPr>
      </w:pPr>
    </w:p>
    <w:p w14:paraId="10D576E5" w14:textId="2B61EA4B" w:rsidR="00FC586F" w:rsidRDefault="00FC586F" w:rsidP="0039058B">
      <w:pPr>
        <w:pStyle w:val="CETBodytext"/>
        <w:spacing w:line="22" w:lineRule="atLeast"/>
        <w:rPr>
          <w:rFonts w:cs="Arial"/>
          <w:i/>
          <w:szCs w:val="18"/>
          <w:lang w:val="en-GB"/>
        </w:rPr>
      </w:pPr>
    </w:p>
    <w:p w14:paraId="6509D40F" w14:textId="2BCA741E" w:rsidR="00ED4077" w:rsidRPr="00ED4077" w:rsidRDefault="00ED4077" w:rsidP="0039058B">
      <w:pPr>
        <w:pStyle w:val="CETBodytext"/>
        <w:spacing w:line="22" w:lineRule="atLeast"/>
        <w:rPr>
          <w:rFonts w:cs="Arial"/>
          <w:i/>
          <w:szCs w:val="18"/>
          <w:lang w:val="en-GB"/>
        </w:rPr>
      </w:pPr>
      <w:r w:rsidRPr="00ED4077">
        <w:rPr>
          <w:rFonts w:cs="Arial"/>
          <w:i/>
          <w:szCs w:val="18"/>
          <w:lang w:val="en-GB"/>
        </w:rPr>
        <w:t xml:space="preserve">Table </w:t>
      </w:r>
      <w:r w:rsidR="00C05A3F">
        <w:rPr>
          <w:rFonts w:cs="Arial"/>
          <w:i/>
          <w:szCs w:val="18"/>
          <w:lang w:val="en-GB"/>
        </w:rPr>
        <w:t>5</w:t>
      </w:r>
      <w:r w:rsidRPr="00ED4077">
        <w:rPr>
          <w:rFonts w:cs="Arial"/>
          <w:i/>
          <w:szCs w:val="18"/>
          <w:lang w:val="en-GB"/>
        </w:rPr>
        <w:t xml:space="preserve">: Biomethane release from </w:t>
      </w:r>
      <w:r>
        <w:rPr>
          <w:rFonts w:cs="Arial"/>
          <w:i/>
          <w:szCs w:val="18"/>
          <w:lang w:val="en-GB"/>
        </w:rPr>
        <w:t>compressor</w:t>
      </w:r>
    </w:p>
    <w:tbl>
      <w:tblPr>
        <w:tblStyle w:val="Grigliatabella"/>
        <w:tblW w:w="8931" w:type="dxa"/>
        <w:tblLook w:val="04A0" w:firstRow="1" w:lastRow="0" w:firstColumn="1" w:lastColumn="0" w:noHBand="0" w:noVBand="1"/>
      </w:tblPr>
      <w:tblGrid>
        <w:gridCol w:w="1203"/>
        <w:gridCol w:w="895"/>
        <w:gridCol w:w="858"/>
        <w:gridCol w:w="761"/>
        <w:gridCol w:w="1103"/>
        <w:gridCol w:w="758"/>
        <w:gridCol w:w="772"/>
        <w:gridCol w:w="791"/>
        <w:gridCol w:w="777"/>
        <w:gridCol w:w="1013"/>
      </w:tblGrid>
      <w:tr w:rsidR="00ED4077" w14:paraId="27386CB5" w14:textId="77777777" w:rsidTr="0012650C">
        <w:tc>
          <w:tcPr>
            <w:tcW w:w="1203" w:type="dxa"/>
            <w:tcBorders>
              <w:top w:val="single" w:sz="4" w:space="0" w:color="auto"/>
              <w:left w:val="nil"/>
              <w:bottom w:val="single" w:sz="4" w:space="0" w:color="auto"/>
              <w:right w:val="nil"/>
            </w:tcBorders>
          </w:tcPr>
          <w:p w14:paraId="45192FCC" w14:textId="36D46B77" w:rsidR="00ED4077" w:rsidRDefault="00ED4077" w:rsidP="0039058B">
            <w:pPr>
              <w:pStyle w:val="CETBodytext"/>
              <w:spacing w:line="22" w:lineRule="atLeast"/>
              <w:jc w:val="center"/>
            </w:pPr>
            <w:r>
              <w:t>p</w:t>
            </w:r>
            <w:r w:rsidRPr="00DE0668">
              <w:rPr>
                <w:vertAlign w:val="subscript"/>
              </w:rPr>
              <w:t>out</w:t>
            </w:r>
            <w:r>
              <w:t xml:space="preserve"> (</w:t>
            </w:r>
            <w:r w:rsidR="00C05A3F">
              <w:t>M</w:t>
            </w:r>
            <w:r>
              <w:t>Pa)</w:t>
            </w:r>
          </w:p>
        </w:tc>
        <w:tc>
          <w:tcPr>
            <w:tcW w:w="895" w:type="dxa"/>
            <w:tcBorders>
              <w:top w:val="single" w:sz="4" w:space="0" w:color="auto"/>
              <w:left w:val="nil"/>
              <w:bottom w:val="single" w:sz="4" w:space="0" w:color="auto"/>
              <w:right w:val="nil"/>
            </w:tcBorders>
          </w:tcPr>
          <w:p w14:paraId="724B719C" w14:textId="77777777" w:rsidR="00ED4077" w:rsidRDefault="00ED4077" w:rsidP="0039058B">
            <w:pPr>
              <w:pStyle w:val="CETBodytext"/>
              <w:spacing w:line="22" w:lineRule="atLeast"/>
              <w:jc w:val="center"/>
            </w:pPr>
            <w:r>
              <w:t>T</w:t>
            </w:r>
            <w:r w:rsidRPr="00DE0668">
              <w:rPr>
                <w:vertAlign w:val="subscript"/>
              </w:rPr>
              <w:t>in</w:t>
            </w:r>
            <w:r>
              <w:t xml:space="preserve"> (K)</w:t>
            </w:r>
          </w:p>
        </w:tc>
        <w:tc>
          <w:tcPr>
            <w:tcW w:w="858" w:type="dxa"/>
            <w:tcBorders>
              <w:top w:val="single" w:sz="4" w:space="0" w:color="auto"/>
              <w:left w:val="nil"/>
              <w:bottom w:val="single" w:sz="4" w:space="0" w:color="auto"/>
              <w:right w:val="nil"/>
            </w:tcBorders>
          </w:tcPr>
          <w:p w14:paraId="535258F8" w14:textId="77777777" w:rsidR="00ED4077" w:rsidRDefault="00ED4077" w:rsidP="0039058B">
            <w:pPr>
              <w:pStyle w:val="CETBodytext"/>
              <w:spacing w:line="22" w:lineRule="atLeast"/>
              <w:jc w:val="center"/>
            </w:pPr>
            <w:r>
              <w:t>T</w:t>
            </w:r>
            <w:r w:rsidRPr="00DE0668">
              <w:rPr>
                <w:vertAlign w:val="subscript"/>
              </w:rPr>
              <w:t>out</w:t>
            </w:r>
            <w:r>
              <w:t xml:space="preserve"> (K)</w:t>
            </w:r>
          </w:p>
        </w:tc>
        <w:tc>
          <w:tcPr>
            <w:tcW w:w="761" w:type="dxa"/>
            <w:tcBorders>
              <w:top w:val="single" w:sz="4" w:space="0" w:color="auto"/>
              <w:left w:val="nil"/>
              <w:bottom w:val="single" w:sz="4" w:space="0" w:color="auto"/>
              <w:right w:val="nil"/>
            </w:tcBorders>
          </w:tcPr>
          <w:p w14:paraId="192C0022" w14:textId="77777777" w:rsidR="00ED4077" w:rsidRDefault="00ED4077" w:rsidP="0039058B">
            <w:pPr>
              <w:pStyle w:val="CETBodytext"/>
              <w:spacing w:line="22" w:lineRule="atLeast"/>
              <w:jc w:val="center"/>
            </w:pPr>
            <w:r>
              <w:rPr>
                <w:rFonts w:cs="Arial"/>
              </w:rPr>
              <w:t>γ</w:t>
            </w:r>
          </w:p>
        </w:tc>
        <w:tc>
          <w:tcPr>
            <w:tcW w:w="1103" w:type="dxa"/>
            <w:tcBorders>
              <w:top w:val="single" w:sz="4" w:space="0" w:color="auto"/>
              <w:left w:val="nil"/>
              <w:bottom w:val="single" w:sz="4" w:space="0" w:color="auto"/>
              <w:right w:val="nil"/>
            </w:tcBorders>
          </w:tcPr>
          <w:p w14:paraId="480DCA41" w14:textId="66946874" w:rsidR="00ED4077" w:rsidRDefault="00ED4077" w:rsidP="0039058B">
            <w:pPr>
              <w:pStyle w:val="CETBodytext"/>
              <w:spacing w:line="22" w:lineRule="atLeast"/>
              <w:jc w:val="center"/>
            </w:pPr>
            <w:r>
              <w:t>p</w:t>
            </w:r>
            <w:r w:rsidRPr="00DE0668">
              <w:rPr>
                <w:vertAlign w:val="subscript"/>
              </w:rPr>
              <w:t>son</w:t>
            </w:r>
            <w:r w:rsidR="0012650C">
              <w:rPr>
                <w:vertAlign w:val="subscript"/>
              </w:rPr>
              <w:t xml:space="preserve"> </w:t>
            </w:r>
            <w:r>
              <w:t>(</w:t>
            </w:r>
            <w:r w:rsidR="0012650C">
              <w:t>M</w:t>
            </w:r>
            <w:r>
              <w:t>Pa)</w:t>
            </w:r>
          </w:p>
        </w:tc>
        <w:tc>
          <w:tcPr>
            <w:tcW w:w="758" w:type="dxa"/>
            <w:tcBorders>
              <w:top w:val="single" w:sz="4" w:space="0" w:color="auto"/>
              <w:left w:val="nil"/>
              <w:bottom w:val="single" w:sz="4" w:space="0" w:color="auto"/>
              <w:right w:val="nil"/>
            </w:tcBorders>
          </w:tcPr>
          <w:p w14:paraId="5414F867" w14:textId="77777777" w:rsidR="00ED4077" w:rsidRDefault="00ED4077" w:rsidP="0039058B">
            <w:pPr>
              <w:pStyle w:val="CETBodytext"/>
              <w:spacing w:line="22" w:lineRule="atLeast"/>
              <w:jc w:val="center"/>
            </w:pPr>
            <w:r>
              <w:t>Flow</w:t>
            </w:r>
          </w:p>
        </w:tc>
        <w:tc>
          <w:tcPr>
            <w:tcW w:w="772" w:type="dxa"/>
            <w:tcBorders>
              <w:top w:val="single" w:sz="4" w:space="0" w:color="auto"/>
              <w:left w:val="nil"/>
              <w:bottom w:val="single" w:sz="4" w:space="0" w:color="auto"/>
              <w:right w:val="nil"/>
            </w:tcBorders>
          </w:tcPr>
          <w:p w14:paraId="438A6AA0" w14:textId="77777777" w:rsidR="00ED4077" w:rsidRDefault="00ED4077" w:rsidP="0039058B">
            <w:pPr>
              <w:pStyle w:val="CETBodytext"/>
              <w:spacing w:line="22" w:lineRule="atLeast"/>
              <w:jc w:val="center"/>
            </w:pPr>
            <w:r>
              <w:t>T</w:t>
            </w:r>
            <w:r w:rsidRPr="00DE0668">
              <w:rPr>
                <w:vertAlign w:val="subscript"/>
              </w:rPr>
              <w:t>r</w:t>
            </w:r>
          </w:p>
        </w:tc>
        <w:tc>
          <w:tcPr>
            <w:tcW w:w="791" w:type="dxa"/>
            <w:tcBorders>
              <w:top w:val="single" w:sz="4" w:space="0" w:color="auto"/>
              <w:left w:val="nil"/>
              <w:bottom w:val="single" w:sz="4" w:space="0" w:color="auto"/>
              <w:right w:val="nil"/>
            </w:tcBorders>
          </w:tcPr>
          <w:p w14:paraId="3029427C" w14:textId="77777777" w:rsidR="00ED4077" w:rsidRDefault="00ED4077" w:rsidP="0039058B">
            <w:pPr>
              <w:pStyle w:val="CETBodytext"/>
              <w:spacing w:line="22" w:lineRule="atLeast"/>
              <w:jc w:val="center"/>
            </w:pPr>
            <w:r>
              <w:t>p</w:t>
            </w:r>
            <w:r w:rsidRPr="00DE0668">
              <w:rPr>
                <w:vertAlign w:val="subscript"/>
              </w:rPr>
              <w:t>r</w:t>
            </w:r>
          </w:p>
        </w:tc>
        <w:tc>
          <w:tcPr>
            <w:tcW w:w="777" w:type="dxa"/>
            <w:tcBorders>
              <w:top w:val="single" w:sz="4" w:space="0" w:color="auto"/>
              <w:left w:val="nil"/>
              <w:bottom w:val="single" w:sz="4" w:space="0" w:color="auto"/>
              <w:right w:val="nil"/>
            </w:tcBorders>
          </w:tcPr>
          <w:p w14:paraId="39E85807" w14:textId="77777777" w:rsidR="00ED4077" w:rsidRDefault="00ED4077" w:rsidP="0039058B">
            <w:pPr>
              <w:pStyle w:val="CETBodytext"/>
              <w:spacing w:line="22" w:lineRule="atLeast"/>
              <w:jc w:val="center"/>
            </w:pPr>
            <w:r>
              <w:t>Z</w:t>
            </w:r>
          </w:p>
        </w:tc>
        <w:tc>
          <w:tcPr>
            <w:tcW w:w="1013" w:type="dxa"/>
            <w:tcBorders>
              <w:top w:val="single" w:sz="4" w:space="0" w:color="auto"/>
              <w:left w:val="nil"/>
              <w:bottom w:val="single" w:sz="4" w:space="0" w:color="auto"/>
              <w:right w:val="nil"/>
            </w:tcBorders>
          </w:tcPr>
          <w:p w14:paraId="2185DB3D" w14:textId="2B678811" w:rsidR="00ED4077" w:rsidRDefault="00ED4077" w:rsidP="0039058B">
            <w:pPr>
              <w:pStyle w:val="CETBodytext"/>
              <w:spacing w:line="22" w:lineRule="atLeast"/>
              <w:jc w:val="center"/>
            </w:pPr>
            <w:r>
              <w:t>M</w:t>
            </w:r>
            <w:r w:rsidR="003D5483">
              <w:rPr>
                <w:vertAlign w:val="subscript"/>
              </w:rPr>
              <w:t>2</w:t>
            </w:r>
            <w:r>
              <w:t xml:space="preserve"> (kg/s)</w:t>
            </w:r>
          </w:p>
        </w:tc>
      </w:tr>
      <w:tr w:rsidR="00ED4077" w:rsidRPr="00350595" w14:paraId="4B6AF9AF" w14:textId="77777777" w:rsidTr="0012650C">
        <w:tc>
          <w:tcPr>
            <w:tcW w:w="1203" w:type="dxa"/>
            <w:tcBorders>
              <w:top w:val="single" w:sz="4" w:space="0" w:color="auto"/>
              <w:left w:val="nil"/>
              <w:bottom w:val="nil"/>
              <w:right w:val="nil"/>
            </w:tcBorders>
          </w:tcPr>
          <w:p w14:paraId="3AAF2269" w14:textId="5C7018A5" w:rsidR="00ED4077" w:rsidRDefault="00C05A3F" w:rsidP="0039058B">
            <w:pPr>
              <w:pStyle w:val="CETBodytext"/>
              <w:spacing w:line="22" w:lineRule="atLeast"/>
              <w:jc w:val="center"/>
            </w:pPr>
            <w:r>
              <w:t>5</w:t>
            </w:r>
          </w:p>
        </w:tc>
        <w:tc>
          <w:tcPr>
            <w:tcW w:w="895" w:type="dxa"/>
            <w:tcBorders>
              <w:top w:val="single" w:sz="4" w:space="0" w:color="auto"/>
              <w:left w:val="nil"/>
              <w:bottom w:val="nil"/>
              <w:right w:val="nil"/>
            </w:tcBorders>
          </w:tcPr>
          <w:p w14:paraId="6BC7FAFF" w14:textId="77777777" w:rsidR="00ED4077" w:rsidRDefault="00ED4077" w:rsidP="0039058B">
            <w:pPr>
              <w:pStyle w:val="CETBodytext"/>
              <w:spacing w:line="22" w:lineRule="atLeast"/>
              <w:jc w:val="center"/>
            </w:pPr>
            <w:r w:rsidRPr="007E2F66">
              <w:t>291.15</w:t>
            </w:r>
          </w:p>
        </w:tc>
        <w:tc>
          <w:tcPr>
            <w:tcW w:w="858" w:type="dxa"/>
            <w:tcBorders>
              <w:top w:val="single" w:sz="4" w:space="0" w:color="auto"/>
              <w:left w:val="nil"/>
              <w:bottom w:val="nil"/>
              <w:right w:val="nil"/>
            </w:tcBorders>
          </w:tcPr>
          <w:p w14:paraId="71F4F535" w14:textId="063438A4" w:rsidR="00ED4077" w:rsidRDefault="00ED4077" w:rsidP="0039058B">
            <w:pPr>
              <w:pStyle w:val="CETBodytext"/>
              <w:spacing w:line="22" w:lineRule="atLeast"/>
              <w:jc w:val="center"/>
            </w:pPr>
            <w:r>
              <w:t>4</w:t>
            </w:r>
            <w:r w:rsidR="002C440F">
              <w:t>38</w:t>
            </w:r>
            <w:r>
              <w:t>.</w:t>
            </w:r>
            <w:r w:rsidR="002C440F">
              <w:t>1</w:t>
            </w:r>
          </w:p>
        </w:tc>
        <w:tc>
          <w:tcPr>
            <w:tcW w:w="761" w:type="dxa"/>
            <w:tcBorders>
              <w:top w:val="single" w:sz="4" w:space="0" w:color="auto"/>
              <w:left w:val="nil"/>
              <w:bottom w:val="nil"/>
              <w:right w:val="nil"/>
            </w:tcBorders>
          </w:tcPr>
          <w:p w14:paraId="5D6FD3BC" w14:textId="77777777" w:rsidR="00ED4077" w:rsidRDefault="00ED4077" w:rsidP="0039058B">
            <w:pPr>
              <w:pStyle w:val="CETBodytext"/>
              <w:spacing w:line="22" w:lineRule="atLeast"/>
              <w:jc w:val="center"/>
            </w:pPr>
            <w:r>
              <w:t>1.39</w:t>
            </w:r>
          </w:p>
        </w:tc>
        <w:tc>
          <w:tcPr>
            <w:tcW w:w="1103" w:type="dxa"/>
            <w:tcBorders>
              <w:top w:val="single" w:sz="4" w:space="0" w:color="auto"/>
              <w:left w:val="nil"/>
              <w:bottom w:val="nil"/>
              <w:right w:val="nil"/>
            </w:tcBorders>
          </w:tcPr>
          <w:p w14:paraId="261AB947" w14:textId="3690A44A" w:rsidR="00ED4077" w:rsidRDefault="0012650C" w:rsidP="0039058B">
            <w:pPr>
              <w:pStyle w:val="CETBodytext"/>
              <w:spacing w:line="22" w:lineRule="atLeast"/>
              <w:jc w:val="center"/>
            </w:pPr>
            <w:r>
              <w:t>2.</w:t>
            </w:r>
            <w:r w:rsidR="00B2222D">
              <w:t>7</w:t>
            </w:r>
          </w:p>
        </w:tc>
        <w:tc>
          <w:tcPr>
            <w:tcW w:w="758" w:type="dxa"/>
            <w:tcBorders>
              <w:top w:val="single" w:sz="4" w:space="0" w:color="auto"/>
              <w:left w:val="nil"/>
              <w:bottom w:val="nil"/>
              <w:right w:val="nil"/>
            </w:tcBorders>
          </w:tcPr>
          <w:p w14:paraId="6A42946F" w14:textId="77777777" w:rsidR="00ED4077" w:rsidRDefault="00ED4077" w:rsidP="0039058B">
            <w:pPr>
              <w:pStyle w:val="CETBodytext"/>
              <w:spacing w:line="22" w:lineRule="atLeast"/>
              <w:jc w:val="center"/>
            </w:pPr>
            <w:r>
              <w:t>sonic</w:t>
            </w:r>
          </w:p>
        </w:tc>
        <w:tc>
          <w:tcPr>
            <w:tcW w:w="772" w:type="dxa"/>
            <w:tcBorders>
              <w:top w:val="single" w:sz="4" w:space="0" w:color="auto"/>
              <w:left w:val="nil"/>
              <w:bottom w:val="nil"/>
              <w:right w:val="nil"/>
            </w:tcBorders>
          </w:tcPr>
          <w:p w14:paraId="174556A5" w14:textId="628EBC81" w:rsidR="00ED4077" w:rsidRDefault="00ED4077" w:rsidP="0039058B">
            <w:pPr>
              <w:pStyle w:val="CETBodytext"/>
              <w:spacing w:line="22" w:lineRule="atLeast"/>
              <w:jc w:val="center"/>
            </w:pPr>
            <w:r>
              <w:t>2.3</w:t>
            </w:r>
          </w:p>
        </w:tc>
        <w:tc>
          <w:tcPr>
            <w:tcW w:w="791" w:type="dxa"/>
            <w:tcBorders>
              <w:top w:val="single" w:sz="4" w:space="0" w:color="auto"/>
              <w:left w:val="nil"/>
              <w:bottom w:val="nil"/>
              <w:right w:val="nil"/>
            </w:tcBorders>
          </w:tcPr>
          <w:p w14:paraId="5A19B621" w14:textId="1E72A8AD" w:rsidR="00ED4077" w:rsidRDefault="002C440F" w:rsidP="0039058B">
            <w:pPr>
              <w:pStyle w:val="CETBodytext"/>
              <w:spacing w:line="22" w:lineRule="atLeast"/>
              <w:jc w:val="center"/>
            </w:pPr>
            <w:r>
              <w:t>1</w:t>
            </w:r>
            <w:r w:rsidR="00ED4077">
              <w:t>.</w:t>
            </w:r>
            <w:r>
              <w:t>09</w:t>
            </w:r>
          </w:p>
        </w:tc>
        <w:tc>
          <w:tcPr>
            <w:tcW w:w="777" w:type="dxa"/>
            <w:tcBorders>
              <w:top w:val="single" w:sz="4" w:space="0" w:color="auto"/>
              <w:left w:val="nil"/>
              <w:bottom w:val="nil"/>
              <w:right w:val="nil"/>
            </w:tcBorders>
          </w:tcPr>
          <w:p w14:paraId="276D070D" w14:textId="490CF04A" w:rsidR="00ED4077" w:rsidRDefault="00B2222D" w:rsidP="007A384B">
            <w:pPr>
              <w:pStyle w:val="CETBodytext"/>
              <w:spacing w:line="22" w:lineRule="atLeast"/>
              <w:jc w:val="center"/>
            </w:pPr>
            <w:r>
              <w:t>0</w:t>
            </w:r>
            <w:r w:rsidR="007A384B">
              <w:t>.</w:t>
            </w:r>
            <w:r>
              <w:t>99</w:t>
            </w:r>
          </w:p>
        </w:tc>
        <w:tc>
          <w:tcPr>
            <w:tcW w:w="1013" w:type="dxa"/>
            <w:tcBorders>
              <w:top w:val="single" w:sz="4" w:space="0" w:color="auto"/>
              <w:left w:val="nil"/>
              <w:bottom w:val="nil"/>
              <w:right w:val="nil"/>
            </w:tcBorders>
          </w:tcPr>
          <w:p w14:paraId="1CB44941" w14:textId="73BCD468" w:rsidR="00ED4077" w:rsidRPr="002C440F" w:rsidRDefault="002C440F" w:rsidP="0039058B">
            <w:pPr>
              <w:pStyle w:val="CETBodytext"/>
              <w:spacing w:line="22" w:lineRule="atLeast"/>
              <w:jc w:val="center"/>
            </w:pPr>
            <w:r w:rsidRPr="002C440F">
              <w:t>0.02</w:t>
            </w:r>
          </w:p>
        </w:tc>
      </w:tr>
      <w:tr w:rsidR="00ED4077" w14:paraId="67286EB7" w14:textId="77777777" w:rsidTr="0012650C">
        <w:tc>
          <w:tcPr>
            <w:tcW w:w="1203" w:type="dxa"/>
            <w:tcBorders>
              <w:top w:val="nil"/>
              <w:left w:val="nil"/>
              <w:bottom w:val="nil"/>
              <w:right w:val="nil"/>
            </w:tcBorders>
          </w:tcPr>
          <w:p w14:paraId="61F99BD1" w14:textId="5C559290" w:rsidR="00ED4077" w:rsidRDefault="00C05A3F" w:rsidP="0039058B">
            <w:pPr>
              <w:pStyle w:val="CETBodytext"/>
              <w:spacing w:line="22" w:lineRule="atLeast"/>
              <w:jc w:val="center"/>
            </w:pPr>
            <w:r>
              <w:t>6</w:t>
            </w:r>
          </w:p>
        </w:tc>
        <w:tc>
          <w:tcPr>
            <w:tcW w:w="895" w:type="dxa"/>
            <w:tcBorders>
              <w:top w:val="nil"/>
              <w:left w:val="nil"/>
              <w:bottom w:val="nil"/>
              <w:right w:val="nil"/>
            </w:tcBorders>
          </w:tcPr>
          <w:p w14:paraId="3FDB9AAF" w14:textId="77777777" w:rsidR="00ED4077" w:rsidRDefault="00ED4077" w:rsidP="0039058B">
            <w:pPr>
              <w:pStyle w:val="CETBodytext"/>
              <w:spacing w:line="22" w:lineRule="atLeast"/>
              <w:jc w:val="center"/>
            </w:pPr>
            <w:r w:rsidRPr="007E2F66">
              <w:t>291.15</w:t>
            </w:r>
          </w:p>
        </w:tc>
        <w:tc>
          <w:tcPr>
            <w:tcW w:w="858" w:type="dxa"/>
            <w:tcBorders>
              <w:top w:val="nil"/>
              <w:left w:val="nil"/>
              <w:bottom w:val="nil"/>
              <w:right w:val="nil"/>
            </w:tcBorders>
          </w:tcPr>
          <w:p w14:paraId="66CA0BC8" w14:textId="0920C1DA" w:rsidR="00ED4077" w:rsidRDefault="00ED4077" w:rsidP="0039058B">
            <w:pPr>
              <w:pStyle w:val="CETBodytext"/>
              <w:spacing w:line="22" w:lineRule="atLeast"/>
              <w:jc w:val="center"/>
            </w:pPr>
            <w:r>
              <w:t>4</w:t>
            </w:r>
            <w:r w:rsidR="002C440F">
              <w:t>48</w:t>
            </w:r>
            <w:r>
              <w:t>.7</w:t>
            </w:r>
          </w:p>
        </w:tc>
        <w:tc>
          <w:tcPr>
            <w:tcW w:w="761" w:type="dxa"/>
            <w:tcBorders>
              <w:top w:val="nil"/>
              <w:left w:val="nil"/>
              <w:bottom w:val="nil"/>
              <w:right w:val="nil"/>
            </w:tcBorders>
          </w:tcPr>
          <w:p w14:paraId="7032DA2F" w14:textId="77777777" w:rsidR="00ED4077" w:rsidRPr="000E4444" w:rsidRDefault="00ED4077" w:rsidP="0039058B">
            <w:pPr>
              <w:pStyle w:val="CETBodytext"/>
              <w:spacing w:line="22" w:lineRule="atLeast"/>
              <w:jc w:val="center"/>
            </w:pPr>
            <w:r w:rsidRPr="00C76F04">
              <w:t>1.39</w:t>
            </w:r>
          </w:p>
        </w:tc>
        <w:tc>
          <w:tcPr>
            <w:tcW w:w="1103" w:type="dxa"/>
            <w:tcBorders>
              <w:top w:val="nil"/>
              <w:left w:val="nil"/>
              <w:bottom w:val="nil"/>
              <w:right w:val="nil"/>
            </w:tcBorders>
          </w:tcPr>
          <w:p w14:paraId="69E937CE" w14:textId="31483965" w:rsidR="00ED4077" w:rsidRDefault="0012650C" w:rsidP="0039058B">
            <w:pPr>
              <w:pStyle w:val="CETBodytext"/>
              <w:spacing w:line="22" w:lineRule="atLeast"/>
              <w:jc w:val="center"/>
            </w:pPr>
            <w:r>
              <w:t>3.2</w:t>
            </w:r>
          </w:p>
        </w:tc>
        <w:tc>
          <w:tcPr>
            <w:tcW w:w="758" w:type="dxa"/>
            <w:tcBorders>
              <w:top w:val="nil"/>
              <w:left w:val="nil"/>
              <w:bottom w:val="nil"/>
              <w:right w:val="nil"/>
            </w:tcBorders>
          </w:tcPr>
          <w:p w14:paraId="330EC80E" w14:textId="77777777" w:rsidR="00ED4077" w:rsidRDefault="00ED4077" w:rsidP="0039058B">
            <w:pPr>
              <w:pStyle w:val="CETBodytext"/>
              <w:spacing w:line="22" w:lineRule="atLeast"/>
              <w:jc w:val="center"/>
            </w:pPr>
            <w:r>
              <w:t>sonic</w:t>
            </w:r>
          </w:p>
        </w:tc>
        <w:tc>
          <w:tcPr>
            <w:tcW w:w="772" w:type="dxa"/>
            <w:tcBorders>
              <w:top w:val="nil"/>
              <w:left w:val="nil"/>
              <w:bottom w:val="nil"/>
              <w:right w:val="nil"/>
            </w:tcBorders>
          </w:tcPr>
          <w:p w14:paraId="591DA257" w14:textId="27C4DD7F" w:rsidR="00ED4077" w:rsidRDefault="00ED4077" w:rsidP="0039058B">
            <w:pPr>
              <w:pStyle w:val="CETBodytext"/>
              <w:spacing w:line="22" w:lineRule="atLeast"/>
              <w:jc w:val="center"/>
            </w:pPr>
            <w:r>
              <w:t>2.</w:t>
            </w:r>
            <w:r w:rsidR="002C440F">
              <w:t>35</w:t>
            </w:r>
          </w:p>
        </w:tc>
        <w:tc>
          <w:tcPr>
            <w:tcW w:w="791" w:type="dxa"/>
            <w:tcBorders>
              <w:top w:val="nil"/>
              <w:left w:val="nil"/>
              <w:bottom w:val="nil"/>
              <w:right w:val="nil"/>
            </w:tcBorders>
          </w:tcPr>
          <w:p w14:paraId="60E9DAF7" w14:textId="040595AD" w:rsidR="00ED4077" w:rsidRDefault="002C440F" w:rsidP="0039058B">
            <w:pPr>
              <w:pStyle w:val="CETBodytext"/>
              <w:spacing w:line="22" w:lineRule="atLeast"/>
              <w:jc w:val="center"/>
            </w:pPr>
            <w:r>
              <w:t>1</w:t>
            </w:r>
            <w:r w:rsidR="00ED4077">
              <w:t>.3</w:t>
            </w:r>
          </w:p>
        </w:tc>
        <w:tc>
          <w:tcPr>
            <w:tcW w:w="777" w:type="dxa"/>
            <w:tcBorders>
              <w:top w:val="nil"/>
              <w:left w:val="nil"/>
              <w:bottom w:val="nil"/>
              <w:right w:val="nil"/>
            </w:tcBorders>
          </w:tcPr>
          <w:p w14:paraId="06821D23" w14:textId="1773F28B" w:rsidR="00ED4077" w:rsidRDefault="002C440F" w:rsidP="0039058B">
            <w:pPr>
              <w:pStyle w:val="CETBodytext"/>
              <w:spacing w:line="22" w:lineRule="atLeast"/>
              <w:jc w:val="center"/>
            </w:pPr>
            <w:r>
              <w:t>0</w:t>
            </w:r>
            <w:r w:rsidR="00ED4077">
              <w:t>.</w:t>
            </w:r>
            <w:r>
              <w:t>98</w:t>
            </w:r>
          </w:p>
        </w:tc>
        <w:tc>
          <w:tcPr>
            <w:tcW w:w="1013" w:type="dxa"/>
            <w:tcBorders>
              <w:top w:val="nil"/>
              <w:left w:val="nil"/>
              <w:bottom w:val="nil"/>
              <w:right w:val="nil"/>
            </w:tcBorders>
          </w:tcPr>
          <w:p w14:paraId="48A46E4D" w14:textId="40BE59DF" w:rsidR="00ED4077" w:rsidRDefault="002C440F" w:rsidP="0039058B">
            <w:pPr>
              <w:pStyle w:val="CETBodytext"/>
              <w:spacing w:line="22" w:lineRule="atLeast"/>
              <w:jc w:val="center"/>
            </w:pPr>
            <w:r>
              <w:t>2</w:t>
            </w:r>
            <w:r w:rsidR="00ED4077">
              <w:t>.4</w:t>
            </w:r>
            <w:r w:rsidR="00ED4077">
              <w:rPr>
                <w:rFonts w:cs="Arial"/>
              </w:rPr>
              <w:t>·</w:t>
            </w:r>
            <w:r w:rsidR="00ED4077">
              <w:t>10</w:t>
            </w:r>
            <w:r w:rsidR="00ED4077">
              <w:rPr>
                <w:vertAlign w:val="superscript"/>
              </w:rPr>
              <w:t>-</w:t>
            </w:r>
            <w:r>
              <w:rPr>
                <w:vertAlign w:val="superscript"/>
              </w:rPr>
              <w:t>2</w:t>
            </w:r>
          </w:p>
        </w:tc>
      </w:tr>
      <w:tr w:rsidR="00ED4077" w14:paraId="31DCE0D7" w14:textId="77777777" w:rsidTr="0012650C">
        <w:tc>
          <w:tcPr>
            <w:tcW w:w="1203" w:type="dxa"/>
            <w:tcBorders>
              <w:top w:val="nil"/>
              <w:left w:val="nil"/>
              <w:bottom w:val="single" w:sz="4" w:space="0" w:color="auto"/>
              <w:right w:val="nil"/>
            </w:tcBorders>
          </w:tcPr>
          <w:p w14:paraId="152C4E28" w14:textId="0C064AC7" w:rsidR="00ED4077" w:rsidRDefault="00C05A3F" w:rsidP="0039058B">
            <w:pPr>
              <w:pStyle w:val="CETBodytext"/>
              <w:spacing w:line="22" w:lineRule="atLeast"/>
              <w:jc w:val="center"/>
            </w:pPr>
            <w:r>
              <w:t>7</w:t>
            </w:r>
          </w:p>
        </w:tc>
        <w:tc>
          <w:tcPr>
            <w:tcW w:w="895" w:type="dxa"/>
            <w:tcBorders>
              <w:top w:val="nil"/>
              <w:left w:val="nil"/>
              <w:bottom w:val="single" w:sz="4" w:space="0" w:color="auto"/>
              <w:right w:val="nil"/>
            </w:tcBorders>
          </w:tcPr>
          <w:p w14:paraId="5FBF08AE" w14:textId="77777777" w:rsidR="00ED4077" w:rsidRDefault="00ED4077" w:rsidP="0039058B">
            <w:pPr>
              <w:pStyle w:val="CETBodytext"/>
              <w:spacing w:line="22" w:lineRule="atLeast"/>
              <w:jc w:val="center"/>
            </w:pPr>
            <w:r w:rsidRPr="007E2F66">
              <w:t>291.15</w:t>
            </w:r>
          </w:p>
        </w:tc>
        <w:tc>
          <w:tcPr>
            <w:tcW w:w="858" w:type="dxa"/>
            <w:tcBorders>
              <w:top w:val="nil"/>
              <w:left w:val="nil"/>
              <w:bottom w:val="single" w:sz="4" w:space="0" w:color="auto"/>
              <w:right w:val="nil"/>
            </w:tcBorders>
          </w:tcPr>
          <w:p w14:paraId="3EBCE53C" w14:textId="608C4AAF" w:rsidR="00ED4077" w:rsidRDefault="00ED4077" w:rsidP="0039058B">
            <w:pPr>
              <w:pStyle w:val="CETBodytext"/>
              <w:spacing w:line="22" w:lineRule="atLeast"/>
              <w:jc w:val="center"/>
            </w:pPr>
            <w:r>
              <w:t>4</w:t>
            </w:r>
            <w:r w:rsidR="00DB76B7">
              <w:t>6</w:t>
            </w:r>
            <w:r w:rsidR="008E6C0D">
              <w:t>0</w:t>
            </w:r>
            <w:r w:rsidR="00FE7E8F">
              <w:t>.</w:t>
            </w:r>
            <w:r w:rsidR="008E6C0D">
              <w:t>3</w:t>
            </w:r>
          </w:p>
        </w:tc>
        <w:tc>
          <w:tcPr>
            <w:tcW w:w="761" w:type="dxa"/>
            <w:tcBorders>
              <w:top w:val="nil"/>
              <w:left w:val="nil"/>
              <w:bottom w:val="single" w:sz="4" w:space="0" w:color="auto"/>
              <w:right w:val="nil"/>
            </w:tcBorders>
          </w:tcPr>
          <w:p w14:paraId="6FB30975" w14:textId="77777777" w:rsidR="00ED4077" w:rsidRPr="000E4444" w:rsidRDefault="00ED4077" w:rsidP="0039058B">
            <w:pPr>
              <w:pStyle w:val="CETBodytext"/>
              <w:spacing w:line="22" w:lineRule="atLeast"/>
              <w:jc w:val="center"/>
            </w:pPr>
            <w:r w:rsidRPr="00C76F04">
              <w:t>1.39</w:t>
            </w:r>
          </w:p>
        </w:tc>
        <w:tc>
          <w:tcPr>
            <w:tcW w:w="1103" w:type="dxa"/>
            <w:tcBorders>
              <w:top w:val="nil"/>
              <w:left w:val="nil"/>
              <w:bottom w:val="single" w:sz="4" w:space="0" w:color="auto"/>
              <w:right w:val="nil"/>
            </w:tcBorders>
          </w:tcPr>
          <w:p w14:paraId="427EC577" w14:textId="088F579D" w:rsidR="00ED4077" w:rsidRDefault="0012650C" w:rsidP="0039058B">
            <w:pPr>
              <w:pStyle w:val="CETBodytext"/>
              <w:spacing w:line="22" w:lineRule="atLeast"/>
              <w:jc w:val="center"/>
            </w:pPr>
            <w:r>
              <w:t>3.</w:t>
            </w:r>
            <w:r w:rsidR="008E6C0D">
              <w:t>8</w:t>
            </w:r>
          </w:p>
        </w:tc>
        <w:tc>
          <w:tcPr>
            <w:tcW w:w="758" w:type="dxa"/>
            <w:tcBorders>
              <w:top w:val="nil"/>
              <w:left w:val="nil"/>
              <w:bottom w:val="single" w:sz="4" w:space="0" w:color="auto"/>
              <w:right w:val="nil"/>
            </w:tcBorders>
          </w:tcPr>
          <w:p w14:paraId="146A38BB" w14:textId="77777777" w:rsidR="00ED4077" w:rsidRDefault="00ED4077" w:rsidP="0039058B">
            <w:pPr>
              <w:pStyle w:val="CETBodytext"/>
              <w:spacing w:line="22" w:lineRule="atLeast"/>
              <w:jc w:val="center"/>
            </w:pPr>
            <w:r>
              <w:t>sonic</w:t>
            </w:r>
          </w:p>
        </w:tc>
        <w:tc>
          <w:tcPr>
            <w:tcW w:w="772" w:type="dxa"/>
            <w:tcBorders>
              <w:top w:val="nil"/>
              <w:left w:val="nil"/>
              <w:bottom w:val="single" w:sz="4" w:space="0" w:color="auto"/>
              <w:right w:val="nil"/>
            </w:tcBorders>
          </w:tcPr>
          <w:p w14:paraId="4A0F10E2" w14:textId="150C91B7" w:rsidR="00ED4077" w:rsidRDefault="00ED4077" w:rsidP="0039058B">
            <w:pPr>
              <w:pStyle w:val="CETBodytext"/>
              <w:spacing w:line="22" w:lineRule="atLeast"/>
              <w:jc w:val="center"/>
            </w:pPr>
            <w:r>
              <w:t>2.</w:t>
            </w:r>
            <w:r w:rsidR="008E6C0D">
              <w:t>42</w:t>
            </w:r>
          </w:p>
        </w:tc>
        <w:tc>
          <w:tcPr>
            <w:tcW w:w="791" w:type="dxa"/>
            <w:tcBorders>
              <w:top w:val="nil"/>
              <w:left w:val="nil"/>
              <w:bottom w:val="single" w:sz="4" w:space="0" w:color="auto"/>
              <w:right w:val="nil"/>
            </w:tcBorders>
          </w:tcPr>
          <w:p w14:paraId="3F079BB9" w14:textId="5825F978" w:rsidR="00ED4077" w:rsidRDefault="00DB76B7" w:rsidP="0039058B">
            <w:pPr>
              <w:pStyle w:val="CETBodytext"/>
              <w:spacing w:line="22" w:lineRule="atLeast"/>
              <w:jc w:val="center"/>
            </w:pPr>
            <w:r>
              <w:t>1</w:t>
            </w:r>
            <w:r w:rsidR="00ED4077">
              <w:t>.</w:t>
            </w:r>
            <w:r>
              <w:t>52</w:t>
            </w:r>
          </w:p>
        </w:tc>
        <w:tc>
          <w:tcPr>
            <w:tcW w:w="777" w:type="dxa"/>
            <w:tcBorders>
              <w:top w:val="nil"/>
              <w:left w:val="nil"/>
              <w:bottom w:val="single" w:sz="4" w:space="0" w:color="auto"/>
              <w:right w:val="nil"/>
            </w:tcBorders>
          </w:tcPr>
          <w:p w14:paraId="21EDD815" w14:textId="2A9401BB" w:rsidR="00ED4077" w:rsidRDefault="008E6C0D" w:rsidP="0039058B">
            <w:pPr>
              <w:pStyle w:val="CETBodytext"/>
              <w:spacing w:line="22" w:lineRule="atLeast"/>
              <w:jc w:val="center"/>
            </w:pPr>
            <w:r>
              <w:t>0</w:t>
            </w:r>
            <w:r w:rsidR="00ED4077">
              <w:t>.</w:t>
            </w:r>
            <w:r>
              <w:t>99</w:t>
            </w:r>
          </w:p>
        </w:tc>
        <w:tc>
          <w:tcPr>
            <w:tcW w:w="1013" w:type="dxa"/>
            <w:tcBorders>
              <w:top w:val="nil"/>
              <w:left w:val="nil"/>
              <w:bottom w:val="single" w:sz="4" w:space="0" w:color="auto"/>
              <w:right w:val="nil"/>
            </w:tcBorders>
          </w:tcPr>
          <w:p w14:paraId="3C87693B" w14:textId="015D267B" w:rsidR="00ED4077" w:rsidRDefault="00DB76B7" w:rsidP="0039058B">
            <w:pPr>
              <w:pStyle w:val="CETBodytext"/>
              <w:spacing w:line="22" w:lineRule="atLeast"/>
              <w:jc w:val="center"/>
            </w:pPr>
            <w:r>
              <w:t>3</w:t>
            </w:r>
            <w:r>
              <w:rPr>
                <w:rFonts w:cs="Arial"/>
              </w:rPr>
              <w:t>·</w:t>
            </w:r>
            <w:r>
              <w:t>10</w:t>
            </w:r>
            <w:r>
              <w:rPr>
                <w:vertAlign w:val="superscript"/>
              </w:rPr>
              <w:t>-2</w:t>
            </w:r>
          </w:p>
        </w:tc>
      </w:tr>
    </w:tbl>
    <w:p w14:paraId="2FE7AB27" w14:textId="65128B07" w:rsidR="00ED4077" w:rsidRDefault="00ED4077" w:rsidP="0039058B">
      <w:pPr>
        <w:pStyle w:val="CETBodytext"/>
        <w:spacing w:line="22" w:lineRule="atLeast"/>
        <w:rPr>
          <w:rFonts w:cs="Arial"/>
          <w:i/>
          <w:szCs w:val="18"/>
          <w:lang w:val="en-GB"/>
        </w:rPr>
      </w:pPr>
    </w:p>
    <w:p w14:paraId="6AC71640" w14:textId="120C969B" w:rsidR="00ED4077" w:rsidRPr="00ED4077" w:rsidRDefault="00ED4077" w:rsidP="0039058B">
      <w:pPr>
        <w:pStyle w:val="CETBodytext"/>
        <w:spacing w:line="22" w:lineRule="atLeast"/>
        <w:rPr>
          <w:rFonts w:cs="Arial"/>
          <w:i/>
          <w:szCs w:val="18"/>
          <w:lang w:val="en-GB"/>
        </w:rPr>
      </w:pPr>
      <w:r w:rsidRPr="00ED4077">
        <w:rPr>
          <w:rFonts w:cs="Arial"/>
          <w:i/>
          <w:szCs w:val="18"/>
          <w:lang w:val="en-GB"/>
        </w:rPr>
        <w:t xml:space="preserve">Table </w:t>
      </w:r>
      <w:r w:rsidR="00C05A3F">
        <w:rPr>
          <w:rFonts w:cs="Arial"/>
          <w:i/>
          <w:szCs w:val="18"/>
          <w:lang w:val="en-GB"/>
        </w:rPr>
        <w:t>6</w:t>
      </w:r>
      <w:r w:rsidRPr="00ED4077">
        <w:rPr>
          <w:rFonts w:cs="Arial"/>
          <w:i/>
          <w:szCs w:val="18"/>
          <w:lang w:val="en-GB"/>
        </w:rPr>
        <w:t>: Biomethane release from safety valve (</w:t>
      </w:r>
      <w:r>
        <w:rPr>
          <w:rFonts w:cs="Arial"/>
          <w:i/>
          <w:szCs w:val="18"/>
          <w:lang w:val="en-GB"/>
        </w:rPr>
        <w:t>second</w:t>
      </w:r>
      <w:r w:rsidRPr="00ED4077">
        <w:rPr>
          <w:rFonts w:cs="Arial"/>
          <w:i/>
          <w:szCs w:val="18"/>
          <w:lang w:val="en-GB"/>
        </w:rPr>
        <w:t xml:space="preserve"> stage)</w:t>
      </w:r>
    </w:p>
    <w:tbl>
      <w:tblPr>
        <w:tblStyle w:val="Grigliatabella"/>
        <w:tblW w:w="8931" w:type="dxa"/>
        <w:tblLook w:val="04A0" w:firstRow="1" w:lastRow="0" w:firstColumn="1" w:lastColumn="0" w:noHBand="0" w:noVBand="1"/>
      </w:tblPr>
      <w:tblGrid>
        <w:gridCol w:w="1222"/>
        <w:gridCol w:w="900"/>
        <w:gridCol w:w="865"/>
        <w:gridCol w:w="768"/>
        <w:gridCol w:w="919"/>
        <w:gridCol w:w="146"/>
        <w:gridCol w:w="724"/>
        <w:gridCol w:w="780"/>
        <w:gridCol w:w="800"/>
        <w:gridCol w:w="785"/>
        <w:gridCol w:w="1022"/>
      </w:tblGrid>
      <w:tr w:rsidR="00ED4077" w14:paraId="446DF5EE" w14:textId="77777777" w:rsidTr="002654DE">
        <w:tc>
          <w:tcPr>
            <w:tcW w:w="1222" w:type="dxa"/>
            <w:tcBorders>
              <w:top w:val="single" w:sz="4" w:space="0" w:color="auto"/>
              <w:left w:val="nil"/>
              <w:bottom w:val="single" w:sz="4" w:space="0" w:color="auto"/>
              <w:right w:val="nil"/>
            </w:tcBorders>
          </w:tcPr>
          <w:p w14:paraId="72AD8005" w14:textId="01D6CD28" w:rsidR="00ED4077" w:rsidRDefault="00ED4077" w:rsidP="0039058B">
            <w:pPr>
              <w:pStyle w:val="CETBodytext"/>
              <w:spacing w:line="22" w:lineRule="atLeast"/>
              <w:jc w:val="center"/>
            </w:pPr>
            <w:r>
              <w:t>p</w:t>
            </w:r>
            <w:r w:rsidRPr="00DE0668">
              <w:rPr>
                <w:vertAlign w:val="subscript"/>
              </w:rPr>
              <w:t>out</w:t>
            </w:r>
            <w:r>
              <w:t xml:space="preserve"> (MPa)</w:t>
            </w:r>
          </w:p>
        </w:tc>
        <w:tc>
          <w:tcPr>
            <w:tcW w:w="900" w:type="dxa"/>
            <w:tcBorders>
              <w:top w:val="single" w:sz="4" w:space="0" w:color="auto"/>
              <w:left w:val="nil"/>
              <w:bottom w:val="single" w:sz="4" w:space="0" w:color="auto"/>
              <w:right w:val="nil"/>
            </w:tcBorders>
          </w:tcPr>
          <w:p w14:paraId="051539E1" w14:textId="77777777" w:rsidR="00ED4077" w:rsidRDefault="00ED4077" w:rsidP="0039058B">
            <w:pPr>
              <w:pStyle w:val="CETBodytext"/>
              <w:spacing w:line="22" w:lineRule="atLeast"/>
              <w:jc w:val="center"/>
            </w:pPr>
            <w:r>
              <w:t>T</w:t>
            </w:r>
            <w:r w:rsidRPr="00DE0668">
              <w:rPr>
                <w:vertAlign w:val="subscript"/>
              </w:rPr>
              <w:t>in</w:t>
            </w:r>
            <w:r>
              <w:t xml:space="preserve"> (K)</w:t>
            </w:r>
          </w:p>
        </w:tc>
        <w:tc>
          <w:tcPr>
            <w:tcW w:w="865" w:type="dxa"/>
            <w:tcBorders>
              <w:top w:val="single" w:sz="4" w:space="0" w:color="auto"/>
              <w:left w:val="nil"/>
              <w:bottom w:val="single" w:sz="4" w:space="0" w:color="auto"/>
              <w:right w:val="nil"/>
            </w:tcBorders>
          </w:tcPr>
          <w:p w14:paraId="1A5A1C2C" w14:textId="77777777" w:rsidR="00ED4077" w:rsidRDefault="00ED4077" w:rsidP="0039058B">
            <w:pPr>
              <w:pStyle w:val="CETBodytext"/>
              <w:spacing w:line="22" w:lineRule="atLeast"/>
              <w:jc w:val="center"/>
            </w:pPr>
            <w:r>
              <w:t>T</w:t>
            </w:r>
            <w:r w:rsidRPr="00DE0668">
              <w:rPr>
                <w:vertAlign w:val="subscript"/>
              </w:rPr>
              <w:t>out</w:t>
            </w:r>
            <w:r>
              <w:t xml:space="preserve"> (K)</w:t>
            </w:r>
          </w:p>
        </w:tc>
        <w:tc>
          <w:tcPr>
            <w:tcW w:w="768" w:type="dxa"/>
            <w:tcBorders>
              <w:top w:val="single" w:sz="4" w:space="0" w:color="auto"/>
              <w:left w:val="nil"/>
              <w:bottom w:val="single" w:sz="4" w:space="0" w:color="auto"/>
              <w:right w:val="nil"/>
            </w:tcBorders>
          </w:tcPr>
          <w:p w14:paraId="0DF776A4" w14:textId="77777777" w:rsidR="00ED4077" w:rsidRDefault="00ED4077" w:rsidP="0039058B">
            <w:pPr>
              <w:pStyle w:val="CETBodytext"/>
              <w:spacing w:line="22" w:lineRule="atLeast"/>
              <w:jc w:val="center"/>
            </w:pPr>
            <w:r>
              <w:rPr>
                <w:rFonts w:cs="Arial"/>
              </w:rPr>
              <w:t>γ</w:t>
            </w:r>
          </w:p>
        </w:tc>
        <w:tc>
          <w:tcPr>
            <w:tcW w:w="1065" w:type="dxa"/>
            <w:gridSpan w:val="2"/>
            <w:tcBorders>
              <w:top w:val="single" w:sz="4" w:space="0" w:color="auto"/>
              <w:left w:val="nil"/>
              <w:bottom w:val="single" w:sz="4" w:space="0" w:color="auto"/>
              <w:right w:val="nil"/>
            </w:tcBorders>
          </w:tcPr>
          <w:p w14:paraId="698F1CF6" w14:textId="3F8E5842" w:rsidR="00ED4077" w:rsidRDefault="00ED4077" w:rsidP="0039058B">
            <w:pPr>
              <w:pStyle w:val="CETBodytext"/>
              <w:spacing w:line="22" w:lineRule="atLeast"/>
              <w:jc w:val="center"/>
            </w:pPr>
            <w:r>
              <w:t>p</w:t>
            </w:r>
            <w:r w:rsidRPr="00DE0668">
              <w:rPr>
                <w:vertAlign w:val="subscript"/>
              </w:rPr>
              <w:t>son</w:t>
            </w:r>
            <w:r>
              <w:t xml:space="preserve"> (</w:t>
            </w:r>
            <w:r w:rsidR="002654DE">
              <w:t>M</w:t>
            </w:r>
            <w:r>
              <w:t>Pa)</w:t>
            </w:r>
          </w:p>
        </w:tc>
        <w:tc>
          <w:tcPr>
            <w:tcW w:w="724" w:type="dxa"/>
            <w:tcBorders>
              <w:top w:val="single" w:sz="4" w:space="0" w:color="auto"/>
              <w:left w:val="nil"/>
              <w:bottom w:val="single" w:sz="4" w:space="0" w:color="auto"/>
              <w:right w:val="nil"/>
            </w:tcBorders>
          </w:tcPr>
          <w:p w14:paraId="3256E9BA" w14:textId="77777777" w:rsidR="00ED4077" w:rsidRDefault="00ED4077" w:rsidP="0039058B">
            <w:pPr>
              <w:pStyle w:val="CETBodytext"/>
              <w:spacing w:line="22" w:lineRule="atLeast"/>
              <w:jc w:val="center"/>
            </w:pPr>
            <w:r>
              <w:t>Flow</w:t>
            </w:r>
          </w:p>
        </w:tc>
        <w:tc>
          <w:tcPr>
            <w:tcW w:w="780" w:type="dxa"/>
            <w:tcBorders>
              <w:top w:val="single" w:sz="4" w:space="0" w:color="auto"/>
              <w:left w:val="nil"/>
              <w:bottom w:val="single" w:sz="4" w:space="0" w:color="auto"/>
              <w:right w:val="nil"/>
            </w:tcBorders>
          </w:tcPr>
          <w:p w14:paraId="4B514EAD" w14:textId="77777777" w:rsidR="00ED4077" w:rsidRDefault="00ED4077" w:rsidP="0039058B">
            <w:pPr>
              <w:pStyle w:val="CETBodytext"/>
              <w:spacing w:line="22" w:lineRule="atLeast"/>
              <w:jc w:val="center"/>
            </w:pPr>
            <w:r>
              <w:t>T</w:t>
            </w:r>
            <w:r w:rsidRPr="00DE0668">
              <w:rPr>
                <w:vertAlign w:val="subscript"/>
              </w:rPr>
              <w:t>r</w:t>
            </w:r>
          </w:p>
        </w:tc>
        <w:tc>
          <w:tcPr>
            <w:tcW w:w="800" w:type="dxa"/>
            <w:tcBorders>
              <w:top w:val="single" w:sz="4" w:space="0" w:color="auto"/>
              <w:left w:val="nil"/>
              <w:bottom w:val="single" w:sz="4" w:space="0" w:color="auto"/>
              <w:right w:val="nil"/>
            </w:tcBorders>
          </w:tcPr>
          <w:p w14:paraId="09440EFA" w14:textId="77777777" w:rsidR="00ED4077" w:rsidRDefault="00ED4077" w:rsidP="0039058B">
            <w:pPr>
              <w:pStyle w:val="CETBodytext"/>
              <w:spacing w:line="22" w:lineRule="atLeast"/>
              <w:jc w:val="center"/>
            </w:pPr>
            <w:r>
              <w:t>p</w:t>
            </w:r>
            <w:r w:rsidRPr="00DE0668">
              <w:rPr>
                <w:vertAlign w:val="subscript"/>
              </w:rPr>
              <w:t>r</w:t>
            </w:r>
          </w:p>
        </w:tc>
        <w:tc>
          <w:tcPr>
            <w:tcW w:w="785" w:type="dxa"/>
            <w:tcBorders>
              <w:top w:val="single" w:sz="4" w:space="0" w:color="auto"/>
              <w:left w:val="nil"/>
              <w:bottom w:val="single" w:sz="4" w:space="0" w:color="auto"/>
              <w:right w:val="nil"/>
            </w:tcBorders>
          </w:tcPr>
          <w:p w14:paraId="12FF5547" w14:textId="77777777" w:rsidR="00ED4077" w:rsidRDefault="00ED4077" w:rsidP="0039058B">
            <w:pPr>
              <w:pStyle w:val="CETBodytext"/>
              <w:spacing w:line="22" w:lineRule="atLeast"/>
              <w:jc w:val="center"/>
            </w:pPr>
            <w:r>
              <w:t>Z</w:t>
            </w:r>
          </w:p>
        </w:tc>
        <w:tc>
          <w:tcPr>
            <w:tcW w:w="1022" w:type="dxa"/>
            <w:tcBorders>
              <w:top w:val="single" w:sz="4" w:space="0" w:color="auto"/>
              <w:left w:val="nil"/>
              <w:bottom w:val="single" w:sz="4" w:space="0" w:color="auto"/>
              <w:right w:val="nil"/>
            </w:tcBorders>
          </w:tcPr>
          <w:p w14:paraId="68775111" w14:textId="4EAADF48" w:rsidR="00ED4077" w:rsidRDefault="00ED4077" w:rsidP="0039058B">
            <w:pPr>
              <w:pStyle w:val="CETBodytext"/>
              <w:spacing w:line="22" w:lineRule="atLeast"/>
              <w:jc w:val="center"/>
            </w:pPr>
            <w:r>
              <w:t>M</w:t>
            </w:r>
            <w:r w:rsidR="003D5483">
              <w:rPr>
                <w:vertAlign w:val="subscript"/>
              </w:rPr>
              <w:t>3</w:t>
            </w:r>
            <w:r>
              <w:t xml:space="preserve"> (kg/s)</w:t>
            </w:r>
          </w:p>
        </w:tc>
      </w:tr>
      <w:tr w:rsidR="00ED4077" w:rsidRPr="00350595" w14:paraId="44053005" w14:textId="77777777" w:rsidTr="00617CDB">
        <w:tc>
          <w:tcPr>
            <w:tcW w:w="1222" w:type="dxa"/>
            <w:tcBorders>
              <w:top w:val="single" w:sz="4" w:space="0" w:color="auto"/>
              <w:left w:val="nil"/>
              <w:bottom w:val="nil"/>
              <w:right w:val="nil"/>
            </w:tcBorders>
          </w:tcPr>
          <w:p w14:paraId="498095DC" w14:textId="5B61E005" w:rsidR="00ED4077" w:rsidRDefault="00ED4077" w:rsidP="0039058B">
            <w:pPr>
              <w:pStyle w:val="CETBodytext"/>
              <w:spacing w:line="22" w:lineRule="atLeast"/>
              <w:jc w:val="center"/>
            </w:pPr>
            <w:r>
              <w:t>5.25</w:t>
            </w:r>
          </w:p>
        </w:tc>
        <w:tc>
          <w:tcPr>
            <w:tcW w:w="900" w:type="dxa"/>
            <w:tcBorders>
              <w:top w:val="single" w:sz="4" w:space="0" w:color="auto"/>
              <w:left w:val="nil"/>
              <w:bottom w:val="nil"/>
              <w:right w:val="nil"/>
            </w:tcBorders>
          </w:tcPr>
          <w:p w14:paraId="6501F010" w14:textId="77777777" w:rsidR="00ED4077" w:rsidRDefault="00ED4077" w:rsidP="0039058B">
            <w:pPr>
              <w:pStyle w:val="CETBodytext"/>
              <w:spacing w:line="22" w:lineRule="atLeast"/>
              <w:jc w:val="center"/>
            </w:pPr>
            <w:r w:rsidRPr="007E2F66">
              <w:t>291.15</w:t>
            </w:r>
          </w:p>
        </w:tc>
        <w:tc>
          <w:tcPr>
            <w:tcW w:w="865" w:type="dxa"/>
            <w:tcBorders>
              <w:top w:val="single" w:sz="4" w:space="0" w:color="auto"/>
              <w:left w:val="nil"/>
              <w:bottom w:val="nil"/>
              <w:right w:val="nil"/>
            </w:tcBorders>
          </w:tcPr>
          <w:p w14:paraId="1663792C" w14:textId="7F10A36C" w:rsidR="00ED4077" w:rsidRDefault="00ED4077" w:rsidP="0039058B">
            <w:pPr>
              <w:pStyle w:val="CETBodytext"/>
              <w:spacing w:line="22" w:lineRule="atLeast"/>
              <w:jc w:val="center"/>
            </w:pPr>
            <w:r>
              <w:t>4</w:t>
            </w:r>
            <w:r w:rsidR="009C7803">
              <w:t>46</w:t>
            </w:r>
            <w:r>
              <w:t>.</w:t>
            </w:r>
            <w:r w:rsidR="009C7803">
              <w:t>2</w:t>
            </w:r>
          </w:p>
        </w:tc>
        <w:tc>
          <w:tcPr>
            <w:tcW w:w="768" w:type="dxa"/>
            <w:tcBorders>
              <w:top w:val="single" w:sz="4" w:space="0" w:color="auto"/>
              <w:left w:val="nil"/>
              <w:bottom w:val="nil"/>
              <w:right w:val="nil"/>
            </w:tcBorders>
          </w:tcPr>
          <w:p w14:paraId="012C3AEB" w14:textId="77777777" w:rsidR="00ED4077" w:rsidRDefault="00ED4077" w:rsidP="0039058B">
            <w:pPr>
              <w:pStyle w:val="CETBodytext"/>
              <w:spacing w:line="22" w:lineRule="atLeast"/>
              <w:jc w:val="center"/>
            </w:pPr>
            <w:r>
              <w:t>1.39</w:t>
            </w:r>
          </w:p>
        </w:tc>
        <w:tc>
          <w:tcPr>
            <w:tcW w:w="919" w:type="dxa"/>
            <w:tcBorders>
              <w:top w:val="single" w:sz="4" w:space="0" w:color="auto"/>
              <w:left w:val="nil"/>
              <w:bottom w:val="nil"/>
              <w:right w:val="nil"/>
            </w:tcBorders>
          </w:tcPr>
          <w:p w14:paraId="18DD0A1D" w14:textId="5A363ECB" w:rsidR="00ED4077" w:rsidRDefault="002654DE" w:rsidP="0039058B">
            <w:pPr>
              <w:pStyle w:val="CETBodytext"/>
              <w:spacing w:line="22" w:lineRule="atLeast"/>
              <w:jc w:val="center"/>
            </w:pPr>
            <w:r>
              <w:t>2.8</w:t>
            </w:r>
          </w:p>
        </w:tc>
        <w:tc>
          <w:tcPr>
            <w:tcW w:w="870" w:type="dxa"/>
            <w:gridSpan w:val="2"/>
            <w:tcBorders>
              <w:top w:val="single" w:sz="4" w:space="0" w:color="auto"/>
              <w:left w:val="nil"/>
              <w:bottom w:val="nil"/>
              <w:right w:val="nil"/>
            </w:tcBorders>
          </w:tcPr>
          <w:p w14:paraId="72D9AB9D" w14:textId="60D6C85F" w:rsidR="00ED4077" w:rsidRDefault="001A1E4A" w:rsidP="0039058B">
            <w:pPr>
              <w:pStyle w:val="CETBodytext"/>
              <w:spacing w:line="22" w:lineRule="atLeast"/>
              <w:jc w:val="center"/>
            </w:pPr>
            <w:r>
              <w:t xml:space="preserve">  </w:t>
            </w:r>
            <w:r w:rsidR="00ED4077">
              <w:t>sonic</w:t>
            </w:r>
          </w:p>
        </w:tc>
        <w:tc>
          <w:tcPr>
            <w:tcW w:w="780" w:type="dxa"/>
            <w:tcBorders>
              <w:top w:val="single" w:sz="4" w:space="0" w:color="auto"/>
              <w:left w:val="nil"/>
              <w:bottom w:val="nil"/>
              <w:right w:val="nil"/>
            </w:tcBorders>
          </w:tcPr>
          <w:p w14:paraId="23998A67" w14:textId="10A42F98" w:rsidR="00ED4077" w:rsidRDefault="00ED4077" w:rsidP="0039058B">
            <w:pPr>
              <w:pStyle w:val="CETBodytext"/>
              <w:spacing w:line="22" w:lineRule="atLeast"/>
              <w:jc w:val="center"/>
            </w:pPr>
            <w:r>
              <w:t>2.3</w:t>
            </w:r>
            <w:r w:rsidR="009C7803">
              <w:t>4</w:t>
            </w:r>
          </w:p>
        </w:tc>
        <w:tc>
          <w:tcPr>
            <w:tcW w:w="800" w:type="dxa"/>
            <w:tcBorders>
              <w:top w:val="single" w:sz="4" w:space="0" w:color="auto"/>
              <w:left w:val="nil"/>
              <w:bottom w:val="nil"/>
              <w:right w:val="nil"/>
            </w:tcBorders>
          </w:tcPr>
          <w:p w14:paraId="545F63EA" w14:textId="76C72678" w:rsidR="00ED4077" w:rsidRDefault="009C7803" w:rsidP="0039058B">
            <w:pPr>
              <w:pStyle w:val="CETBodytext"/>
              <w:spacing w:line="22" w:lineRule="atLeast"/>
              <w:jc w:val="center"/>
            </w:pPr>
            <w:r>
              <w:t>1</w:t>
            </w:r>
            <w:r w:rsidR="00ED4077">
              <w:t>.</w:t>
            </w:r>
            <w:r>
              <w:t>14</w:t>
            </w:r>
          </w:p>
        </w:tc>
        <w:tc>
          <w:tcPr>
            <w:tcW w:w="785" w:type="dxa"/>
            <w:tcBorders>
              <w:top w:val="single" w:sz="4" w:space="0" w:color="auto"/>
              <w:left w:val="nil"/>
              <w:bottom w:val="nil"/>
              <w:right w:val="nil"/>
            </w:tcBorders>
          </w:tcPr>
          <w:p w14:paraId="6A88E152" w14:textId="036EBABD" w:rsidR="00ED4077" w:rsidRDefault="00ED4077" w:rsidP="0039058B">
            <w:pPr>
              <w:pStyle w:val="CETBodytext"/>
              <w:spacing w:line="22" w:lineRule="atLeast"/>
              <w:jc w:val="center"/>
            </w:pPr>
            <w:r>
              <w:t>1.0</w:t>
            </w:r>
            <w:r w:rsidR="009C7803">
              <w:t>2</w:t>
            </w:r>
          </w:p>
        </w:tc>
        <w:tc>
          <w:tcPr>
            <w:tcW w:w="1022" w:type="dxa"/>
            <w:tcBorders>
              <w:top w:val="single" w:sz="4" w:space="0" w:color="auto"/>
              <w:left w:val="nil"/>
              <w:bottom w:val="nil"/>
              <w:right w:val="nil"/>
            </w:tcBorders>
          </w:tcPr>
          <w:p w14:paraId="2038F469" w14:textId="7AD4E5D9" w:rsidR="00ED4077" w:rsidRPr="009C7803" w:rsidRDefault="009C7803" w:rsidP="0039058B">
            <w:pPr>
              <w:pStyle w:val="CETBodytext"/>
              <w:spacing w:line="22" w:lineRule="atLeast"/>
              <w:jc w:val="center"/>
            </w:pPr>
            <w:r w:rsidRPr="009C7803">
              <w:t>0.03</w:t>
            </w:r>
          </w:p>
        </w:tc>
      </w:tr>
      <w:tr w:rsidR="00ED4077" w14:paraId="33027E12" w14:textId="77777777" w:rsidTr="00617CDB">
        <w:tc>
          <w:tcPr>
            <w:tcW w:w="1222" w:type="dxa"/>
            <w:tcBorders>
              <w:top w:val="nil"/>
              <w:left w:val="nil"/>
              <w:bottom w:val="nil"/>
              <w:right w:val="nil"/>
            </w:tcBorders>
          </w:tcPr>
          <w:p w14:paraId="160FFB6C" w14:textId="2567D04F" w:rsidR="00ED4077" w:rsidRDefault="00ED4077" w:rsidP="0039058B">
            <w:pPr>
              <w:pStyle w:val="CETBodytext"/>
              <w:spacing w:line="22" w:lineRule="atLeast"/>
              <w:jc w:val="center"/>
            </w:pPr>
            <w:r>
              <w:t>6.3</w:t>
            </w:r>
          </w:p>
        </w:tc>
        <w:tc>
          <w:tcPr>
            <w:tcW w:w="900" w:type="dxa"/>
            <w:tcBorders>
              <w:top w:val="nil"/>
              <w:left w:val="nil"/>
              <w:bottom w:val="nil"/>
              <w:right w:val="nil"/>
            </w:tcBorders>
          </w:tcPr>
          <w:p w14:paraId="7E2D1C46" w14:textId="77777777" w:rsidR="00ED4077" w:rsidRDefault="00ED4077" w:rsidP="0039058B">
            <w:pPr>
              <w:pStyle w:val="CETBodytext"/>
              <w:spacing w:line="22" w:lineRule="atLeast"/>
              <w:jc w:val="center"/>
            </w:pPr>
            <w:r w:rsidRPr="007E2F66">
              <w:t>291.15</w:t>
            </w:r>
          </w:p>
        </w:tc>
        <w:tc>
          <w:tcPr>
            <w:tcW w:w="865" w:type="dxa"/>
            <w:tcBorders>
              <w:top w:val="nil"/>
              <w:left w:val="nil"/>
              <w:bottom w:val="nil"/>
              <w:right w:val="nil"/>
            </w:tcBorders>
          </w:tcPr>
          <w:p w14:paraId="23A2928E" w14:textId="2BDA2D71" w:rsidR="00ED4077" w:rsidRDefault="00ED4077" w:rsidP="0039058B">
            <w:pPr>
              <w:pStyle w:val="CETBodytext"/>
              <w:spacing w:line="22" w:lineRule="atLeast"/>
              <w:jc w:val="center"/>
            </w:pPr>
            <w:r>
              <w:t>4</w:t>
            </w:r>
            <w:r w:rsidR="009C7803">
              <w:t>57</w:t>
            </w:r>
            <w:r>
              <w:t>.</w:t>
            </w:r>
            <w:r w:rsidR="009C7803">
              <w:t>1</w:t>
            </w:r>
          </w:p>
        </w:tc>
        <w:tc>
          <w:tcPr>
            <w:tcW w:w="768" w:type="dxa"/>
            <w:tcBorders>
              <w:top w:val="nil"/>
              <w:left w:val="nil"/>
              <w:bottom w:val="nil"/>
              <w:right w:val="nil"/>
            </w:tcBorders>
          </w:tcPr>
          <w:p w14:paraId="2EDD256F" w14:textId="77777777" w:rsidR="00ED4077" w:rsidRPr="000E4444" w:rsidRDefault="00ED4077" w:rsidP="0039058B">
            <w:pPr>
              <w:pStyle w:val="CETBodytext"/>
              <w:spacing w:line="22" w:lineRule="atLeast"/>
              <w:jc w:val="center"/>
            </w:pPr>
            <w:r w:rsidRPr="00C76F04">
              <w:t>1.39</w:t>
            </w:r>
          </w:p>
        </w:tc>
        <w:tc>
          <w:tcPr>
            <w:tcW w:w="919" w:type="dxa"/>
            <w:tcBorders>
              <w:top w:val="nil"/>
              <w:left w:val="nil"/>
              <w:bottom w:val="nil"/>
              <w:right w:val="nil"/>
            </w:tcBorders>
          </w:tcPr>
          <w:p w14:paraId="74F1D09D" w14:textId="220E9517" w:rsidR="00ED4077" w:rsidRDefault="002654DE" w:rsidP="0039058B">
            <w:pPr>
              <w:pStyle w:val="CETBodytext"/>
              <w:spacing w:line="22" w:lineRule="atLeast"/>
              <w:jc w:val="center"/>
            </w:pPr>
            <w:r>
              <w:t>3.</w:t>
            </w:r>
            <w:r w:rsidR="00076EAD">
              <w:t>4</w:t>
            </w:r>
          </w:p>
        </w:tc>
        <w:tc>
          <w:tcPr>
            <w:tcW w:w="870" w:type="dxa"/>
            <w:gridSpan w:val="2"/>
            <w:tcBorders>
              <w:top w:val="nil"/>
              <w:left w:val="nil"/>
              <w:bottom w:val="nil"/>
              <w:right w:val="nil"/>
            </w:tcBorders>
          </w:tcPr>
          <w:p w14:paraId="7BDD0733" w14:textId="3BD89B57" w:rsidR="00ED4077" w:rsidRDefault="001A1E4A" w:rsidP="0039058B">
            <w:pPr>
              <w:pStyle w:val="CETBodytext"/>
              <w:spacing w:line="22" w:lineRule="atLeast"/>
              <w:jc w:val="center"/>
            </w:pPr>
            <w:r>
              <w:t xml:space="preserve">  </w:t>
            </w:r>
            <w:r w:rsidR="00ED4077">
              <w:t>sonic</w:t>
            </w:r>
          </w:p>
        </w:tc>
        <w:tc>
          <w:tcPr>
            <w:tcW w:w="780" w:type="dxa"/>
            <w:tcBorders>
              <w:top w:val="nil"/>
              <w:left w:val="nil"/>
              <w:bottom w:val="nil"/>
              <w:right w:val="nil"/>
            </w:tcBorders>
          </w:tcPr>
          <w:p w14:paraId="696A2C95" w14:textId="2386B4EF" w:rsidR="00ED4077" w:rsidRDefault="00ED4077" w:rsidP="0039058B">
            <w:pPr>
              <w:pStyle w:val="CETBodytext"/>
              <w:spacing w:line="22" w:lineRule="atLeast"/>
              <w:jc w:val="center"/>
            </w:pPr>
            <w:r>
              <w:t>2.4</w:t>
            </w:r>
          </w:p>
        </w:tc>
        <w:tc>
          <w:tcPr>
            <w:tcW w:w="800" w:type="dxa"/>
            <w:tcBorders>
              <w:top w:val="nil"/>
              <w:left w:val="nil"/>
              <w:bottom w:val="nil"/>
              <w:right w:val="nil"/>
            </w:tcBorders>
          </w:tcPr>
          <w:p w14:paraId="293D301D" w14:textId="471A3604" w:rsidR="00ED4077" w:rsidRDefault="009C7803" w:rsidP="0039058B">
            <w:pPr>
              <w:pStyle w:val="CETBodytext"/>
              <w:spacing w:line="22" w:lineRule="atLeast"/>
              <w:jc w:val="center"/>
            </w:pPr>
            <w:r>
              <w:t>1</w:t>
            </w:r>
            <w:r w:rsidR="00ED4077">
              <w:t>.37</w:t>
            </w:r>
          </w:p>
        </w:tc>
        <w:tc>
          <w:tcPr>
            <w:tcW w:w="785" w:type="dxa"/>
            <w:tcBorders>
              <w:top w:val="nil"/>
              <w:left w:val="nil"/>
              <w:bottom w:val="nil"/>
              <w:right w:val="nil"/>
            </w:tcBorders>
          </w:tcPr>
          <w:p w14:paraId="2B6B962A" w14:textId="7F4301E8" w:rsidR="00ED4077" w:rsidRDefault="009C7803" w:rsidP="0039058B">
            <w:pPr>
              <w:pStyle w:val="CETBodytext"/>
              <w:spacing w:line="22" w:lineRule="atLeast"/>
              <w:jc w:val="center"/>
            </w:pPr>
            <w:r>
              <w:t>0</w:t>
            </w:r>
            <w:r w:rsidR="00ED4077">
              <w:t>.</w:t>
            </w:r>
            <w:r>
              <w:t>98</w:t>
            </w:r>
          </w:p>
        </w:tc>
        <w:tc>
          <w:tcPr>
            <w:tcW w:w="1022" w:type="dxa"/>
            <w:tcBorders>
              <w:top w:val="nil"/>
              <w:left w:val="nil"/>
              <w:bottom w:val="nil"/>
              <w:right w:val="nil"/>
            </w:tcBorders>
          </w:tcPr>
          <w:p w14:paraId="596C83A0" w14:textId="2BF8C660" w:rsidR="00ED4077" w:rsidRDefault="009C7803" w:rsidP="0039058B">
            <w:pPr>
              <w:pStyle w:val="CETBodytext"/>
              <w:spacing w:line="22" w:lineRule="atLeast"/>
              <w:jc w:val="center"/>
            </w:pPr>
            <w:r>
              <w:t>3</w:t>
            </w:r>
            <w:r w:rsidR="00ED4077">
              <w:t>.</w:t>
            </w:r>
            <w:r>
              <w:t>2</w:t>
            </w:r>
            <w:r w:rsidR="00ED4077">
              <w:rPr>
                <w:rFonts w:cs="Arial"/>
              </w:rPr>
              <w:t>·</w:t>
            </w:r>
            <w:r w:rsidR="00ED4077">
              <w:t>10</w:t>
            </w:r>
            <w:r w:rsidR="00ED4077">
              <w:rPr>
                <w:vertAlign w:val="superscript"/>
              </w:rPr>
              <w:t>-</w:t>
            </w:r>
            <w:r>
              <w:rPr>
                <w:vertAlign w:val="superscript"/>
              </w:rPr>
              <w:t>2</w:t>
            </w:r>
          </w:p>
        </w:tc>
      </w:tr>
      <w:tr w:rsidR="00ED4077" w14:paraId="34534D59" w14:textId="77777777" w:rsidTr="00617CDB">
        <w:tc>
          <w:tcPr>
            <w:tcW w:w="1222" w:type="dxa"/>
            <w:tcBorders>
              <w:top w:val="nil"/>
              <w:left w:val="nil"/>
              <w:bottom w:val="single" w:sz="4" w:space="0" w:color="auto"/>
              <w:right w:val="nil"/>
            </w:tcBorders>
          </w:tcPr>
          <w:p w14:paraId="01AB566E" w14:textId="67F16752" w:rsidR="00ED4077" w:rsidRDefault="00ED4077" w:rsidP="0039058B">
            <w:pPr>
              <w:pStyle w:val="CETBodytext"/>
              <w:spacing w:line="22" w:lineRule="atLeast"/>
              <w:jc w:val="center"/>
            </w:pPr>
            <w:r>
              <w:t>7.35</w:t>
            </w:r>
          </w:p>
        </w:tc>
        <w:tc>
          <w:tcPr>
            <w:tcW w:w="900" w:type="dxa"/>
            <w:tcBorders>
              <w:top w:val="nil"/>
              <w:left w:val="nil"/>
              <w:bottom w:val="single" w:sz="4" w:space="0" w:color="auto"/>
              <w:right w:val="nil"/>
            </w:tcBorders>
          </w:tcPr>
          <w:p w14:paraId="251F5DEE" w14:textId="77777777" w:rsidR="00ED4077" w:rsidRDefault="00ED4077" w:rsidP="0039058B">
            <w:pPr>
              <w:pStyle w:val="CETBodytext"/>
              <w:spacing w:line="22" w:lineRule="atLeast"/>
              <w:jc w:val="center"/>
            </w:pPr>
            <w:r w:rsidRPr="007E2F66">
              <w:t>291.15</w:t>
            </w:r>
          </w:p>
        </w:tc>
        <w:tc>
          <w:tcPr>
            <w:tcW w:w="865" w:type="dxa"/>
            <w:tcBorders>
              <w:top w:val="nil"/>
              <w:left w:val="nil"/>
              <w:bottom w:val="single" w:sz="4" w:space="0" w:color="auto"/>
              <w:right w:val="nil"/>
            </w:tcBorders>
          </w:tcPr>
          <w:p w14:paraId="3F632E22" w14:textId="65EFDF6F" w:rsidR="00ED4077" w:rsidRDefault="00ED4077" w:rsidP="0039058B">
            <w:pPr>
              <w:pStyle w:val="CETBodytext"/>
              <w:spacing w:line="22" w:lineRule="atLeast"/>
              <w:jc w:val="center"/>
            </w:pPr>
            <w:r>
              <w:t>4</w:t>
            </w:r>
            <w:r w:rsidR="009C7803">
              <w:t>69</w:t>
            </w:r>
          </w:p>
        </w:tc>
        <w:tc>
          <w:tcPr>
            <w:tcW w:w="768" w:type="dxa"/>
            <w:tcBorders>
              <w:top w:val="nil"/>
              <w:left w:val="nil"/>
              <w:bottom w:val="single" w:sz="4" w:space="0" w:color="auto"/>
              <w:right w:val="nil"/>
            </w:tcBorders>
          </w:tcPr>
          <w:p w14:paraId="5AEDA172" w14:textId="77777777" w:rsidR="00ED4077" w:rsidRPr="000E4444" w:rsidRDefault="00ED4077" w:rsidP="0039058B">
            <w:pPr>
              <w:pStyle w:val="CETBodytext"/>
              <w:spacing w:line="22" w:lineRule="atLeast"/>
              <w:jc w:val="center"/>
            </w:pPr>
            <w:r w:rsidRPr="00C76F04">
              <w:t>1.39</w:t>
            </w:r>
          </w:p>
        </w:tc>
        <w:tc>
          <w:tcPr>
            <w:tcW w:w="919" w:type="dxa"/>
            <w:tcBorders>
              <w:top w:val="nil"/>
              <w:left w:val="nil"/>
              <w:bottom w:val="single" w:sz="4" w:space="0" w:color="auto"/>
              <w:right w:val="nil"/>
            </w:tcBorders>
          </w:tcPr>
          <w:p w14:paraId="69577D1C" w14:textId="3DD60E93" w:rsidR="00ED4077" w:rsidRDefault="002654DE" w:rsidP="0039058B">
            <w:pPr>
              <w:pStyle w:val="CETBodytext"/>
              <w:spacing w:line="22" w:lineRule="atLeast"/>
              <w:jc w:val="center"/>
            </w:pPr>
            <w:r>
              <w:t>3.9</w:t>
            </w:r>
            <w:r w:rsidR="008E6C0D">
              <w:t>7</w:t>
            </w:r>
          </w:p>
        </w:tc>
        <w:tc>
          <w:tcPr>
            <w:tcW w:w="870" w:type="dxa"/>
            <w:gridSpan w:val="2"/>
            <w:tcBorders>
              <w:top w:val="nil"/>
              <w:left w:val="nil"/>
              <w:bottom w:val="single" w:sz="4" w:space="0" w:color="auto"/>
              <w:right w:val="nil"/>
            </w:tcBorders>
          </w:tcPr>
          <w:p w14:paraId="5C678E2F" w14:textId="0EAC8A4F" w:rsidR="00ED4077" w:rsidRDefault="001A1E4A" w:rsidP="0039058B">
            <w:pPr>
              <w:pStyle w:val="CETBodytext"/>
              <w:spacing w:line="22" w:lineRule="atLeast"/>
              <w:jc w:val="center"/>
            </w:pPr>
            <w:r>
              <w:t xml:space="preserve">  </w:t>
            </w:r>
            <w:r w:rsidR="00ED4077">
              <w:t>sonic</w:t>
            </w:r>
          </w:p>
        </w:tc>
        <w:tc>
          <w:tcPr>
            <w:tcW w:w="780" w:type="dxa"/>
            <w:tcBorders>
              <w:top w:val="nil"/>
              <w:left w:val="nil"/>
              <w:bottom w:val="single" w:sz="4" w:space="0" w:color="auto"/>
              <w:right w:val="nil"/>
            </w:tcBorders>
          </w:tcPr>
          <w:p w14:paraId="0BC69A50" w14:textId="077695B5" w:rsidR="00ED4077" w:rsidRDefault="00ED4077" w:rsidP="0039058B">
            <w:pPr>
              <w:pStyle w:val="CETBodytext"/>
              <w:spacing w:line="22" w:lineRule="atLeast"/>
              <w:jc w:val="center"/>
            </w:pPr>
            <w:r>
              <w:t>2.4</w:t>
            </w:r>
            <w:r w:rsidR="009C7803">
              <w:t>6</w:t>
            </w:r>
          </w:p>
        </w:tc>
        <w:tc>
          <w:tcPr>
            <w:tcW w:w="800" w:type="dxa"/>
            <w:tcBorders>
              <w:top w:val="nil"/>
              <w:left w:val="nil"/>
              <w:bottom w:val="single" w:sz="4" w:space="0" w:color="auto"/>
              <w:right w:val="nil"/>
            </w:tcBorders>
          </w:tcPr>
          <w:p w14:paraId="5D1A9E7E" w14:textId="3F51EB58" w:rsidR="00ED4077" w:rsidRDefault="009C7803" w:rsidP="0039058B">
            <w:pPr>
              <w:pStyle w:val="CETBodytext"/>
              <w:spacing w:line="22" w:lineRule="atLeast"/>
              <w:jc w:val="center"/>
            </w:pPr>
            <w:r>
              <w:t>1</w:t>
            </w:r>
            <w:r w:rsidR="00ED4077">
              <w:t>.</w:t>
            </w:r>
            <w:r>
              <w:t>6</w:t>
            </w:r>
          </w:p>
        </w:tc>
        <w:tc>
          <w:tcPr>
            <w:tcW w:w="785" w:type="dxa"/>
            <w:tcBorders>
              <w:top w:val="nil"/>
              <w:left w:val="nil"/>
              <w:bottom w:val="single" w:sz="4" w:space="0" w:color="auto"/>
              <w:right w:val="nil"/>
            </w:tcBorders>
          </w:tcPr>
          <w:p w14:paraId="613F20C9" w14:textId="27D0BBB3" w:rsidR="00ED4077" w:rsidRDefault="00ED4077" w:rsidP="0039058B">
            <w:pPr>
              <w:pStyle w:val="CETBodytext"/>
              <w:spacing w:line="22" w:lineRule="atLeast"/>
              <w:jc w:val="center"/>
            </w:pPr>
            <w:r>
              <w:t>1</w:t>
            </w:r>
            <w:r w:rsidR="00FE7E8F">
              <w:t>.</w:t>
            </w:r>
            <w:r w:rsidR="008E6C0D">
              <w:t>01</w:t>
            </w:r>
          </w:p>
        </w:tc>
        <w:tc>
          <w:tcPr>
            <w:tcW w:w="1022" w:type="dxa"/>
            <w:tcBorders>
              <w:top w:val="nil"/>
              <w:left w:val="nil"/>
              <w:bottom w:val="single" w:sz="4" w:space="0" w:color="auto"/>
              <w:right w:val="nil"/>
            </w:tcBorders>
          </w:tcPr>
          <w:p w14:paraId="4DD9B721" w14:textId="4E504FAD" w:rsidR="00ED4077" w:rsidRDefault="00ED4077" w:rsidP="0039058B">
            <w:pPr>
              <w:pStyle w:val="CETBodytext"/>
              <w:spacing w:line="22" w:lineRule="atLeast"/>
              <w:jc w:val="center"/>
            </w:pPr>
            <w:r>
              <w:t>0.0</w:t>
            </w:r>
            <w:r w:rsidR="009C7803">
              <w:t>4</w:t>
            </w:r>
          </w:p>
        </w:tc>
      </w:tr>
    </w:tbl>
    <w:p w14:paraId="23E90369" w14:textId="32EEEC5D" w:rsidR="00ED4077" w:rsidRDefault="00ED4077" w:rsidP="0039058B">
      <w:pPr>
        <w:pStyle w:val="CETBodytext"/>
        <w:spacing w:line="22" w:lineRule="atLeast"/>
        <w:rPr>
          <w:rFonts w:cs="Arial"/>
          <w:szCs w:val="18"/>
          <w:lang w:val="en-GB"/>
        </w:rPr>
      </w:pPr>
    </w:p>
    <w:p w14:paraId="12EE7538" w14:textId="3D76D824" w:rsidR="006C6B81" w:rsidRPr="006C6B81" w:rsidRDefault="006C6B81" w:rsidP="0039058B">
      <w:pPr>
        <w:pStyle w:val="CETBodytext"/>
        <w:spacing w:line="22" w:lineRule="atLeast"/>
        <w:rPr>
          <w:rFonts w:cs="Arial"/>
          <w:i/>
          <w:szCs w:val="18"/>
          <w:lang w:val="en-GB"/>
        </w:rPr>
      </w:pPr>
      <w:r w:rsidRPr="006C6B81">
        <w:rPr>
          <w:rFonts w:cs="Arial"/>
          <w:i/>
          <w:szCs w:val="18"/>
          <w:lang w:val="en-GB"/>
        </w:rPr>
        <w:t>Table 7: RC values</w:t>
      </w:r>
    </w:p>
    <w:tbl>
      <w:tblPr>
        <w:tblStyle w:val="Grigliatabella"/>
        <w:tblW w:w="4111" w:type="dxa"/>
        <w:tblLook w:val="04A0" w:firstRow="1" w:lastRow="0" w:firstColumn="1" w:lastColumn="0" w:noHBand="0" w:noVBand="1"/>
      </w:tblPr>
      <w:tblGrid>
        <w:gridCol w:w="1024"/>
        <w:gridCol w:w="963"/>
        <w:gridCol w:w="903"/>
        <w:gridCol w:w="1221"/>
      </w:tblGrid>
      <w:tr w:rsidR="00E8447D" w14:paraId="2780E43B" w14:textId="68F39AB9" w:rsidTr="00E8447D">
        <w:tc>
          <w:tcPr>
            <w:tcW w:w="1024" w:type="dxa"/>
            <w:tcBorders>
              <w:top w:val="single" w:sz="4" w:space="0" w:color="auto"/>
              <w:left w:val="nil"/>
              <w:bottom w:val="single" w:sz="4" w:space="0" w:color="auto"/>
              <w:right w:val="nil"/>
            </w:tcBorders>
          </w:tcPr>
          <w:p w14:paraId="7D5C32C8" w14:textId="77777777" w:rsidR="00E8447D" w:rsidRDefault="00E8447D" w:rsidP="0039058B">
            <w:pPr>
              <w:pStyle w:val="CETBodytext"/>
              <w:spacing w:line="22" w:lineRule="atLeast"/>
              <w:jc w:val="center"/>
            </w:pPr>
            <w:r>
              <w:t>p</w:t>
            </w:r>
            <w:r w:rsidRPr="00DE0668">
              <w:rPr>
                <w:vertAlign w:val="subscript"/>
              </w:rPr>
              <w:t>out</w:t>
            </w:r>
            <w:r>
              <w:t xml:space="preserve"> (MPa)</w:t>
            </w:r>
          </w:p>
        </w:tc>
        <w:tc>
          <w:tcPr>
            <w:tcW w:w="963" w:type="dxa"/>
            <w:tcBorders>
              <w:top w:val="single" w:sz="4" w:space="0" w:color="auto"/>
              <w:left w:val="nil"/>
              <w:bottom w:val="single" w:sz="4" w:space="0" w:color="auto"/>
              <w:right w:val="nil"/>
            </w:tcBorders>
          </w:tcPr>
          <w:p w14:paraId="5515288D" w14:textId="42253190" w:rsidR="00E8447D" w:rsidRPr="00DA6C6A" w:rsidRDefault="00E8447D" w:rsidP="0039058B">
            <w:pPr>
              <w:pStyle w:val="CETBodytext"/>
              <w:spacing w:line="22" w:lineRule="atLeast"/>
              <w:jc w:val="center"/>
            </w:pPr>
            <w:r>
              <w:rPr>
                <w:rFonts w:cs="Arial"/>
              </w:rPr>
              <w:t>ρ</w:t>
            </w:r>
            <w:r>
              <w:rPr>
                <w:vertAlign w:val="subscript"/>
              </w:rPr>
              <w:t>g</w:t>
            </w:r>
            <w:r>
              <w:t>(kg/m</w:t>
            </w:r>
            <w:r w:rsidRPr="00DA6C6A">
              <w:rPr>
                <w:vertAlign w:val="superscript"/>
              </w:rPr>
              <w:t>3</w:t>
            </w:r>
            <w:r>
              <w:t>)</w:t>
            </w:r>
          </w:p>
        </w:tc>
        <w:tc>
          <w:tcPr>
            <w:tcW w:w="903" w:type="dxa"/>
            <w:tcBorders>
              <w:top w:val="single" w:sz="4" w:space="0" w:color="auto"/>
              <w:left w:val="nil"/>
              <w:bottom w:val="single" w:sz="4" w:space="0" w:color="auto"/>
              <w:right w:val="nil"/>
            </w:tcBorders>
          </w:tcPr>
          <w:p w14:paraId="27C199D7" w14:textId="0E1709D2" w:rsidR="00E8447D" w:rsidRPr="00DA6C6A" w:rsidRDefault="00E8447D" w:rsidP="0039058B">
            <w:pPr>
              <w:pStyle w:val="CETBodytext"/>
              <w:spacing w:line="22" w:lineRule="atLeast"/>
              <w:jc w:val="center"/>
            </w:pPr>
            <w:r>
              <w:t>W</w:t>
            </w:r>
            <w:r>
              <w:rPr>
                <w:vertAlign w:val="subscript"/>
              </w:rPr>
              <w:t>g</w:t>
            </w:r>
            <w:r>
              <w:t>(kg/s)</w:t>
            </w:r>
          </w:p>
        </w:tc>
        <w:tc>
          <w:tcPr>
            <w:tcW w:w="1221" w:type="dxa"/>
            <w:tcBorders>
              <w:top w:val="single" w:sz="4" w:space="0" w:color="auto"/>
              <w:left w:val="nil"/>
              <w:bottom w:val="single" w:sz="4" w:space="0" w:color="auto"/>
              <w:right w:val="nil"/>
            </w:tcBorders>
          </w:tcPr>
          <w:p w14:paraId="4937A72B" w14:textId="2E9BEAAC" w:rsidR="00E8447D" w:rsidRDefault="00E8447D" w:rsidP="0039058B">
            <w:pPr>
              <w:pStyle w:val="CETBodytext"/>
              <w:spacing w:line="22" w:lineRule="atLeast"/>
              <w:jc w:val="center"/>
            </w:pPr>
            <w:r>
              <w:t>RC (m</w:t>
            </w:r>
            <w:r w:rsidRPr="00DA6C6A">
              <w:rPr>
                <w:vertAlign w:val="superscript"/>
              </w:rPr>
              <w:t>3</w:t>
            </w:r>
            <w:r>
              <w:t>/s)</w:t>
            </w:r>
          </w:p>
        </w:tc>
      </w:tr>
      <w:tr w:rsidR="00E8447D" w:rsidRPr="002C440F" w14:paraId="30412EA9" w14:textId="2773CDED" w:rsidTr="00E8447D">
        <w:tc>
          <w:tcPr>
            <w:tcW w:w="1024" w:type="dxa"/>
            <w:tcBorders>
              <w:top w:val="single" w:sz="4" w:space="0" w:color="auto"/>
              <w:left w:val="nil"/>
              <w:bottom w:val="nil"/>
              <w:right w:val="nil"/>
            </w:tcBorders>
          </w:tcPr>
          <w:p w14:paraId="16C07B63" w14:textId="77777777" w:rsidR="00E8447D" w:rsidRDefault="00E8447D" w:rsidP="0039058B">
            <w:pPr>
              <w:pStyle w:val="CETBodytext"/>
              <w:spacing w:line="22" w:lineRule="atLeast"/>
              <w:jc w:val="center"/>
            </w:pPr>
            <w:r>
              <w:t>5</w:t>
            </w:r>
          </w:p>
        </w:tc>
        <w:tc>
          <w:tcPr>
            <w:tcW w:w="963" w:type="dxa"/>
            <w:tcBorders>
              <w:top w:val="single" w:sz="4" w:space="0" w:color="auto"/>
              <w:left w:val="nil"/>
              <w:bottom w:val="nil"/>
              <w:right w:val="nil"/>
            </w:tcBorders>
          </w:tcPr>
          <w:p w14:paraId="714A312B" w14:textId="08996495" w:rsidR="00E8447D" w:rsidRDefault="00E8447D" w:rsidP="0039058B">
            <w:pPr>
              <w:pStyle w:val="CETBodytext"/>
              <w:spacing w:line="22" w:lineRule="atLeast"/>
              <w:jc w:val="center"/>
            </w:pPr>
            <w:r>
              <w:t>0.7</w:t>
            </w:r>
          </w:p>
        </w:tc>
        <w:tc>
          <w:tcPr>
            <w:tcW w:w="903" w:type="dxa"/>
            <w:tcBorders>
              <w:top w:val="single" w:sz="4" w:space="0" w:color="auto"/>
              <w:left w:val="nil"/>
              <w:bottom w:val="nil"/>
              <w:right w:val="nil"/>
            </w:tcBorders>
          </w:tcPr>
          <w:p w14:paraId="464D4544" w14:textId="31BB266B" w:rsidR="00E8447D" w:rsidRDefault="0007658F" w:rsidP="0039058B">
            <w:pPr>
              <w:pStyle w:val="CETBodytext"/>
              <w:spacing w:line="22" w:lineRule="atLeast"/>
              <w:jc w:val="center"/>
            </w:pPr>
            <w:r>
              <w:t>0.058</w:t>
            </w:r>
          </w:p>
        </w:tc>
        <w:tc>
          <w:tcPr>
            <w:tcW w:w="1221" w:type="dxa"/>
            <w:tcBorders>
              <w:top w:val="single" w:sz="4" w:space="0" w:color="auto"/>
              <w:left w:val="nil"/>
              <w:bottom w:val="nil"/>
              <w:right w:val="nil"/>
            </w:tcBorders>
          </w:tcPr>
          <w:p w14:paraId="1D672B48" w14:textId="608AAB14" w:rsidR="00E8447D" w:rsidRDefault="001406B7" w:rsidP="001406B7">
            <w:pPr>
              <w:pStyle w:val="CETBodytext"/>
              <w:spacing w:line="22" w:lineRule="atLeast"/>
              <w:jc w:val="center"/>
            </w:pPr>
            <w:r>
              <w:t>4</w:t>
            </w:r>
            <w:r w:rsidR="0007658F">
              <w:t>.</w:t>
            </w:r>
            <w:r>
              <w:t>1</w:t>
            </w:r>
          </w:p>
        </w:tc>
      </w:tr>
      <w:tr w:rsidR="00E8447D" w14:paraId="1C885307" w14:textId="11E468BF" w:rsidTr="00E8447D">
        <w:tc>
          <w:tcPr>
            <w:tcW w:w="1024" w:type="dxa"/>
            <w:tcBorders>
              <w:top w:val="nil"/>
              <w:left w:val="nil"/>
              <w:bottom w:val="nil"/>
              <w:right w:val="nil"/>
            </w:tcBorders>
          </w:tcPr>
          <w:p w14:paraId="4FA7E063" w14:textId="77777777" w:rsidR="00E8447D" w:rsidRDefault="00E8447D" w:rsidP="0039058B">
            <w:pPr>
              <w:pStyle w:val="CETBodytext"/>
              <w:spacing w:line="22" w:lineRule="atLeast"/>
              <w:jc w:val="center"/>
            </w:pPr>
            <w:r>
              <w:t>6</w:t>
            </w:r>
          </w:p>
        </w:tc>
        <w:tc>
          <w:tcPr>
            <w:tcW w:w="963" w:type="dxa"/>
            <w:tcBorders>
              <w:top w:val="nil"/>
              <w:left w:val="nil"/>
              <w:bottom w:val="nil"/>
              <w:right w:val="nil"/>
            </w:tcBorders>
          </w:tcPr>
          <w:p w14:paraId="76580B61" w14:textId="1DF4EC25" w:rsidR="00E8447D" w:rsidRDefault="00E8447D" w:rsidP="0039058B">
            <w:pPr>
              <w:pStyle w:val="CETBodytext"/>
              <w:spacing w:line="22" w:lineRule="atLeast"/>
              <w:jc w:val="center"/>
            </w:pPr>
            <w:r>
              <w:t>0.7</w:t>
            </w:r>
          </w:p>
        </w:tc>
        <w:tc>
          <w:tcPr>
            <w:tcW w:w="903" w:type="dxa"/>
            <w:tcBorders>
              <w:top w:val="nil"/>
              <w:left w:val="nil"/>
              <w:bottom w:val="nil"/>
              <w:right w:val="nil"/>
            </w:tcBorders>
          </w:tcPr>
          <w:p w14:paraId="2AB98B24" w14:textId="361AC3C0" w:rsidR="00E8447D" w:rsidRDefault="0007658F" w:rsidP="0039058B">
            <w:pPr>
              <w:pStyle w:val="CETBodytext"/>
              <w:spacing w:line="22" w:lineRule="atLeast"/>
              <w:jc w:val="center"/>
            </w:pPr>
            <w:r>
              <w:t>0.064</w:t>
            </w:r>
          </w:p>
        </w:tc>
        <w:tc>
          <w:tcPr>
            <w:tcW w:w="1221" w:type="dxa"/>
            <w:tcBorders>
              <w:top w:val="nil"/>
              <w:left w:val="nil"/>
              <w:bottom w:val="nil"/>
              <w:right w:val="nil"/>
            </w:tcBorders>
          </w:tcPr>
          <w:p w14:paraId="2B1BA425" w14:textId="4528E113" w:rsidR="00E8447D" w:rsidRPr="000E4444" w:rsidRDefault="0007658F" w:rsidP="001406B7">
            <w:pPr>
              <w:pStyle w:val="CETBodytext"/>
              <w:spacing w:line="22" w:lineRule="atLeast"/>
              <w:jc w:val="center"/>
            </w:pPr>
            <w:r>
              <w:t>4.</w:t>
            </w:r>
            <w:r w:rsidR="001406B7">
              <w:t>6</w:t>
            </w:r>
          </w:p>
        </w:tc>
      </w:tr>
      <w:tr w:rsidR="00E8447D" w14:paraId="165A4FB0" w14:textId="613DD929" w:rsidTr="00E8447D">
        <w:tc>
          <w:tcPr>
            <w:tcW w:w="1024" w:type="dxa"/>
            <w:tcBorders>
              <w:top w:val="nil"/>
              <w:left w:val="nil"/>
              <w:bottom w:val="single" w:sz="4" w:space="0" w:color="auto"/>
              <w:right w:val="nil"/>
            </w:tcBorders>
          </w:tcPr>
          <w:p w14:paraId="34E6030B" w14:textId="77777777" w:rsidR="00E8447D" w:rsidRDefault="00E8447D" w:rsidP="0039058B">
            <w:pPr>
              <w:pStyle w:val="CETBodytext"/>
              <w:spacing w:line="22" w:lineRule="atLeast"/>
              <w:jc w:val="center"/>
            </w:pPr>
            <w:r>
              <w:t>7</w:t>
            </w:r>
          </w:p>
        </w:tc>
        <w:tc>
          <w:tcPr>
            <w:tcW w:w="963" w:type="dxa"/>
            <w:tcBorders>
              <w:top w:val="nil"/>
              <w:left w:val="nil"/>
              <w:bottom w:val="single" w:sz="4" w:space="0" w:color="auto"/>
              <w:right w:val="nil"/>
            </w:tcBorders>
          </w:tcPr>
          <w:p w14:paraId="770F8C1E" w14:textId="1FAB57A4" w:rsidR="00E8447D" w:rsidRDefault="00E8447D" w:rsidP="0039058B">
            <w:pPr>
              <w:pStyle w:val="CETBodytext"/>
              <w:spacing w:line="22" w:lineRule="atLeast"/>
              <w:jc w:val="center"/>
            </w:pPr>
            <w:r>
              <w:t>0.7</w:t>
            </w:r>
          </w:p>
        </w:tc>
        <w:tc>
          <w:tcPr>
            <w:tcW w:w="903" w:type="dxa"/>
            <w:tcBorders>
              <w:top w:val="nil"/>
              <w:left w:val="nil"/>
              <w:bottom w:val="single" w:sz="4" w:space="0" w:color="auto"/>
              <w:right w:val="nil"/>
            </w:tcBorders>
          </w:tcPr>
          <w:p w14:paraId="2A7F53E9" w14:textId="5A31CD9F" w:rsidR="00E8447D" w:rsidRDefault="0007658F" w:rsidP="0039058B">
            <w:pPr>
              <w:pStyle w:val="CETBodytext"/>
              <w:spacing w:line="22" w:lineRule="atLeast"/>
              <w:jc w:val="center"/>
            </w:pPr>
            <w:r>
              <w:t>0.08</w:t>
            </w:r>
          </w:p>
        </w:tc>
        <w:tc>
          <w:tcPr>
            <w:tcW w:w="1221" w:type="dxa"/>
            <w:tcBorders>
              <w:top w:val="nil"/>
              <w:left w:val="nil"/>
              <w:bottom w:val="single" w:sz="4" w:space="0" w:color="auto"/>
              <w:right w:val="nil"/>
            </w:tcBorders>
          </w:tcPr>
          <w:p w14:paraId="71C2D29B" w14:textId="4FCEC3D8" w:rsidR="00E8447D" w:rsidRPr="000E4444" w:rsidRDefault="001406B7" w:rsidP="001406B7">
            <w:pPr>
              <w:pStyle w:val="CETBodytext"/>
              <w:spacing w:line="22" w:lineRule="atLeast"/>
              <w:jc w:val="center"/>
            </w:pPr>
            <w:r>
              <w:t>5</w:t>
            </w:r>
            <w:r w:rsidR="0007658F">
              <w:t>.</w:t>
            </w:r>
            <w:r>
              <w:t>7</w:t>
            </w:r>
          </w:p>
        </w:tc>
      </w:tr>
    </w:tbl>
    <w:p w14:paraId="5272F941" w14:textId="77777777" w:rsidR="00ED4077" w:rsidRDefault="00ED4077" w:rsidP="0039058B">
      <w:pPr>
        <w:pStyle w:val="CETBodytext"/>
        <w:spacing w:line="22" w:lineRule="atLeast"/>
        <w:rPr>
          <w:rFonts w:cs="Arial"/>
          <w:szCs w:val="18"/>
          <w:lang w:val="en-GB"/>
        </w:rPr>
      </w:pPr>
    </w:p>
    <w:p w14:paraId="1D6BEF14" w14:textId="77777777" w:rsidR="00260E72" w:rsidRPr="00260E72" w:rsidRDefault="00260E72" w:rsidP="00260E72">
      <w:pPr>
        <w:pStyle w:val="CETBodytext"/>
        <w:spacing w:line="22" w:lineRule="atLeast"/>
        <w:rPr>
          <w:b/>
          <w:sz w:val="20"/>
          <w:lang w:val="en-GB"/>
        </w:rPr>
      </w:pPr>
    </w:p>
    <w:p w14:paraId="1C85CE16" w14:textId="4DC1C33E" w:rsidR="00B63E57" w:rsidRPr="00B63E57" w:rsidRDefault="00B63E57" w:rsidP="0039058B">
      <w:pPr>
        <w:pStyle w:val="CETBodytext"/>
        <w:numPr>
          <w:ilvl w:val="0"/>
          <w:numId w:val="23"/>
        </w:numPr>
        <w:spacing w:line="22" w:lineRule="atLeast"/>
        <w:rPr>
          <w:b/>
          <w:sz w:val="20"/>
          <w:lang w:val="en-GB"/>
        </w:rPr>
      </w:pPr>
      <w:r w:rsidRPr="00B63E57">
        <w:rPr>
          <w:rFonts w:cs="Arial"/>
          <w:b/>
          <w:sz w:val="20"/>
          <w:lang w:val="en-GB"/>
        </w:rPr>
        <w:t>Conclusions</w:t>
      </w:r>
    </w:p>
    <w:p w14:paraId="351155F3" w14:textId="2250B60C" w:rsidR="00B63E57" w:rsidRDefault="009331A5" w:rsidP="0039058B">
      <w:pPr>
        <w:pStyle w:val="CETBodytext"/>
        <w:spacing w:line="22" w:lineRule="atLeast"/>
        <w:rPr>
          <w:rFonts w:cs="Arial"/>
          <w:color w:val="333333"/>
          <w:szCs w:val="18"/>
          <w:shd w:val="clear" w:color="auto" w:fill="FFFFFF"/>
        </w:rPr>
      </w:pPr>
      <w:r w:rsidRPr="009331A5">
        <w:rPr>
          <w:rFonts w:cs="Arial"/>
          <w:color w:val="333333"/>
          <w:szCs w:val="18"/>
          <w:shd w:val="clear" w:color="auto" w:fill="FFFFFF"/>
        </w:rPr>
        <w:t xml:space="preserve">Since biomethane offers </w:t>
      </w:r>
      <w:r>
        <w:rPr>
          <w:rFonts w:cs="Arial"/>
          <w:color w:val="333333"/>
          <w:szCs w:val="18"/>
          <w:shd w:val="clear" w:color="auto" w:fill="FFFFFF"/>
        </w:rPr>
        <w:t xml:space="preserve">a </w:t>
      </w:r>
      <w:r w:rsidRPr="009331A5">
        <w:rPr>
          <w:rFonts w:cs="Arial"/>
          <w:color w:val="333333"/>
          <w:szCs w:val="18"/>
          <w:shd w:val="clear" w:color="auto" w:fill="FFFFFF"/>
        </w:rPr>
        <w:t>great potential as an alternative source of energy, especially to fossil fuels</w:t>
      </w:r>
      <w:r>
        <w:rPr>
          <w:rFonts w:cs="Arial"/>
          <w:color w:val="333333"/>
          <w:szCs w:val="18"/>
          <w:shd w:val="clear" w:color="auto" w:fill="FFFFFF"/>
        </w:rPr>
        <w:t>, a particular attention has to be addressed to production process safety</w:t>
      </w:r>
      <w:r w:rsidR="00A31B05">
        <w:rPr>
          <w:rFonts w:cs="Arial"/>
          <w:color w:val="333333"/>
          <w:szCs w:val="18"/>
          <w:shd w:val="clear" w:color="auto" w:fill="FFFFFF"/>
        </w:rPr>
        <w:t xml:space="preserve">. Indeed, a potentially dangerous scenario is the biofuel release in indoor place, such as the compression unit. </w:t>
      </w:r>
      <w:r w:rsidR="000C41B3">
        <w:rPr>
          <w:rFonts w:cs="Arial"/>
          <w:color w:val="333333"/>
          <w:szCs w:val="18"/>
          <w:shd w:val="clear" w:color="auto" w:fill="FFFFFF"/>
        </w:rPr>
        <w:t xml:space="preserve">However, the knowledge of levels of biomethane production pressure allows to adjust the air flow, which has to be injected </w:t>
      </w:r>
      <w:r w:rsidR="00543A39">
        <w:rPr>
          <w:rFonts w:cs="Arial"/>
          <w:color w:val="333333"/>
          <w:szCs w:val="18"/>
          <w:shd w:val="clear" w:color="auto" w:fill="FFFFFF"/>
        </w:rPr>
        <w:t xml:space="preserve">by forced ventilation system </w:t>
      </w:r>
      <w:r w:rsidR="000C41B3">
        <w:rPr>
          <w:rFonts w:cs="Arial"/>
          <w:color w:val="333333"/>
          <w:szCs w:val="18"/>
          <w:shd w:val="clear" w:color="auto" w:fill="FFFFFF"/>
        </w:rPr>
        <w:t xml:space="preserve">into compression unit in order to optimize the dilution degree and decrease the </w:t>
      </w:r>
      <w:r w:rsidR="00F06C47">
        <w:rPr>
          <w:rFonts w:cs="Arial"/>
          <w:color w:val="333333"/>
          <w:szCs w:val="18"/>
          <w:shd w:val="clear" w:color="auto" w:fill="FFFFFF"/>
        </w:rPr>
        <w:t>dangerousness of zone</w:t>
      </w:r>
      <w:r w:rsidR="00FC586F">
        <w:rPr>
          <w:rFonts w:cs="Arial"/>
          <w:color w:val="333333"/>
          <w:szCs w:val="18"/>
          <w:shd w:val="clear" w:color="auto" w:fill="FFFFFF"/>
        </w:rPr>
        <w:t xml:space="preserve"> (Atex zone)</w:t>
      </w:r>
      <w:r w:rsidR="00F06C47">
        <w:rPr>
          <w:rFonts w:cs="Arial"/>
          <w:color w:val="333333"/>
          <w:szCs w:val="18"/>
          <w:shd w:val="clear" w:color="auto" w:fill="FFFFFF"/>
        </w:rPr>
        <w:t>, which could be generated by the potential release from compressor.</w:t>
      </w:r>
      <w:r w:rsidR="00107B14">
        <w:rPr>
          <w:rFonts w:cs="Arial"/>
          <w:color w:val="333333"/>
          <w:szCs w:val="18"/>
          <w:shd w:val="clear" w:color="auto" w:fill="FFFFFF"/>
        </w:rPr>
        <w:t xml:space="preserve"> Indeed, the dilution degree optimization is able to shorten the explosive mixture persistence time and decrease the </w:t>
      </w:r>
      <w:r w:rsidR="008C5710">
        <w:rPr>
          <w:rFonts w:cs="Arial"/>
          <w:color w:val="333333"/>
          <w:szCs w:val="18"/>
          <w:shd w:val="clear" w:color="auto" w:fill="FFFFFF"/>
        </w:rPr>
        <w:t xml:space="preserve">biomethane </w:t>
      </w:r>
      <w:r w:rsidR="00107B14">
        <w:rPr>
          <w:rFonts w:cs="Arial"/>
          <w:color w:val="333333"/>
          <w:szCs w:val="18"/>
          <w:shd w:val="clear" w:color="auto" w:fill="FFFFFF"/>
        </w:rPr>
        <w:t>concentration to a safe level (</w:t>
      </w:r>
      <w:r w:rsidR="008C5710">
        <w:rPr>
          <w:rFonts w:cs="Arial"/>
          <w:color w:val="333333"/>
          <w:szCs w:val="18"/>
          <w:shd w:val="clear" w:color="auto" w:fill="FFFFFF"/>
        </w:rPr>
        <w:t>biofuel</w:t>
      </w:r>
      <w:r w:rsidR="00107B14">
        <w:rPr>
          <w:rFonts w:cs="Arial"/>
          <w:color w:val="333333"/>
          <w:szCs w:val="18"/>
          <w:shd w:val="clear" w:color="auto" w:fill="FFFFFF"/>
        </w:rPr>
        <w:t xml:space="preserve"> concentration </w:t>
      </w:r>
      <w:r w:rsidR="00491713">
        <w:rPr>
          <w:rFonts w:cs="Arial"/>
          <w:color w:val="333333"/>
          <w:szCs w:val="18"/>
          <w:shd w:val="clear" w:color="auto" w:fill="FFFFFF"/>
        </w:rPr>
        <w:t>is</w:t>
      </w:r>
      <w:r w:rsidR="00107B14">
        <w:rPr>
          <w:rFonts w:cs="Arial"/>
          <w:color w:val="333333"/>
          <w:szCs w:val="18"/>
          <w:shd w:val="clear" w:color="auto" w:fill="FFFFFF"/>
        </w:rPr>
        <w:t xml:space="preserve"> lower than its lower flammability limit)</w:t>
      </w:r>
      <w:r w:rsidR="00F06C47">
        <w:rPr>
          <w:rFonts w:cs="Arial"/>
          <w:color w:val="333333"/>
          <w:szCs w:val="18"/>
          <w:shd w:val="clear" w:color="auto" w:fill="FFFFFF"/>
        </w:rPr>
        <w:t xml:space="preserve">  </w:t>
      </w:r>
      <w:r w:rsidR="00A31B05">
        <w:rPr>
          <w:rFonts w:cs="Arial"/>
          <w:color w:val="333333"/>
          <w:szCs w:val="18"/>
          <w:shd w:val="clear" w:color="auto" w:fill="FFFFFF"/>
        </w:rPr>
        <w:t xml:space="preserve"> </w:t>
      </w:r>
    </w:p>
    <w:p w14:paraId="60EC313F" w14:textId="0746AF02" w:rsidR="00F35BAF" w:rsidRDefault="00F35BAF" w:rsidP="00B63E57">
      <w:pPr>
        <w:pStyle w:val="CETBodytext"/>
        <w:rPr>
          <w:rFonts w:cs="Arial"/>
          <w:color w:val="333333"/>
          <w:szCs w:val="18"/>
          <w:shd w:val="clear" w:color="auto" w:fill="FFFFFF"/>
        </w:rPr>
      </w:pPr>
    </w:p>
    <w:p w14:paraId="0B46DC55" w14:textId="1B6927BD" w:rsidR="00F35BAF" w:rsidRDefault="00F35BAF" w:rsidP="00F35BAF">
      <w:pPr>
        <w:pStyle w:val="CETAcknowledgementstitle"/>
      </w:pPr>
      <w:r w:rsidRPr="00B57B36">
        <w:t>Acknowledgments</w:t>
      </w:r>
    </w:p>
    <w:p w14:paraId="2C2644EB" w14:textId="32CA9A42" w:rsidR="00F35BAF" w:rsidRPr="00F35BAF" w:rsidRDefault="00F35BAF" w:rsidP="00F35BAF">
      <w:pPr>
        <w:pStyle w:val="CETBodytext"/>
        <w:rPr>
          <w:lang w:val="en-GB"/>
        </w:rPr>
      </w:pPr>
      <w:r>
        <w:rPr>
          <w:lang w:val="en-GB"/>
        </w:rPr>
        <w:t>The Author thanks Herambiente S.p.a. for its kind collaboration.</w:t>
      </w:r>
    </w:p>
    <w:p w14:paraId="3DB49CF2" w14:textId="77777777" w:rsidR="00F35BAF" w:rsidRPr="009331A5" w:rsidRDefault="00F35BAF" w:rsidP="00B63E57">
      <w:pPr>
        <w:pStyle w:val="CETBodytext"/>
        <w:rPr>
          <w:szCs w:val="18"/>
          <w:lang w:val="en-GB"/>
        </w:rPr>
      </w:pPr>
    </w:p>
    <w:p w14:paraId="610E3640" w14:textId="593053A4" w:rsidR="00AD7971" w:rsidRPr="00AD7971" w:rsidRDefault="00AD7971" w:rsidP="00B63E57">
      <w:pPr>
        <w:pStyle w:val="CETBodytext"/>
        <w:rPr>
          <w:b/>
          <w:lang w:val="en-GB"/>
        </w:rPr>
      </w:pPr>
      <w:r w:rsidRPr="00AD7971">
        <w:rPr>
          <w:b/>
          <w:lang w:val="en-GB"/>
        </w:rPr>
        <w:t>References</w:t>
      </w:r>
    </w:p>
    <w:p w14:paraId="5D476B81" w14:textId="6F105834" w:rsidR="008D2516" w:rsidRDefault="008D2516" w:rsidP="006960DA">
      <w:pPr>
        <w:pStyle w:val="CETBodytext"/>
        <w:ind w:left="284" w:hanging="284"/>
        <w:rPr>
          <w:lang w:val="en-GB"/>
        </w:rPr>
      </w:pPr>
      <w:r>
        <w:rPr>
          <w:lang w:val="en-GB"/>
        </w:rPr>
        <w:t xml:space="preserve">Caputo C., 1997, Energy Transformation Plants, Masson, Milan, Italy. </w:t>
      </w:r>
    </w:p>
    <w:p w14:paraId="1866DBC7" w14:textId="42C6BCD7" w:rsidR="001300A1" w:rsidRDefault="001300A1" w:rsidP="006960DA">
      <w:pPr>
        <w:pStyle w:val="CETBodytext"/>
        <w:ind w:left="284" w:hanging="284"/>
        <w:rPr>
          <w:lang w:val="en-GB"/>
        </w:rPr>
      </w:pPr>
      <w:r>
        <w:rPr>
          <w:lang w:val="en-GB"/>
        </w:rPr>
        <w:t xml:space="preserve">Casal J., </w:t>
      </w:r>
      <w:r w:rsidR="007B534B">
        <w:rPr>
          <w:lang w:val="en-GB"/>
        </w:rPr>
        <w:t>2018, Evaluation of the Effects and Consequences of Major Accidents in Industrial Plants, Elsevier</w:t>
      </w:r>
      <w:r w:rsidR="00E94269">
        <w:rPr>
          <w:lang w:val="en-GB"/>
        </w:rPr>
        <w:t>, Eastbourne, UK.</w:t>
      </w:r>
    </w:p>
    <w:p w14:paraId="2E05A833" w14:textId="42A393B8" w:rsidR="00AD7971" w:rsidRDefault="00847CE1" w:rsidP="006960DA">
      <w:pPr>
        <w:pStyle w:val="CETBodytext"/>
        <w:ind w:left="284" w:hanging="284"/>
        <w:rPr>
          <w:lang w:val="en-GB"/>
        </w:rPr>
      </w:pPr>
      <w:r>
        <w:rPr>
          <w:lang w:val="en-GB"/>
        </w:rPr>
        <w:t>Gas Processors Suppliers Association</w:t>
      </w:r>
      <w:r w:rsidR="006960DA">
        <w:rPr>
          <w:lang w:val="en-GB"/>
        </w:rPr>
        <w:t xml:space="preserve"> (Ed), 2004, Engineering Data Book, Gas</w:t>
      </w:r>
      <w:r>
        <w:rPr>
          <w:lang w:val="en-GB"/>
        </w:rPr>
        <w:t xml:space="preserve"> </w:t>
      </w:r>
      <w:r w:rsidR="006960DA">
        <w:rPr>
          <w:lang w:val="en-GB"/>
        </w:rPr>
        <w:t>Processors Suppliers  Association, Tulsa, USA.</w:t>
      </w:r>
    </w:p>
    <w:p w14:paraId="19EEB2F2" w14:textId="52D7869E" w:rsidR="00325CD3" w:rsidRDefault="00325CD3" w:rsidP="006960DA">
      <w:pPr>
        <w:pStyle w:val="CETBodytext"/>
        <w:ind w:left="284" w:hanging="284"/>
        <w:rPr>
          <w:lang w:val="en-GB"/>
        </w:rPr>
      </w:pPr>
      <w:r>
        <w:rPr>
          <w:lang w:val="en-GB"/>
        </w:rPr>
        <w:t>IEC (Ed), 20</w:t>
      </w:r>
      <w:r w:rsidR="00791240">
        <w:rPr>
          <w:lang w:val="en-GB"/>
        </w:rPr>
        <w:t>2</w:t>
      </w:r>
      <w:r>
        <w:rPr>
          <w:lang w:val="en-GB"/>
        </w:rPr>
        <w:t xml:space="preserve">1, IEC EN 60079-10-1: </w:t>
      </w:r>
      <w:r w:rsidR="00697D6D">
        <w:rPr>
          <w:lang w:val="en-GB"/>
        </w:rPr>
        <w:t xml:space="preserve">Classification of Areas-Explosive Gas Atmospheres, IEC, Geneva, Switzerland. </w:t>
      </w:r>
    </w:p>
    <w:p w14:paraId="4D86256E" w14:textId="4BB977FE" w:rsidR="001300A1" w:rsidRDefault="001300A1" w:rsidP="001300A1">
      <w:pPr>
        <w:pStyle w:val="CETBodytext"/>
        <w:ind w:left="284" w:hanging="284"/>
        <w:rPr>
          <w:rFonts w:cs="Arial"/>
          <w:bCs/>
          <w:iCs/>
        </w:rPr>
      </w:pPr>
      <w:r>
        <w:rPr>
          <w:lang w:val="en-GB"/>
        </w:rPr>
        <w:t>Lauri R</w:t>
      </w:r>
      <w:r w:rsidRPr="001300A1">
        <w:rPr>
          <w:rFonts w:cs="Arial"/>
          <w:lang w:val="en-GB"/>
        </w:rPr>
        <w:t xml:space="preserve">., </w:t>
      </w:r>
      <w:r>
        <w:rPr>
          <w:rFonts w:cs="Arial"/>
          <w:lang w:val="en-GB"/>
        </w:rPr>
        <w:t xml:space="preserve">2018, </w:t>
      </w:r>
      <w:r w:rsidR="00B465DD">
        <w:rPr>
          <w:rFonts w:cs="Arial"/>
          <w:lang w:val="en-GB"/>
        </w:rPr>
        <w:t>A</w:t>
      </w:r>
      <w:r w:rsidRPr="001300A1">
        <w:rPr>
          <w:rFonts w:cs="Arial"/>
          <w:bCs/>
          <w:iCs/>
        </w:rPr>
        <w:t xml:space="preserve"> </w:t>
      </w:r>
      <w:r>
        <w:rPr>
          <w:rFonts w:cs="Arial"/>
          <w:bCs/>
          <w:iCs/>
        </w:rPr>
        <w:t>M</w:t>
      </w:r>
      <w:r w:rsidRPr="001300A1">
        <w:rPr>
          <w:rFonts w:cs="Arial"/>
          <w:bCs/>
          <w:iCs/>
        </w:rPr>
        <w:t xml:space="preserve">ethodological </w:t>
      </w:r>
      <w:r>
        <w:rPr>
          <w:rFonts w:cs="Arial"/>
          <w:bCs/>
          <w:iCs/>
        </w:rPr>
        <w:t>A</w:t>
      </w:r>
      <w:r w:rsidRPr="001300A1">
        <w:rPr>
          <w:rFonts w:cs="Arial"/>
          <w:bCs/>
          <w:iCs/>
        </w:rPr>
        <w:t xml:space="preserve">pproach for the </w:t>
      </w:r>
      <w:r>
        <w:rPr>
          <w:rFonts w:cs="Arial"/>
          <w:bCs/>
          <w:iCs/>
        </w:rPr>
        <w:t>C</w:t>
      </w:r>
      <w:r w:rsidRPr="001300A1">
        <w:rPr>
          <w:rFonts w:cs="Arial"/>
          <w:bCs/>
          <w:iCs/>
        </w:rPr>
        <w:t xml:space="preserve">haracterization of </w:t>
      </w:r>
      <w:r>
        <w:rPr>
          <w:rFonts w:cs="Arial"/>
          <w:bCs/>
          <w:iCs/>
        </w:rPr>
        <w:t>H</w:t>
      </w:r>
      <w:r w:rsidRPr="001300A1">
        <w:rPr>
          <w:rFonts w:cs="Arial"/>
          <w:bCs/>
          <w:iCs/>
        </w:rPr>
        <w:t xml:space="preserve">azardous </w:t>
      </w:r>
      <w:r>
        <w:rPr>
          <w:rFonts w:cs="Arial"/>
          <w:bCs/>
          <w:iCs/>
        </w:rPr>
        <w:t>Z</w:t>
      </w:r>
      <w:r w:rsidRPr="001300A1">
        <w:rPr>
          <w:rFonts w:cs="Arial"/>
          <w:bCs/>
          <w:iCs/>
        </w:rPr>
        <w:t xml:space="preserve">ones due to </w:t>
      </w:r>
      <w:r>
        <w:rPr>
          <w:rFonts w:cs="Arial"/>
          <w:bCs/>
          <w:iCs/>
        </w:rPr>
        <w:t>P</w:t>
      </w:r>
      <w:r w:rsidRPr="001300A1">
        <w:rPr>
          <w:rFonts w:cs="Arial"/>
          <w:bCs/>
          <w:iCs/>
        </w:rPr>
        <w:t xml:space="preserve">otentially </w:t>
      </w:r>
      <w:r>
        <w:rPr>
          <w:rFonts w:cs="Arial"/>
          <w:bCs/>
          <w:iCs/>
        </w:rPr>
        <w:t>E</w:t>
      </w:r>
      <w:r w:rsidRPr="001300A1">
        <w:rPr>
          <w:rFonts w:cs="Arial"/>
          <w:bCs/>
          <w:iCs/>
        </w:rPr>
        <w:t xml:space="preserve">xplosive </w:t>
      </w:r>
      <w:r>
        <w:rPr>
          <w:rFonts w:cs="Arial"/>
          <w:bCs/>
          <w:iCs/>
        </w:rPr>
        <w:t>A</w:t>
      </w:r>
      <w:r w:rsidRPr="001300A1">
        <w:rPr>
          <w:rFonts w:cs="Arial"/>
          <w:bCs/>
          <w:iCs/>
        </w:rPr>
        <w:t xml:space="preserve">tmospheres: a </w:t>
      </w:r>
      <w:r>
        <w:rPr>
          <w:rFonts w:cs="Arial"/>
          <w:bCs/>
          <w:iCs/>
        </w:rPr>
        <w:t>C</w:t>
      </w:r>
      <w:r w:rsidRPr="001300A1">
        <w:rPr>
          <w:rFonts w:cs="Arial"/>
          <w:bCs/>
          <w:iCs/>
        </w:rPr>
        <w:t xml:space="preserve">ase </w:t>
      </w:r>
      <w:r>
        <w:rPr>
          <w:rFonts w:cs="Arial"/>
          <w:bCs/>
          <w:iCs/>
        </w:rPr>
        <w:t>S</w:t>
      </w:r>
      <w:r w:rsidRPr="001300A1">
        <w:rPr>
          <w:rFonts w:cs="Arial"/>
          <w:bCs/>
          <w:iCs/>
        </w:rPr>
        <w:t>tudy</w:t>
      </w:r>
      <w:r>
        <w:rPr>
          <w:rFonts w:cs="Arial"/>
          <w:bCs/>
          <w:iCs/>
        </w:rPr>
        <w:t xml:space="preserve">, </w:t>
      </w:r>
      <w:r w:rsidRPr="001300A1">
        <w:rPr>
          <w:rFonts w:cs="Arial"/>
          <w:bCs/>
          <w:iCs/>
        </w:rPr>
        <w:t>Chemical Engineering Transactions, 67, 169-174</w:t>
      </w:r>
      <w:r>
        <w:rPr>
          <w:rFonts w:cs="Arial"/>
          <w:bCs/>
          <w:iCs/>
        </w:rPr>
        <w:t>.</w:t>
      </w:r>
    </w:p>
    <w:p w14:paraId="1601EF15" w14:textId="41A44D3E" w:rsidR="006960DA" w:rsidRDefault="006960DA" w:rsidP="001300A1">
      <w:pPr>
        <w:pStyle w:val="CETBodytext"/>
        <w:ind w:left="284" w:hanging="284"/>
        <w:rPr>
          <w:rFonts w:eastAsiaTheme="minorHAnsi" w:cs="Arial"/>
          <w:szCs w:val="18"/>
        </w:rPr>
      </w:pPr>
      <w:r w:rsidRPr="006960DA">
        <w:rPr>
          <w:rFonts w:eastAsiaTheme="minorHAnsi" w:cs="Arial"/>
          <w:szCs w:val="18"/>
        </w:rPr>
        <w:t xml:space="preserve">Matsumura M., Kato M., Hirata T., 1992, Behavior and </w:t>
      </w:r>
      <w:r w:rsidR="005D5F34">
        <w:rPr>
          <w:rFonts w:eastAsiaTheme="minorHAnsi" w:cs="Arial"/>
          <w:szCs w:val="18"/>
        </w:rPr>
        <w:t>A</w:t>
      </w:r>
      <w:r w:rsidRPr="006960DA">
        <w:rPr>
          <w:rFonts w:eastAsiaTheme="minorHAnsi" w:cs="Arial"/>
          <w:szCs w:val="18"/>
        </w:rPr>
        <w:t xml:space="preserve">nalysis of </w:t>
      </w:r>
      <w:r w:rsidR="005D5F34">
        <w:rPr>
          <w:rFonts w:eastAsiaTheme="minorHAnsi" w:cs="Arial"/>
          <w:szCs w:val="18"/>
        </w:rPr>
        <w:t>R</w:t>
      </w:r>
      <w:r>
        <w:rPr>
          <w:rFonts w:eastAsiaTheme="minorHAnsi" w:cs="Arial"/>
          <w:szCs w:val="18"/>
        </w:rPr>
        <w:t xml:space="preserve">eciprocating </w:t>
      </w:r>
      <w:r w:rsidR="005D5F34">
        <w:rPr>
          <w:rFonts w:eastAsiaTheme="minorHAnsi" w:cs="Arial"/>
          <w:szCs w:val="18"/>
        </w:rPr>
        <w:t>C</w:t>
      </w:r>
      <w:r>
        <w:rPr>
          <w:rFonts w:eastAsiaTheme="minorHAnsi" w:cs="Arial"/>
          <w:szCs w:val="18"/>
        </w:rPr>
        <w:t xml:space="preserve">ompressor </w:t>
      </w:r>
      <w:r w:rsidR="005D5F34">
        <w:rPr>
          <w:rFonts w:eastAsiaTheme="minorHAnsi" w:cs="Arial"/>
          <w:szCs w:val="18"/>
        </w:rPr>
        <w:t>V</w:t>
      </w:r>
      <w:r>
        <w:rPr>
          <w:rFonts w:eastAsiaTheme="minorHAnsi" w:cs="Arial"/>
          <w:szCs w:val="18"/>
        </w:rPr>
        <w:t xml:space="preserve">alve, </w:t>
      </w:r>
      <w:r w:rsidRPr="006960DA">
        <w:rPr>
          <w:rFonts w:eastAsiaTheme="minorHAnsi" w:cs="Arial"/>
          <w:szCs w:val="18"/>
        </w:rPr>
        <w:t>Kobel</w:t>
      </w:r>
      <w:r>
        <w:rPr>
          <w:rFonts w:eastAsiaTheme="minorHAnsi" w:cs="Arial"/>
          <w:szCs w:val="18"/>
        </w:rPr>
        <w:t>c</w:t>
      </w:r>
      <w:r w:rsidRPr="006960DA">
        <w:rPr>
          <w:rFonts w:eastAsiaTheme="minorHAnsi" w:cs="Arial"/>
          <w:szCs w:val="18"/>
        </w:rPr>
        <w:t xml:space="preserve">o </w:t>
      </w:r>
      <w:r>
        <w:rPr>
          <w:rFonts w:eastAsiaTheme="minorHAnsi" w:cs="Arial"/>
          <w:szCs w:val="18"/>
        </w:rPr>
        <w:t xml:space="preserve"> </w:t>
      </w:r>
      <w:r w:rsidRPr="006960DA">
        <w:rPr>
          <w:rFonts w:eastAsiaTheme="minorHAnsi" w:cs="Arial"/>
          <w:iCs/>
          <w:szCs w:val="18"/>
        </w:rPr>
        <w:t>Technology Review, 14</w:t>
      </w:r>
      <w:r w:rsidRPr="006960DA">
        <w:rPr>
          <w:rFonts w:eastAsiaTheme="minorHAnsi" w:cs="Arial"/>
          <w:szCs w:val="18"/>
        </w:rPr>
        <w:t>, 20-24.</w:t>
      </w:r>
    </w:p>
    <w:p w14:paraId="241DF51E" w14:textId="4E9CFE92" w:rsidR="00D2797D" w:rsidRDefault="00D2797D" w:rsidP="006960DA">
      <w:pPr>
        <w:tabs>
          <w:tab w:val="clear" w:pos="7100"/>
        </w:tabs>
        <w:autoSpaceDE w:val="0"/>
        <w:autoSpaceDN w:val="0"/>
        <w:adjustRightInd w:val="0"/>
        <w:spacing w:line="240" w:lineRule="auto"/>
        <w:ind w:left="284" w:hanging="284"/>
        <w:rPr>
          <w:rFonts w:eastAsiaTheme="minorHAnsi" w:cs="Arial"/>
          <w:szCs w:val="18"/>
          <w:lang w:val="en-US"/>
        </w:rPr>
      </w:pPr>
      <w:r w:rsidRPr="00325CD3">
        <w:rPr>
          <w:rFonts w:eastAsiaTheme="minorHAnsi" w:cs="Arial"/>
          <w:szCs w:val="18"/>
          <w:lang w:val="en-US"/>
        </w:rPr>
        <w:t xml:space="preserve">Molino A., </w:t>
      </w:r>
      <w:r w:rsidR="00325CD3" w:rsidRPr="00325CD3">
        <w:rPr>
          <w:rFonts w:eastAsiaTheme="minorHAnsi" w:cs="Arial"/>
          <w:szCs w:val="18"/>
          <w:lang w:val="en-US"/>
        </w:rPr>
        <w:t xml:space="preserve">Nanna F., Ding Y., Bikson B., Braccio G., 2012, Biomethane </w:t>
      </w:r>
      <w:r w:rsidR="006C3ACE">
        <w:rPr>
          <w:rFonts w:eastAsiaTheme="minorHAnsi" w:cs="Arial"/>
          <w:szCs w:val="18"/>
          <w:lang w:val="en-US"/>
        </w:rPr>
        <w:t>P</w:t>
      </w:r>
      <w:r w:rsidR="00325CD3" w:rsidRPr="00325CD3">
        <w:rPr>
          <w:rFonts w:eastAsiaTheme="minorHAnsi" w:cs="Arial"/>
          <w:szCs w:val="18"/>
          <w:lang w:val="en-US"/>
        </w:rPr>
        <w:t xml:space="preserve">roduction by </w:t>
      </w:r>
      <w:r w:rsidR="006C3ACE">
        <w:rPr>
          <w:rFonts w:eastAsiaTheme="minorHAnsi" w:cs="Arial"/>
          <w:szCs w:val="18"/>
          <w:lang w:val="en-US"/>
        </w:rPr>
        <w:t>A</w:t>
      </w:r>
      <w:r w:rsidR="00325CD3" w:rsidRPr="00325CD3">
        <w:rPr>
          <w:rFonts w:eastAsiaTheme="minorHAnsi" w:cs="Arial"/>
          <w:szCs w:val="18"/>
          <w:lang w:val="en-US"/>
        </w:rPr>
        <w:t xml:space="preserve">naerobic </w:t>
      </w:r>
      <w:r w:rsidR="006C3ACE">
        <w:rPr>
          <w:rFonts w:eastAsiaTheme="minorHAnsi" w:cs="Arial"/>
          <w:szCs w:val="18"/>
          <w:lang w:val="en-US"/>
        </w:rPr>
        <w:t>D</w:t>
      </w:r>
      <w:r w:rsidR="00325CD3" w:rsidRPr="00325CD3">
        <w:rPr>
          <w:rFonts w:eastAsiaTheme="minorHAnsi" w:cs="Arial"/>
          <w:szCs w:val="18"/>
          <w:lang w:val="en-US"/>
        </w:rPr>
        <w:t xml:space="preserve">igestion of </w:t>
      </w:r>
      <w:r w:rsidR="006C3ACE">
        <w:rPr>
          <w:rFonts w:eastAsiaTheme="minorHAnsi" w:cs="Arial"/>
          <w:szCs w:val="18"/>
          <w:lang w:val="en-US"/>
        </w:rPr>
        <w:t>O</w:t>
      </w:r>
      <w:r w:rsidR="00325CD3" w:rsidRPr="00325CD3">
        <w:rPr>
          <w:rFonts w:eastAsiaTheme="minorHAnsi" w:cs="Arial"/>
          <w:szCs w:val="18"/>
          <w:lang w:val="en-US"/>
        </w:rPr>
        <w:t xml:space="preserve">rganic </w:t>
      </w:r>
      <w:r w:rsidR="006C3ACE">
        <w:rPr>
          <w:rFonts w:eastAsiaTheme="minorHAnsi" w:cs="Arial"/>
          <w:szCs w:val="18"/>
          <w:lang w:val="en-US"/>
        </w:rPr>
        <w:t>W</w:t>
      </w:r>
      <w:r w:rsidR="00325CD3" w:rsidRPr="00325CD3">
        <w:rPr>
          <w:rFonts w:eastAsiaTheme="minorHAnsi" w:cs="Arial"/>
          <w:szCs w:val="18"/>
          <w:lang w:val="en-US"/>
        </w:rPr>
        <w:t xml:space="preserve">aste, </w:t>
      </w:r>
      <w:r w:rsidR="00325CD3">
        <w:rPr>
          <w:rFonts w:eastAsiaTheme="minorHAnsi" w:cs="Arial"/>
          <w:szCs w:val="18"/>
          <w:lang w:val="en-US"/>
        </w:rPr>
        <w:t>Fuel, 103, 1003-1009.</w:t>
      </w:r>
    </w:p>
    <w:p w14:paraId="13A288C8" w14:textId="413013AD" w:rsidR="005441CF" w:rsidRDefault="005441CF" w:rsidP="006960DA">
      <w:pPr>
        <w:tabs>
          <w:tab w:val="clear" w:pos="7100"/>
        </w:tabs>
        <w:autoSpaceDE w:val="0"/>
        <w:autoSpaceDN w:val="0"/>
        <w:adjustRightInd w:val="0"/>
        <w:spacing w:line="240" w:lineRule="auto"/>
        <w:ind w:left="284" w:hanging="284"/>
      </w:pPr>
      <w:r>
        <w:t>Rafiee A., Khalilpour K.R.,</w:t>
      </w:r>
      <w:r w:rsidR="003F276A">
        <w:t xml:space="preserve"> </w:t>
      </w:r>
      <w:r>
        <w:t>Prest J., Skryabin I., 2021, Biogas as an Energy Vector, Biomass and Bioenergy, 144, 1-20.</w:t>
      </w:r>
    </w:p>
    <w:p w14:paraId="5AD5B652" w14:textId="538F5540" w:rsidR="006C3ACE" w:rsidRPr="00C01B68" w:rsidRDefault="006C3ACE" w:rsidP="00C01B68">
      <w:pPr>
        <w:tabs>
          <w:tab w:val="clear" w:pos="7100"/>
        </w:tabs>
        <w:autoSpaceDE w:val="0"/>
        <w:autoSpaceDN w:val="0"/>
        <w:adjustRightInd w:val="0"/>
        <w:spacing w:line="240" w:lineRule="auto"/>
        <w:ind w:left="284" w:hanging="284"/>
        <w:rPr>
          <w:rFonts w:eastAsiaTheme="minorHAnsi" w:cs="Arial"/>
          <w:szCs w:val="18"/>
          <w:lang w:val="en-US"/>
        </w:rPr>
      </w:pPr>
      <w:r w:rsidRPr="006C3ACE">
        <w:rPr>
          <w:rFonts w:eastAsiaTheme="minorHAnsi" w:cs="Arial"/>
          <w:szCs w:val="18"/>
          <w:lang w:val="en-US"/>
        </w:rPr>
        <w:t>Zimmerle</w:t>
      </w:r>
      <w:r>
        <w:rPr>
          <w:rFonts w:eastAsiaTheme="minorHAnsi" w:cs="Arial"/>
          <w:szCs w:val="18"/>
          <w:lang w:val="en-US"/>
        </w:rPr>
        <w:t xml:space="preserve"> D.J., </w:t>
      </w:r>
      <w:r w:rsidRPr="006C3ACE">
        <w:rPr>
          <w:rFonts w:eastAsiaTheme="minorHAnsi" w:cs="Arial"/>
          <w:szCs w:val="18"/>
          <w:lang w:val="en-US"/>
        </w:rPr>
        <w:t>Williams</w:t>
      </w:r>
      <w:r>
        <w:rPr>
          <w:rFonts w:eastAsiaTheme="minorHAnsi" w:cs="Arial"/>
          <w:szCs w:val="18"/>
          <w:lang w:val="en-US"/>
        </w:rPr>
        <w:t xml:space="preserve"> L., </w:t>
      </w:r>
      <w:r w:rsidRPr="006C3ACE">
        <w:rPr>
          <w:rFonts w:eastAsiaTheme="minorHAnsi" w:cs="Arial"/>
          <w:szCs w:val="18"/>
          <w:lang w:val="en-US"/>
        </w:rPr>
        <w:t>Vaughn</w:t>
      </w:r>
      <w:r>
        <w:rPr>
          <w:rFonts w:eastAsiaTheme="minorHAnsi" w:cs="Arial"/>
          <w:szCs w:val="18"/>
          <w:lang w:val="en-US"/>
        </w:rPr>
        <w:t xml:space="preserve"> T.L., </w:t>
      </w:r>
      <w:r w:rsidRPr="006C3ACE">
        <w:rPr>
          <w:rFonts w:eastAsiaTheme="minorHAnsi" w:cs="Arial"/>
          <w:szCs w:val="18"/>
          <w:lang w:val="en-US"/>
        </w:rPr>
        <w:t>Quinn</w:t>
      </w:r>
      <w:r>
        <w:rPr>
          <w:rFonts w:eastAsiaTheme="minorHAnsi" w:cs="Arial"/>
          <w:szCs w:val="18"/>
          <w:lang w:val="en-US"/>
        </w:rPr>
        <w:t xml:space="preserve"> C., </w:t>
      </w:r>
      <w:r w:rsidRPr="006C3ACE">
        <w:rPr>
          <w:rFonts w:eastAsiaTheme="minorHAnsi" w:cs="Arial"/>
          <w:szCs w:val="18"/>
          <w:lang w:val="en-US"/>
        </w:rPr>
        <w:t>Subramanian</w:t>
      </w:r>
      <w:r>
        <w:rPr>
          <w:rFonts w:eastAsiaTheme="minorHAnsi" w:cs="Arial"/>
          <w:szCs w:val="18"/>
          <w:lang w:val="en-US"/>
        </w:rPr>
        <w:t xml:space="preserve"> R.,  </w:t>
      </w:r>
      <w:r w:rsidRPr="006C3ACE">
        <w:rPr>
          <w:rFonts w:eastAsiaTheme="minorHAnsi" w:cs="Arial"/>
          <w:szCs w:val="18"/>
          <w:lang w:val="en-US"/>
        </w:rPr>
        <w:t>Duggan</w:t>
      </w:r>
      <w:r>
        <w:rPr>
          <w:rFonts w:eastAsiaTheme="minorHAnsi" w:cs="Arial"/>
          <w:szCs w:val="18"/>
          <w:lang w:val="en-US"/>
        </w:rPr>
        <w:t xml:space="preserve"> G.P.,</w:t>
      </w:r>
      <w:r w:rsidRPr="006C3ACE">
        <w:rPr>
          <w:rFonts w:eastAsiaTheme="minorHAnsi" w:cs="Arial"/>
          <w:szCs w:val="18"/>
          <w:lang w:val="en-US"/>
        </w:rPr>
        <w:t xml:space="preserve"> Willson</w:t>
      </w:r>
      <w:r>
        <w:rPr>
          <w:rFonts w:eastAsiaTheme="minorHAnsi" w:cs="Arial"/>
          <w:szCs w:val="18"/>
          <w:lang w:val="en-US"/>
        </w:rPr>
        <w:t xml:space="preserve"> B.</w:t>
      </w:r>
      <w:r w:rsidRPr="006C3ACE">
        <w:rPr>
          <w:rFonts w:eastAsiaTheme="minorHAnsi" w:cs="Arial"/>
          <w:szCs w:val="18"/>
          <w:lang w:val="en-US"/>
        </w:rPr>
        <w:t>, Opsomer</w:t>
      </w:r>
      <w:r>
        <w:rPr>
          <w:rFonts w:eastAsiaTheme="minorHAnsi" w:cs="Arial"/>
          <w:szCs w:val="18"/>
          <w:lang w:val="en-US"/>
        </w:rPr>
        <w:t xml:space="preserve"> J.D.</w:t>
      </w:r>
      <w:r w:rsidRPr="006C3ACE">
        <w:rPr>
          <w:rFonts w:eastAsiaTheme="minorHAnsi" w:cs="Arial"/>
          <w:szCs w:val="18"/>
          <w:lang w:val="en-US"/>
        </w:rPr>
        <w:t>,</w:t>
      </w:r>
      <w:r>
        <w:rPr>
          <w:rFonts w:eastAsiaTheme="minorHAnsi" w:cs="Arial"/>
          <w:szCs w:val="18"/>
          <w:lang w:val="en-US"/>
        </w:rPr>
        <w:t xml:space="preserve"> </w:t>
      </w:r>
      <w:r w:rsidRPr="006C3ACE">
        <w:rPr>
          <w:rFonts w:eastAsiaTheme="minorHAnsi" w:cs="Arial"/>
          <w:szCs w:val="18"/>
          <w:lang w:val="en-US"/>
        </w:rPr>
        <w:t xml:space="preserve"> Marchese</w:t>
      </w:r>
      <w:r>
        <w:rPr>
          <w:rFonts w:eastAsiaTheme="minorHAnsi" w:cs="Arial"/>
          <w:szCs w:val="18"/>
          <w:lang w:val="en-US"/>
        </w:rPr>
        <w:t xml:space="preserve"> A.J.</w:t>
      </w:r>
      <w:r w:rsidRPr="006C3ACE">
        <w:rPr>
          <w:rFonts w:eastAsiaTheme="minorHAnsi" w:cs="Arial"/>
          <w:szCs w:val="18"/>
          <w:lang w:val="en-US"/>
        </w:rPr>
        <w:t>,</w:t>
      </w:r>
      <w:r>
        <w:rPr>
          <w:rFonts w:eastAsiaTheme="minorHAnsi" w:cs="Arial"/>
          <w:szCs w:val="18"/>
          <w:lang w:val="en-US"/>
        </w:rPr>
        <w:t xml:space="preserve"> </w:t>
      </w:r>
      <w:r w:rsidRPr="006C3ACE">
        <w:rPr>
          <w:rFonts w:eastAsiaTheme="minorHAnsi" w:cs="Arial"/>
          <w:szCs w:val="18"/>
          <w:lang w:val="en-US"/>
        </w:rPr>
        <w:t>Martinez</w:t>
      </w:r>
      <w:r>
        <w:rPr>
          <w:rFonts w:eastAsiaTheme="minorHAnsi" w:cs="Arial"/>
          <w:szCs w:val="18"/>
          <w:lang w:val="en-US"/>
        </w:rPr>
        <w:t xml:space="preserve"> D.M.</w:t>
      </w:r>
      <w:r w:rsidRPr="006C3ACE">
        <w:rPr>
          <w:rFonts w:eastAsiaTheme="minorHAnsi" w:cs="Arial"/>
          <w:szCs w:val="18"/>
          <w:lang w:val="en-US"/>
        </w:rPr>
        <w:t>,</w:t>
      </w:r>
      <w:r>
        <w:rPr>
          <w:rFonts w:eastAsiaTheme="minorHAnsi" w:cs="Arial"/>
          <w:szCs w:val="18"/>
          <w:lang w:val="en-US"/>
        </w:rPr>
        <w:t xml:space="preserve"> </w:t>
      </w:r>
      <w:r w:rsidRPr="006C3ACE">
        <w:rPr>
          <w:rFonts w:eastAsiaTheme="minorHAnsi" w:cs="Arial"/>
          <w:szCs w:val="18"/>
          <w:lang w:val="en-US"/>
        </w:rPr>
        <w:t>Robinson</w:t>
      </w:r>
      <w:r>
        <w:rPr>
          <w:rFonts w:eastAsiaTheme="minorHAnsi" w:cs="Arial"/>
          <w:szCs w:val="18"/>
          <w:lang w:val="en-US"/>
        </w:rPr>
        <w:t xml:space="preserve"> A.L., 2015</w:t>
      </w:r>
      <w:r w:rsidRPr="00C01B68">
        <w:rPr>
          <w:rFonts w:eastAsiaTheme="minorHAnsi" w:cs="Arial"/>
          <w:szCs w:val="18"/>
          <w:lang w:val="en-US"/>
        </w:rPr>
        <w:t>, Methane Emissions from the Natural Gas Transmission and Storage</w:t>
      </w:r>
      <w:r w:rsidR="00C01B68">
        <w:rPr>
          <w:rFonts w:eastAsiaTheme="minorHAnsi" w:cs="Arial"/>
          <w:szCs w:val="18"/>
          <w:lang w:val="en-US"/>
        </w:rPr>
        <w:t xml:space="preserve"> </w:t>
      </w:r>
      <w:r w:rsidRPr="00C01B68">
        <w:rPr>
          <w:rFonts w:eastAsiaTheme="minorHAnsi" w:cs="Arial"/>
          <w:szCs w:val="18"/>
          <w:lang w:val="en-US"/>
        </w:rPr>
        <w:t>System in the United States, Environme</w:t>
      </w:r>
      <w:r w:rsidR="00C01B68" w:rsidRPr="00C01B68">
        <w:rPr>
          <w:rFonts w:eastAsiaTheme="minorHAnsi" w:cs="Arial"/>
          <w:szCs w:val="18"/>
          <w:lang w:val="en-US"/>
        </w:rPr>
        <w:t>n</w:t>
      </w:r>
      <w:r w:rsidRPr="00C01B68">
        <w:rPr>
          <w:rFonts w:eastAsiaTheme="minorHAnsi" w:cs="Arial"/>
          <w:szCs w:val="18"/>
          <w:lang w:val="en-US"/>
        </w:rPr>
        <w:t xml:space="preserve">tal Science and Technology, 49, 9374-9383. </w:t>
      </w:r>
    </w:p>
    <w:p w14:paraId="2D186AED" w14:textId="11CD61A4" w:rsidR="00146B49" w:rsidRDefault="00146B49" w:rsidP="006960DA">
      <w:pPr>
        <w:tabs>
          <w:tab w:val="clear" w:pos="7100"/>
        </w:tabs>
        <w:autoSpaceDE w:val="0"/>
        <w:autoSpaceDN w:val="0"/>
        <w:adjustRightInd w:val="0"/>
        <w:spacing w:line="240" w:lineRule="auto"/>
        <w:ind w:left="284" w:hanging="284"/>
      </w:pPr>
    </w:p>
    <w:p w14:paraId="0F8CECE7" w14:textId="3BAAE8C4" w:rsidR="00765CCA" w:rsidRDefault="00ED4077" w:rsidP="00B63E57">
      <w:pPr>
        <w:pStyle w:val="CETBodytext"/>
        <w:rPr>
          <w:rFonts w:cs="Arial"/>
          <w:szCs w:val="18"/>
        </w:rPr>
      </w:pPr>
      <w:r w:rsidRPr="00325CD3">
        <w:rPr>
          <w:rFonts w:cs="Arial"/>
          <w:szCs w:val="18"/>
        </w:rPr>
        <w:t xml:space="preserve">  </w:t>
      </w:r>
    </w:p>
    <w:sectPr w:rsidR="00765CCA"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7937D" w14:textId="77777777" w:rsidR="007531BD" w:rsidRDefault="007531BD" w:rsidP="004F5E36">
      <w:r>
        <w:separator/>
      </w:r>
    </w:p>
  </w:endnote>
  <w:endnote w:type="continuationSeparator" w:id="0">
    <w:p w14:paraId="20FD2CCB" w14:textId="77777777" w:rsidR="007531BD" w:rsidRDefault="007531B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19220"/>
      <w:docPartObj>
        <w:docPartGallery w:val="Page Numbers (Bottom of Page)"/>
        <w:docPartUnique/>
      </w:docPartObj>
    </w:sdtPr>
    <w:sdtEndPr/>
    <w:sdtContent>
      <w:p w14:paraId="19D7AC73" w14:textId="3CA973CA" w:rsidR="00126364" w:rsidRDefault="00126364">
        <w:pPr>
          <w:pStyle w:val="Pidipagina"/>
          <w:jc w:val="right"/>
        </w:pPr>
        <w:r>
          <w:fldChar w:fldCharType="begin"/>
        </w:r>
        <w:r>
          <w:instrText>PAGE   \* MERGEFORMAT</w:instrText>
        </w:r>
        <w:r>
          <w:fldChar w:fldCharType="separate"/>
        </w:r>
        <w:r w:rsidR="00FA1728" w:rsidRPr="00FA1728">
          <w:rPr>
            <w:noProof/>
            <w:lang w:val="it-IT"/>
          </w:rPr>
          <w:t>2</w:t>
        </w:r>
        <w:r>
          <w:fldChar w:fldCharType="end"/>
        </w:r>
      </w:p>
    </w:sdtContent>
  </w:sdt>
  <w:p w14:paraId="63C21E04" w14:textId="77777777" w:rsidR="00126364" w:rsidRDefault="001263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144585"/>
      <w:docPartObj>
        <w:docPartGallery w:val="Page Numbers (Bottom of Page)"/>
        <w:docPartUnique/>
      </w:docPartObj>
    </w:sdtPr>
    <w:sdtEndPr/>
    <w:sdtContent>
      <w:p w14:paraId="5F6CA95C" w14:textId="1BD2B2A5" w:rsidR="00126364" w:rsidRDefault="00126364">
        <w:pPr>
          <w:pStyle w:val="Pidipagina"/>
          <w:jc w:val="right"/>
        </w:pPr>
        <w:r>
          <w:fldChar w:fldCharType="begin"/>
        </w:r>
        <w:r>
          <w:instrText>PAGE   \* MERGEFORMAT</w:instrText>
        </w:r>
        <w:r>
          <w:fldChar w:fldCharType="separate"/>
        </w:r>
        <w:r w:rsidR="00FA1728" w:rsidRPr="00FA1728">
          <w:rPr>
            <w:noProof/>
            <w:lang w:val="it-IT"/>
          </w:rPr>
          <w:t>1</w:t>
        </w:r>
        <w:r>
          <w:fldChar w:fldCharType="end"/>
        </w:r>
      </w:p>
    </w:sdtContent>
  </w:sdt>
  <w:p w14:paraId="3C4A07AE" w14:textId="77777777" w:rsidR="00126364" w:rsidRDefault="001263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4FAFF" w14:textId="77777777" w:rsidR="007531BD" w:rsidRDefault="007531BD" w:rsidP="004F5E36">
      <w:r>
        <w:separator/>
      </w:r>
    </w:p>
  </w:footnote>
  <w:footnote w:type="continuationSeparator" w:id="0">
    <w:p w14:paraId="4620CB45" w14:textId="77777777" w:rsidR="007531BD" w:rsidRDefault="007531B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1B4173"/>
    <w:multiLevelType w:val="hybridMultilevel"/>
    <w:tmpl w:val="430EC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7CB37EB"/>
    <w:multiLevelType w:val="hybridMultilevel"/>
    <w:tmpl w:val="C472D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96D4A45"/>
    <w:multiLevelType w:val="hybridMultilevel"/>
    <w:tmpl w:val="1D48DB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137037A"/>
    <w:multiLevelType w:val="hybridMultilevel"/>
    <w:tmpl w:val="13E6E0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24A46292"/>
    <w:multiLevelType w:val="hybridMultilevel"/>
    <w:tmpl w:val="AFFCE7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7AD27FF"/>
    <w:multiLevelType w:val="hybridMultilevel"/>
    <w:tmpl w:val="9F58858E"/>
    <w:lvl w:ilvl="0" w:tplc="B6D2146A">
      <w:start w:val="1"/>
      <w:numFmt w:val="upperLetter"/>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D0354C7"/>
    <w:multiLevelType w:val="hybridMultilevel"/>
    <w:tmpl w:val="3668AE0E"/>
    <w:lvl w:ilvl="0" w:tplc="0576C4B4">
      <w:start w:val="1"/>
      <w:numFmt w:val="decimal"/>
      <w:lvlText w:val="%1."/>
      <w:lvlJc w:val="left"/>
      <w:pPr>
        <w:ind w:left="360" w:hanging="360"/>
      </w:pPr>
      <w:rPr>
        <w:rFonts w:hint="default"/>
        <w:b/>
        <w:color w:val="000000" w:themeColor="text1"/>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7ED5B23"/>
    <w:multiLevelType w:val="hybridMultilevel"/>
    <w:tmpl w:val="23BC5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7F16210"/>
    <w:multiLevelType w:val="hybridMultilevel"/>
    <w:tmpl w:val="729A0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31E22B8"/>
    <w:multiLevelType w:val="hybridMultilevel"/>
    <w:tmpl w:val="6CDC9E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4"/>
  </w:num>
  <w:num w:numId="13">
    <w:abstractNumId w:val="17"/>
  </w:num>
  <w:num w:numId="14">
    <w:abstractNumId w:val="26"/>
  </w:num>
  <w:num w:numId="15">
    <w:abstractNumId w:val="29"/>
  </w:num>
  <w:num w:numId="16">
    <w:abstractNumId w:val="27"/>
  </w:num>
  <w:num w:numId="17">
    <w:abstractNumId w:val="16"/>
  </w:num>
  <w:num w:numId="18">
    <w:abstractNumId w:val="17"/>
    <w:lvlOverride w:ilvl="0">
      <w:startOverride w:val="1"/>
    </w:lvlOverride>
  </w:num>
  <w:num w:numId="19">
    <w:abstractNumId w:val="23"/>
  </w:num>
  <w:num w:numId="20">
    <w:abstractNumId w:val="22"/>
  </w:num>
  <w:num w:numId="21">
    <w:abstractNumId w:val="20"/>
  </w:num>
  <w:num w:numId="22">
    <w:abstractNumId w:val="19"/>
  </w:num>
  <w:num w:numId="23">
    <w:abstractNumId w:val="21"/>
  </w:num>
  <w:num w:numId="24">
    <w:abstractNumId w:val="15"/>
  </w:num>
  <w:num w:numId="25">
    <w:abstractNumId w:val="25"/>
  </w:num>
  <w:num w:numId="26">
    <w:abstractNumId w:val="30"/>
  </w:num>
  <w:num w:numId="27">
    <w:abstractNumId w:val="28"/>
  </w:num>
  <w:num w:numId="28">
    <w:abstractNumId w:val="10"/>
  </w:num>
  <w:num w:numId="29">
    <w:abstractNumId w:val="13"/>
  </w:num>
  <w:num w:numId="30">
    <w:abstractNumId w:val="11"/>
  </w:num>
  <w:num w:numId="31">
    <w:abstractNumId w:val="1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51BF"/>
    <w:rsid w:val="000158F1"/>
    <w:rsid w:val="00020BA7"/>
    <w:rsid w:val="00022CCA"/>
    <w:rsid w:val="00023D67"/>
    <w:rsid w:val="0003148D"/>
    <w:rsid w:val="00031D9A"/>
    <w:rsid w:val="00031EEC"/>
    <w:rsid w:val="00034635"/>
    <w:rsid w:val="00036F84"/>
    <w:rsid w:val="000374EA"/>
    <w:rsid w:val="00044C94"/>
    <w:rsid w:val="0004723D"/>
    <w:rsid w:val="000512E9"/>
    <w:rsid w:val="00051566"/>
    <w:rsid w:val="000600EB"/>
    <w:rsid w:val="00062A9A"/>
    <w:rsid w:val="00065058"/>
    <w:rsid w:val="00067D34"/>
    <w:rsid w:val="0007658F"/>
    <w:rsid w:val="00076EAD"/>
    <w:rsid w:val="00086928"/>
    <w:rsid w:val="00086C39"/>
    <w:rsid w:val="000A03B2"/>
    <w:rsid w:val="000B12A6"/>
    <w:rsid w:val="000B5398"/>
    <w:rsid w:val="000C41B3"/>
    <w:rsid w:val="000C7FB0"/>
    <w:rsid w:val="000D0268"/>
    <w:rsid w:val="000D34BE"/>
    <w:rsid w:val="000D3CB5"/>
    <w:rsid w:val="000D6CB2"/>
    <w:rsid w:val="000E0DB6"/>
    <w:rsid w:val="000E102F"/>
    <w:rsid w:val="000E36F1"/>
    <w:rsid w:val="000E3A73"/>
    <w:rsid w:val="000E414A"/>
    <w:rsid w:val="000F093C"/>
    <w:rsid w:val="000F1DBE"/>
    <w:rsid w:val="000F2A53"/>
    <w:rsid w:val="000F787B"/>
    <w:rsid w:val="00107B14"/>
    <w:rsid w:val="0012091F"/>
    <w:rsid w:val="00126364"/>
    <w:rsid w:val="0012650C"/>
    <w:rsid w:val="00126BC2"/>
    <w:rsid w:val="001300A1"/>
    <w:rsid w:val="001308B6"/>
    <w:rsid w:val="0013121F"/>
    <w:rsid w:val="00131FE6"/>
    <w:rsid w:val="0013263F"/>
    <w:rsid w:val="001331DF"/>
    <w:rsid w:val="00134DE4"/>
    <w:rsid w:val="0014034D"/>
    <w:rsid w:val="001406B7"/>
    <w:rsid w:val="00141BE1"/>
    <w:rsid w:val="00144D16"/>
    <w:rsid w:val="00146B49"/>
    <w:rsid w:val="00150E59"/>
    <w:rsid w:val="0015265D"/>
    <w:rsid w:val="00152DE3"/>
    <w:rsid w:val="00161B7B"/>
    <w:rsid w:val="00164CF9"/>
    <w:rsid w:val="00166476"/>
    <w:rsid w:val="001667A6"/>
    <w:rsid w:val="00175E8F"/>
    <w:rsid w:val="00176D93"/>
    <w:rsid w:val="00184AD6"/>
    <w:rsid w:val="00186E4A"/>
    <w:rsid w:val="00187B1C"/>
    <w:rsid w:val="00191254"/>
    <w:rsid w:val="001A1E4A"/>
    <w:rsid w:val="001A4AF7"/>
    <w:rsid w:val="001B0349"/>
    <w:rsid w:val="001B075A"/>
    <w:rsid w:val="001B1E93"/>
    <w:rsid w:val="001B62E4"/>
    <w:rsid w:val="001B65C1"/>
    <w:rsid w:val="001C4775"/>
    <w:rsid w:val="001C684B"/>
    <w:rsid w:val="001D0CFB"/>
    <w:rsid w:val="001D53FC"/>
    <w:rsid w:val="001E1B31"/>
    <w:rsid w:val="001E353A"/>
    <w:rsid w:val="001E3ECB"/>
    <w:rsid w:val="001E6E62"/>
    <w:rsid w:val="001F42A5"/>
    <w:rsid w:val="001F7B9D"/>
    <w:rsid w:val="0020153F"/>
    <w:rsid w:val="00201C93"/>
    <w:rsid w:val="00212221"/>
    <w:rsid w:val="002224B4"/>
    <w:rsid w:val="00226A9A"/>
    <w:rsid w:val="00242815"/>
    <w:rsid w:val="002447EF"/>
    <w:rsid w:val="00251550"/>
    <w:rsid w:val="00254E20"/>
    <w:rsid w:val="00257F31"/>
    <w:rsid w:val="00260E72"/>
    <w:rsid w:val="00263B05"/>
    <w:rsid w:val="002654DE"/>
    <w:rsid w:val="0027221A"/>
    <w:rsid w:val="00275B61"/>
    <w:rsid w:val="00277BB3"/>
    <w:rsid w:val="00280FAF"/>
    <w:rsid w:val="00282656"/>
    <w:rsid w:val="00291300"/>
    <w:rsid w:val="00296B83"/>
    <w:rsid w:val="002A58C7"/>
    <w:rsid w:val="002A7199"/>
    <w:rsid w:val="002B2AC0"/>
    <w:rsid w:val="002B4015"/>
    <w:rsid w:val="002B78CE"/>
    <w:rsid w:val="002C2FB6"/>
    <w:rsid w:val="002C414F"/>
    <w:rsid w:val="002C440F"/>
    <w:rsid w:val="002D6650"/>
    <w:rsid w:val="002E5FA7"/>
    <w:rsid w:val="002F3309"/>
    <w:rsid w:val="0030088C"/>
    <w:rsid w:val="003008CE"/>
    <w:rsid w:val="003009B7"/>
    <w:rsid w:val="00300E56"/>
    <w:rsid w:val="0030469C"/>
    <w:rsid w:val="00310606"/>
    <w:rsid w:val="00321CA6"/>
    <w:rsid w:val="00323763"/>
    <w:rsid w:val="00325CD3"/>
    <w:rsid w:val="00334C09"/>
    <w:rsid w:val="00350595"/>
    <w:rsid w:val="00357286"/>
    <w:rsid w:val="00365C57"/>
    <w:rsid w:val="0036677C"/>
    <w:rsid w:val="003723D4"/>
    <w:rsid w:val="00381905"/>
    <w:rsid w:val="00384CC8"/>
    <w:rsid w:val="00385675"/>
    <w:rsid w:val="003861AB"/>
    <w:rsid w:val="003871FD"/>
    <w:rsid w:val="0039058B"/>
    <w:rsid w:val="003944F8"/>
    <w:rsid w:val="003A1E30"/>
    <w:rsid w:val="003A2829"/>
    <w:rsid w:val="003A7D1C"/>
    <w:rsid w:val="003B304B"/>
    <w:rsid w:val="003B3146"/>
    <w:rsid w:val="003C7179"/>
    <w:rsid w:val="003D372E"/>
    <w:rsid w:val="003D5483"/>
    <w:rsid w:val="003D7BDD"/>
    <w:rsid w:val="003F015E"/>
    <w:rsid w:val="003F276A"/>
    <w:rsid w:val="003F6E40"/>
    <w:rsid w:val="00400414"/>
    <w:rsid w:val="0041446B"/>
    <w:rsid w:val="004161BD"/>
    <w:rsid w:val="00426354"/>
    <w:rsid w:val="0044146E"/>
    <w:rsid w:val="0044329C"/>
    <w:rsid w:val="00446851"/>
    <w:rsid w:val="00451B85"/>
    <w:rsid w:val="00453E24"/>
    <w:rsid w:val="00457456"/>
    <w:rsid w:val="004577FE"/>
    <w:rsid w:val="00457B9C"/>
    <w:rsid w:val="0046164A"/>
    <w:rsid w:val="004628D2"/>
    <w:rsid w:val="00462DCD"/>
    <w:rsid w:val="004648AD"/>
    <w:rsid w:val="004703A9"/>
    <w:rsid w:val="004760DE"/>
    <w:rsid w:val="004763D7"/>
    <w:rsid w:val="004868E4"/>
    <w:rsid w:val="00491713"/>
    <w:rsid w:val="00492404"/>
    <w:rsid w:val="00493C21"/>
    <w:rsid w:val="004A004E"/>
    <w:rsid w:val="004A24CF"/>
    <w:rsid w:val="004A7E65"/>
    <w:rsid w:val="004B2BEE"/>
    <w:rsid w:val="004B3080"/>
    <w:rsid w:val="004B45AD"/>
    <w:rsid w:val="004B6211"/>
    <w:rsid w:val="004B7729"/>
    <w:rsid w:val="004C2916"/>
    <w:rsid w:val="004C3D1D"/>
    <w:rsid w:val="004C7913"/>
    <w:rsid w:val="004C7A13"/>
    <w:rsid w:val="004E4DD6"/>
    <w:rsid w:val="004F5E36"/>
    <w:rsid w:val="004F7522"/>
    <w:rsid w:val="0050442B"/>
    <w:rsid w:val="00507B47"/>
    <w:rsid w:val="00507BEF"/>
    <w:rsid w:val="00507CC9"/>
    <w:rsid w:val="005119A5"/>
    <w:rsid w:val="00520A87"/>
    <w:rsid w:val="00523F0A"/>
    <w:rsid w:val="005243E8"/>
    <w:rsid w:val="005278B7"/>
    <w:rsid w:val="00532016"/>
    <w:rsid w:val="00533A28"/>
    <w:rsid w:val="0053415D"/>
    <w:rsid w:val="005346C8"/>
    <w:rsid w:val="00543A39"/>
    <w:rsid w:val="00543E7D"/>
    <w:rsid w:val="005441CF"/>
    <w:rsid w:val="0054790B"/>
    <w:rsid w:val="00547A68"/>
    <w:rsid w:val="005531C9"/>
    <w:rsid w:val="00564424"/>
    <w:rsid w:val="00570C43"/>
    <w:rsid w:val="00573B05"/>
    <w:rsid w:val="00577064"/>
    <w:rsid w:val="0058647F"/>
    <w:rsid w:val="005A2D74"/>
    <w:rsid w:val="005B2110"/>
    <w:rsid w:val="005B61E6"/>
    <w:rsid w:val="005C3BD4"/>
    <w:rsid w:val="005C4DC5"/>
    <w:rsid w:val="005C763A"/>
    <w:rsid w:val="005C77E1"/>
    <w:rsid w:val="005D5F34"/>
    <w:rsid w:val="005D668A"/>
    <w:rsid w:val="005D6A2F"/>
    <w:rsid w:val="005E1A82"/>
    <w:rsid w:val="005E794C"/>
    <w:rsid w:val="005F0A28"/>
    <w:rsid w:val="005F0E5E"/>
    <w:rsid w:val="005F4E7C"/>
    <w:rsid w:val="00600535"/>
    <w:rsid w:val="00601392"/>
    <w:rsid w:val="00610CD6"/>
    <w:rsid w:val="00616B27"/>
    <w:rsid w:val="00617CDB"/>
    <w:rsid w:val="00620DEE"/>
    <w:rsid w:val="00621F92"/>
    <w:rsid w:val="0062280A"/>
    <w:rsid w:val="00625639"/>
    <w:rsid w:val="00631B33"/>
    <w:rsid w:val="00632E1B"/>
    <w:rsid w:val="0064184D"/>
    <w:rsid w:val="006422CC"/>
    <w:rsid w:val="00655E00"/>
    <w:rsid w:val="006574B0"/>
    <w:rsid w:val="00660E3E"/>
    <w:rsid w:val="0066145B"/>
    <w:rsid w:val="00662E74"/>
    <w:rsid w:val="00673640"/>
    <w:rsid w:val="00680C23"/>
    <w:rsid w:val="00684C08"/>
    <w:rsid w:val="00693766"/>
    <w:rsid w:val="006960DA"/>
    <w:rsid w:val="00697D6D"/>
    <w:rsid w:val="006A2DBD"/>
    <w:rsid w:val="006A3281"/>
    <w:rsid w:val="006B3B1B"/>
    <w:rsid w:val="006B4888"/>
    <w:rsid w:val="006B5364"/>
    <w:rsid w:val="006C0B32"/>
    <w:rsid w:val="006C2E45"/>
    <w:rsid w:val="006C359C"/>
    <w:rsid w:val="006C3ACE"/>
    <w:rsid w:val="006C5579"/>
    <w:rsid w:val="006C6B81"/>
    <w:rsid w:val="006D0DD5"/>
    <w:rsid w:val="006D6E8B"/>
    <w:rsid w:val="006E5576"/>
    <w:rsid w:val="006E68FA"/>
    <w:rsid w:val="006E737D"/>
    <w:rsid w:val="006F4F6A"/>
    <w:rsid w:val="006F5B60"/>
    <w:rsid w:val="00713973"/>
    <w:rsid w:val="00714A14"/>
    <w:rsid w:val="00720A24"/>
    <w:rsid w:val="00732386"/>
    <w:rsid w:val="00734DCE"/>
    <w:rsid w:val="0073514D"/>
    <w:rsid w:val="007371D0"/>
    <w:rsid w:val="00741254"/>
    <w:rsid w:val="007447F3"/>
    <w:rsid w:val="00746222"/>
    <w:rsid w:val="00750523"/>
    <w:rsid w:val="007531BD"/>
    <w:rsid w:val="0075499F"/>
    <w:rsid w:val="00761FC8"/>
    <w:rsid w:val="00765CCA"/>
    <w:rsid w:val="007661C8"/>
    <w:rsid w:val="0077098D"/>
    <w:rsid w:val="00791240"/>
    <w:rsid w:val="007931FA"/>
    <w:rsid w:val="007A384B"/>
    <w:rsid w:val="007A4861"/>
    <w:rsid w:val="007A7BBA"/>
    <w:rsid w:val="007B0C50"/>
    <w:rsid w:val="007B48F9"/>
    <w:rsid w:val="007B534B"/>
    <w:rsid w:val="007C1A43"/>
    <w:rsid w:val="007D2CC7"/>
    <w:rsid w:val="007F21D2"/>
    <w:rsid w:val="007F75AD"/>
    <w:rsid w:val="0080013E"/>
    <w:rsid w:val="0080131C"/>
    <w:rsid w:val="00813288"/>
    <w:rsid w:val="008168FC"/>
    <w:rsid w:val="008224E9"/>
    <w:rsid w:val="008250E8"/>
    <w:rsid w:val="00830996"/>
    <w:rsid w:val="008345F1"/>
    <w:rsid w:val="00843E95"/>
    <w:rsid w:val="00847376"/>
    <w:rsid w:val="00847CE1"/>
    <w:rsid w:val="00861357"/>
    <w:rsid w:val="00865748"/>
    <w:rsid w:val="00865B07"/>
    <w:rsid w:val="008667EA"/>
    <w:rsid w:val="00866F64"/>
    <w:rsid w:val="008701EC"/>
    <w:rsid w:val="0087637F"/>
    <w:rsid w:val="00892AD5"/>
    <w:rsid w:val="00897963"/>
    <w:rsid w:val="008A1512"/>
    <w:rsid w:val="008A3C63"/>
    <w:rsid w:val="008A70B1"/>
    <w:rsid w:val="008B29F0"/>
    <w:rsid w:val="008B3173"/>
    <w:rsid w:val="008B4209"/>
    <w:rsid w:val="008C5710"/>
    <w:rsid w:val="008C5F31"/>
    <w:rsid w:val="008C5F3B"/>
    <w:rsid w:val="008D2516"/>
    <w:rsid w:val="008D32B9"/>
    <w:rsid w:val="008D39AE"/>
    <w:rsid w:val="008D433B"/>
    <w:rsid w:val="008D5154"/>
    <w:rsid w:val="008E566E"/>
    <w:rsid w:val="008E6C0D"/>
    <w:rsid w:val="0090161A"/>
    <w:rsid w:val="00901EB6"/>
    <w:rsid w:val="009033DF"/>
    <w:rsid w:val="00904C62"/>
    <w:rsid w:val="00907F0B"/>
    <w:rsid w:val="00912C2A"/>
    <w:rsid w:val="00922BA8"/>
    <w:rsid w:val="00922C6F"/>
    <w:rsid w:val="00924DAC"/>
    <w:rsid w:val="00927058"/>
    <w:rsid w:val="00927BCE"/>
    <w:rsid w:val="009331A5"/>
    <w:rsid w:val="00942750"/>
    <w:rsid w:val="009450CE"/>
    <w:rsid w:val="00947179"/>
    <w:rsid w:val="0095164B"/>
    <w:rsid w:val="00954090"/>
    <w:rsid w:val="00956FE7"/>
    <w:rsid w:val="009573E7"/>
    <w:rsid w:val="00963E05"/>
    <w:rsid w:val="00967843"/>
    <w:rsid w:val="00967D54"/>
    <w:rsid w:val="00971028"/>
    <w:rsid w:val="009835EA"/>
    <w:rsid w:val="00990CC0"/>
    <w:rsid w:val="00993B84"/>
    <w:rsid w:val="00996483"/>
    <w:rsid w:val="00996F5A"/>
    <w:rsid w:val="009B041A"/>
    <w:rsid w:val="009C18A2"/>
    <w:rsid w:val="009C1E79"/>
    <w:rsid w:val="009C37C3"/>
    <w:rsid w:val="009C7803"/>
    <w:rsid w:val="009C7C86"/>
    <w:rsid w:val="009D2FF7"/>
    <w:rsid w:val="009D5581"/>
    <w:rsid w:val="009E7884"/>
    <w:rsid w:val="009E788A"/>
    <w:rsid w:val="009F0E08"/>
    <w:rsid w:val="00A1763D"/>
    <w:rsid w:val="00A17CEC"/>
    <w:rsid w:val="00A23616"/>
    <w:rsid w:val="00A23D7A"/>
    <w:rsid w:val="00A24C72"/>
    <w:rsid w:val="00A27EF0"/>
    <w:rsid w:val="00A31B05"/>
    <w:rsid w:val="00A338DD"/>
    <w:rsid w:val="00A401F9"/>
    <w:rsid w:val="00A42361"/>
    <w:rsid w:val="00A500A7"/>
    <w:rsid w:val="00A50B20"/>
    <w:rsid w:val="00A51390"/>
    <w:rsid w:val="00A521AF"/>
    <w:rsid w:val="00A53A0D"/>
    <w:rsid w:val="00A55882"/>
    <w:rsid w:val="00A56D75"/>
    <w:rsid w:val="00A60D13"/>
    <w:rsid w:val="00A617F7"/>
    <w:rsid w:val="00A6513E"/>
    <w:rsid w:val="00A72745"/>
    <w:rsid w:val="00A76EFC"/>
    <w:rsid w:val="00A814D1"/>
    <w:rsid w:val="00A8517F"/>
    <w:rsid w:val="00A91010"/>
    <w:rsid w:val="00A93F0B"/>
    <w:rsid w:val="00A93FAE"/>
    <w:rsid w:val="00A97F29"/>
    <w:rsid w:val="00AA59B8"/>
    <w:rsid w:val="00AA702E"/>
    <w:rsid w:val="00AA77AC"/>
    <w:rsid w:val="00AB04EE"/>
    <w:rsid w:val="00AB0964"/>
    <w:rsid w:val="00AB3F1D"/>
    <w:rsid w:val="00AB5011"/>
    <w:rsid w:val="00AB726E"/>
    <w:rsid w:val="00AC0718"/>
    <w:rsid w:val="00AC7368"/>
    <w:rsid w:val="00AD16B9"/>
    <w:rsid w:val="00AD7971"/>
    <w:rsid w:val="00AE01EB"/>
    <w:rsid w:val="00AE377D"/>
    <w:rsid w:val="00AE6AA2"/>
    <w:rsid w:val="00AF0EBA"/>
    <w:rsid w:val="00AF18B7"/>
    <w:rsid w:val="00AF6FB2"/>
    <w:rsid w:val="00B02C8A"/>
    <w:rsid w:val="00B057B5"/>
    <w:rsid w:val="00B17FBD"/>
    <w:rsid w:val="00B2222D"/>
    <w:rsid w:val="00B23A66"/>
    <w:rsid w:val="00B315A6"/>
    <w:rsid w:val="00B31813"/>
    <w:rsid w:val="00B323BD"/>
    <w:rsid w:val="00B33033"/>
    <w:rsid w:val="00B33365"/>
    <w:rsid w:val="00B333DC"/>
    <w:rsid w:val="00B37156"/>
    <w:rsid w:val="00B418FA"/>
    <w:rsid w:val="00B465DD"/>
    <w:rsid w:val="00B57B36"/>
    <w:rsid w:val="00B57E6F"/>
    <w:rsid w:val="00B63E57"/>
    <w:rsid w:val="00B710D7"/>
    <w:rsid w:val="00B73273"/>
    <w:rsid w:val="00B74D45"/>
    <w:rsid w:val="00B765FD"/>
    <w:rsid w:val="00B810AE"/>
    <w:rsid w:val="00B8686D"/>
    <w:rsid w:val="00B93F69"/>
    <w:rsid w:val="00BA6E07"/>
    <w:rsid w:val="00BB1A76"/>
    <w:rsid w:val="00BB1DDC"/>
    <w:rsid w:val="00BB592D"/>
    <w:rsid w:val="00BC30C9"/>
    <w:rsid w:val="00BD076F"/>
    <w:rsid w:val="00BD077D"/>
    <w:rsid w:val="00BD7A54"/>
    <w:rsid w:val="00BE00F6"/>
    <w:rsid w:val="00BE17F1"/>
    <w:rsid w:val="00BE3E58"/>
    <w:rsid w:val="00C01616"/>
    <w:rsid w:val="00C0162B"/>
    <w:rsid w:val="00C01B68"/>
    <w:rsid w:val="00C05A3F"/>
    <w:rsid w:val="00C068ED"/>
    <w:rsid w:val="00C07560"/>
    <w:rsid w:val="00C107DD"/>
    <w:rsid w:val="00C130DD"/>
    <w:rsid w:val="00C16566"/>
    <w:rsid w:val="00C22E0C"/>
    <w:rsid w:val="00C26344"/>
    <w:rsid w:val="00C345B1"/>
    <w:rsid w:val="00C34D70"/>
    <w:rsid w:val="00C35298"/>
    <w:rsid w:val="00C40142"/>
    <w:rsid w:val="00C4397C"/>
    <w:rsid w:val="00C47FF2"/>
    <w:rsid w:val="00C52C3C"/>
    <w:rsid w:val="00C57182"/>
    <w:rsid w:val="00C57863"/>
    <w:rsid w:val="00C655FD"/>
    <w:rsid w:val="00C6568F"/>
    <w:rsid w:val="00C75407"/>
    <w:rsid w:val="00C844D7"/>
    <w:rsid w:val="00C870A8"/>
    <w:rsid w:val="00C94434"/>
    <w:rsid w:val="00CA0D75"/>
    <w:rsid w:val="00CA1C95"/>
    <w:rsid w:val="00CA5A9C"/>
    <w:rsid w:val="00CA5D09"/>
    <w:rsid w:val="00CB7B5A"/>
    <w:rsid w:val="00CC1C46"/>
    <w:rsid w:val="00CC43F2"/>
    <w:rsid w:val="00CC4C20"/>
    <w:rsid w:val="00CD3517"/>
    <w:rsid w:val="00CD4312"/>
    <w:rsid w:val="00CD5FE2"/>
    <w:rsid w:val="00CD715B"/>
    <w:rsid w:val="00CE5048"/>
    <w:rsid w:val="00CE5578"/>
    <w:rsid w:val="00CE66C6"/>
    <w:rsid w:val="00CE7C68"/>
    <w:rsid w:val="00CF3BCB"/>
    <w:rsid w:val="00CF3D3E"/>
    <w:rsid w:val="00D02B4C"/>
    <w:rsid w:val="00D040C4"/>
    <w:rsid w:val="00D1554A"/>
    <w:rsid w:val="00D17E91"/>
    <w:rsid w:val="00D2797D"/>
    <w:rsid w:val="00D313E3"/>
    <w:rsid w:val="00D46B7E"/>
    <w:rsid w:val="00D57C84"/>
    <w:rsid w:val="00D6057D"/>
    <w:rsid w:val="00D7397B"/>
    <w:rsid w:val="00D836C5"/>
    <w:rsid w:val="00D84576"/>
    <w:rsid w:val="00D85049"/>
    <w:rsid w:val="00D85973"/>
    <w:rsid w:val="00D945C8"/>
    <w:rsid w:val="00DA1399"/>
    <w:rsid w:val="00DA24C6"/>
    <w:rsid w:val="00DA4D7B"/>
    <w:rsid w:val="00DA6C6A"/>
    <w:rsid w:val="00DB76B7"/>
    <w:rsid w:val="00DC7099"/>
    <w:rsid w:val="00DD3256"/>
    <w:rsid w:val="00DE0668"/>
    <w:rsid w:val="00DE264A"/>
    <w:rsid w:val="00DF3725"/>
    <w:rsid w:val="00DF5072"/>
    <w:rsid w:val="00E01A80"/>
    <w:rsid w:val="00E02D18"/>
    <w:rsid w:val="00E041E7"/>
    <w:rsid w:val="00E23CA1"/>
    <w:rsid w:val="00E33511"/>
    <w:rsid w:val="00E3E627"/>
    <w:rsid w:val="00E409A8"/>
    <w:rsid w:val="00E50C12"/>
    <w:rsid w:val="00E60018"/>
    <w:rsid w:val="00E65B91"/>
    <w:rsid w:val="00E7209D"/>
    <w:rsid w:val="00E72EAD"/>
    <w:rsid w:val="00E74787"/>
    <w:rsid w:val="00E77223"/>
    <w:rsid w:val="00E81E3C"/>
    <w:rsid w:val="00E8447D"/>
    <w:rsid w:val="00E8528B"/>
    <w:rsid w:val="00E85B94"/>
    <w:rsid w:val="00E90BB7"/>
    <w:rsid w:val="00E94269"/>
    <w:rsid w:val="00E9699D"/>
    <w:rsid w:val="00E978D0"/>
    <w:rsid w:val="00EA0172"/>
    <w:rsid w:val="00EA4613"/>
    <w:rsid w:val="00EA56A3"/>
    <w:rsid w:val="00EA7F91"/>
    <w:rsid w:val="00EB1523"/>
    <w:rsid w:val="00EB1888"/>
    <w:rsid w:val="00EB6BC4"/>
    <w:rsid w:val="00EC0E49"/>
    <w:rsid w:val="00EC101F"/>
    <w:rsid w:val="00EC1D9F"/>
    <w:rsid w:val="00ED022F"/>
    <w:rsid w:val="00ED4077"/>
    <w:rsid w:val="00EE0131"/>
    <w:rsid w:val="00EE0E26"/>
    <w:rsid w:val="00EE17B0"/>
    <w:rsid w:val="00EF06D9"/>
    <w:rsid w:val="00EF2533"/>
    <w:rsid w:val="00EF6372"/>
    <w:rsid w:val="00F06C47"/>
    <w:rsid w:val="00F06EEB"/>
    <w:rsid w:val="00F1176E"/>
    <w:rsid w:val="00F2223D"/>
    <w:rsid w:val="00F25D6D"/>
    <w:rsid w:val="00F30C64"/>
    <w:rsid w:val="00F3256C"/>
    <w:rsid w:val="00F32BA2"/>
    <w:rsid w:val="00F32CDB"/>
    <w:rsid w:val="00F34CF5"/>
    <w:rsid w:val="00F35BAF"/>
    <w:rsid w:val="00F565FE"/>
    <w:rsid w:val="00F63A70"/>
    <w:rsid w:val="00F65A9E"/>
    <w:rsid w:val="00F7534E"/>
    <w:rsid w:val="00F75EA1"/>
    <w:rsid w:val="00F80210"/>
    <w:rsid w:val="00F84A9C"/>
    <w:rsid w:val="00FA1728"/>
    <w:rsid w:val="00FA21D0"/>
    <w:rsid w:val="00FA5F5F"/>
    <w:rsid w:val="00FA677A"/>
    <w:rsid w:val="00FB7280"/>
    <w:rsid w:val="00FB730C"/>
    <w:rsid w:val="00FC2695"/>
    <w:rsid w:val="00FC3E03"/>
    <w:rsid w:val="00FC3FC1"/>
    <w:rsid w:val="00FC586F"/>
    <w:rsid w:val="00FD1FE3"/>
    <w:rsid w:val="00FE7809"/>
    <w:rsid w:val="00FE7E8F"/>
    <w:rsid w:val="01279D7F"/>
    <w:rsid w:val="023753A3"/>
    <w:rsid w:val="0366B5F1"/>
    <w:rsid w:val="06F2833A"/>
    <w:rsid w:val="08EEE1CC"/>
    <w:rsid w:val="0C658AC9"/>
    <w:rsid w:val="0D7E82CA"/>
    <w:rsid w:val="147D4F91"/>
    <w:rsid w:val="16643D04"/>
    <w:rsid w:val="16B36451"/>
    <w:rsid w:val="178EE130"/>
    <w:rsid w:val="1921E849"/>
    <w:rsid w:val="1B5715FB"/>
    <w:rsid w:val="1F1F49DD"/>
    <w:rsid w:val="28162370"/>
    <w:rsid w:val="2BD17953"/>
    <w:rsid w:val="2E196E91"/>
    <w:rsid w:val="314514EB"/>
    <w:rsid w:val="3237E3CC"/>
    <w:rsid w:val="3472810E"/>
    <w:rsid w:val="3500CFC9"/>
    <w:rsid w:val="358638FA"/>
    <w:rsid w:val="359E2DFE"/>
    <w:rsid w:val="360E516F"/>
    <w:rsid w:val="38C6B460"/>
    <w:rsid w:val="422E647F"/>
    <w:rsid w:val="42B5BF5B"/>
    <w:rsid w:val="43843557"/>
    <w:rsid w:val="44AF53FE"/>
    <w:rsid w:val="44D91FBA"/>
    <w:rsid w:val="48F3E010"/>
    <w:rsid w:val="4D0E92F3"/>
    <w:rsid w:val="51D7ADCC"/>
    <w:rsid w:val="561E565B"/>
    <w:rsid w:val="60140871"/>
    <w:rsid w:val="617B8D21"/>
    <w:rsid w:val="64B5F4E0"/>
    <w:rsid w:val="64E77994"/>
    <w:rsid w:val="6642D6F8"/>
    <w:rsid w:val="76A15B45"/>
    <w:rsid w:val="7B74CC6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9E21997F-F4D4-4C20-88E8-B77451B8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844D7"/>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844D7"/>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styleId="Enfasigrassetto">
    <w:name w:val="Strong"/>
    <w:basedOn w:val="Carpredefinitoparagrafo"/>
    <w:uiPriority w:val="22"/>
    <w:qFormat/>
    <w:rsid w:val="00A521AF"/>
    <w:rPr>
      <w:b/>
      <w:bCs/>
    </w:rPr>
  </w:style>
  <w:style w:type="character" w:customStyle="1" w:styleId="topic-highlight">
    <w:name w:val="topic-highlight"/>
    <w:basedOn w:val="Carpredefinitoparagrafo"/>
    <w:rsid w:val="004B6211"/>
  </w:style>
  <w:style w:type="table" w:styleId="Tabellasemplice-2">
    <w:name w:val="Plain Table 2"/>
    <w:basedOn w:val="Tabellanormale"/>
    <w:uiPriority w:val="42"/>
    <w:rsid w:val="006B3B1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1.bin"/><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6.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660AA-84B8-4C65-9AE4-10D42F20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2643</Words>
  <Characters>15066</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Lauri Roberto</cp:lastModifiedBy>
  <cp:revision>2</cp:revision>
  <cp:lastPrinted>2021-11-09T13:26:00Z</cp:lastPrinted>
  <dcterms:created xsi:type="dcterms:W3CDTF">2022-02-22T10:57:00Z</dcterms:created>
  <dcterms:modified xsi:type="dcterms:W3CDTF">2022-02-22T10:57:00Z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