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8308BE" w14:paraId="06586332" w14:textId="77777777" w:rsidTr="00DE264A">
        <w:trPr>
          <w:trHeight w:val="852"/>
          <w:jc w:val="center"/>
        </w:trPr>
        <w:tc>
          <w:tcPr>
            <w:tcW w:w="6946" w:type="dxa"/>
            <w:vMerge w:val="restart"/>
            <w:tcBorders>
              <w:right w:val="single" w:sz="4" w:space="0" w:color="auto"/>
            </w:tcBorders>
          </w:tcPr>
          <w:p w14:paraId="73C0FCEC" w14:textId="77777777" w:rsidR="000A03B2" w:rsidRPr="005D2ACC" w:rsidRDefault="008E0FBA" w:rsidP="00DE264A">
            <w:pPr>
              <w:tabs>
                <w:tab w:val="left" w:pos="-108"/>
              </w:tabs>
              <w:ind w:left="-108"/>
              <w:jc w:val="left"/>
              <w:rPr>
                <w:rFonts w:cs="Arial"/>
                <w:b/>
                <w:bCs/>
                <w:i/>
                <w:iCs/>
                <w:color w:val="000066"/>
                <w:sz w:val="12"/>
                <w:szCs w:val="12"/>
                <w:lang w:eastAsia="it-IT"/>
              </w:rPr>
            </w:pPr>
            <w:r w:rsidRPr="005D2ACC">
              <w:rPr>
                <w:rFonts w:ascii="AdvP6960" w:hAnsi="AdvP6960" w:cs="AdvP6960"/>
                <w:noProof/>
                <w:color w:val="241F20"/>
                <w:szCs w:val="18"/>
                <w:lang w:val="it-IT" w:eastAsia="it-IT"/>
              </w:rPr>
              <w:drawing>
                <wp:inline distT="0" distB="0" distL="0" distR="0" wp14:anchorId="22E0F76E" wp14:editId="2B80F1DB">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3" descr="cetlogo"/>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40080" cy="373380"/>
                          </a:xfrm>
                          <a:prstGeom prst="rect">
                            <a:avLst/>
                          </a:prstGeom>
                          <a:noFill/>
                          <a:ln>
                            <a:noFill/>
                          </a:ln>
                        </pic:spPr>
                      </pic:pic>
                    </a:graphicData>
                  </a:graphic>
                </wp:inline>
              </w:drawing>
            </w:r>
            <w:r w:rsidRPr="005D2ACC">
              <w:rPr>
                <w:rFonts w:ascii="AdvP6960" w:hAnsi="AdvP6960" w:cs="AdvP6960"/>
                <w:color w:val="241F20"/>
                <w:szCs w:val="18"/>
                <w:lang w:eastAsia="it-IT"/>
              </w:rPr>
              <w:t xml:space="preserve"> </w:t>
            </w:r>
            <w:r w:rsidRPr="005D2ACC">
              <w:rPr>
                <w:rFonts w:cs="Arial"/>
                <w:b/>
                <w:bCs/>
                <w:i/>
                <w:iCs/>
                <w:color w:val="000066"/>
                <w:sz w:val="24"/>
                <w:szCs w:val="24"/>
                <w:lang w:eastAsia="it-IT"/>
              </w:rPr>
              <w:t>CHEMICAL ENGINEERING</w:t>
            </w:r>
            <w:r w:rsidRPr="005D2ACC">
              <w:rPr>
                <w:rFonts w:cs="Arial"/>
                <w:b/>
                <w:bCs/>
                <w:i/>
                <w:iCs/>
                <w:color w:val="0033FF"/>
                <w:sz w:val="24"/>
                <w:szCs w:val="24"/>
                <w:lang w:eastAsia="it-IT"/>
              </w:rPr>
              <w:t xml:space="preserve"> </w:t>
            </w:r>
            <w:r w:rsidRPr="005D2ACC">
              <w:rPr>
                <w:rFonts w:cs="Arial"/>
                <w:b/>
                <w:bCs/>
                <w:i/>
                <w:iCs/>
                <w:color w:val="666666"/>
                <w:sz w:val="24"/>
                <w:szCs w:val="24"/>
                <w:lang w:eastAsia="it-IT"/>
              </w:rPr>
              <w:t>TRANSACTIONS</w:t>
            </w:r>
            <w:r w:rsidRPr="005D2ACC">
              <w:rPr>
                <w:color w:val="333333"/>
                <w:sz w:val="24"/>
                <w:szCs w:val="24"/>
                <w:lang w:eastAsia="it-IT"/>
              </w:rPr>
              <w:t xml:space="preserve"> </w:t>
            </w:r>
          </w:p>
          <w:p w14:paraId="4DB3CC90" w14:textId="77777777" w:rsidR="000A03B2" w:rsidRPr="005D2ACC" w:rsidRDefault="000A03B2" w:rsidP="00DE264A">
            <w:pPr>
              <w:tabs>
                <w:tab w:val="left" w:pos="-108"/>
              </w:tabs>
              <w:ind w:left="-108"/>
              <w:jc w:val="left"/>
              <w:rPr>
                <w:rFonts w:cs="Arial"/>
                <w:b/>
                <w:bCs/>
                <w:i/>
                <w:iCs/>
                <w:color w:val="000066"/>
                <w:sz w:val="12"/>
                <w:szCs w:val="12"/>
                <w:lang w:eastAsia="it-IT"/>
              </w:rPr>
            </w:pPr>
          </w:p>
          <w:p w14:paraId="05BBA0A2" w14:textId="2FA7B355" w:rsidR="000A03B2" w:rsidRPr="005D2ACC" w:rsidRDefault="008E0FBA" w:rsidP="004C3D1D">
            <w:pPr>
              <w:tabs>
                <w:tab w:val="left" w:pos="-108"/>
              </w:tabs>
              <w:ind w:left="-108"/>
              <w:rPr>
                <w:rFonts w:cs="Arial"/>
                <w:b/>
                <w:bCs/>
                <w:i/>
                <w:iCs/>
                <w:color w:val="000066"/>
                <w:sz w:val="22"/>
                <w:szCs w:val="22"/>
                <w:lang w:eastAsia="it-IT"/>
              </w:rPr>
            </w:pPr>
            <w:r w:rsidRPr="005D2ACC">
              <w:rPr>
                <w:rFonts w:cs="Arial"/>
                <w:b/>
                <w:bCs/>
                <w:i/>
                <w:iCs/>
                <w:color w:val="000066"/>
                <w:sz w:val="22"/>
                <w:szCs w:val="22"/>
                <w:lang w:eastAsia="it-IT"/>
              </w:rPr>
              <w:t xml:space="preserve">VOL. </w:t>
            </w:r>
            <w:r w:rsidR="005D2ACC" w:rsidRPr="005D2ACC">
              <w:rPr>
                <w:rFonts w:cs="Arial"/>
                <w:b/>
                <w:bCs/>
                <w:i/>
                <w:iCs/>
                <w:color w:val="000066"/>
                <w:sz w:val="22"/>
                <w:szCs w:val="22"/>
                <w:lang w:eastAsia="it-IT"/>
              </w:rPr>
              <w:t>91, 2022</w:t>
            </w:r>
          </w:p>
        </w:tc>
        <w:tc>
          <w:tcPr>
            <w:tcW w:w="1843" w:type="dxa"/>
            <w:tcBorders>
              <w:left w:val="single" w:sz="4" w:space="0" w:color="auto"/>
              <w:bottom w:val="nil"/>
              <w:right w:val="single" w:sz="4" w:space="0" w:color="auto"/>
            </w:tcBorders>
          </w:tcPr>
          <w:p w14:paraId="0A0E250C" w14:textId="77777777" w:rsidR="000A03B2" w:rsidRPr="00B57B36" w:rsidRDefault="008E0FBA" w:rsidP="00CD5FE2">
            <w:pPr>
              <w:spacing w:line="140" w:lineRule="atLeast"/>
              <w:jc w:val="right"/>
              <w:rPr>
                <w:rFonts w:cs="Arial"/>
                <w:sz w:val="14"/>
                <w:szCs w:val="14"/>
              </w:rPr>
            </w:pPr>
            <w:r w:rsidRPr="00B57B36">
              <w:rPr>
                <w:rFonts w:cs="Arial"/>
                <w:sz w:val="14"/>
                <w:szCs w:val="14"/>
              </w:rPr>
              <w:t>A publication of</w:t>
            </w:r>
          </w:p>
          <w:p w14:paraId="5BAFE7B1" w14:textId="77777777" w:rsidR="000A03B2" w:rsidRPr="00B57B36" w:rsidRDefault="008E0FBA" w:rsidP="00CD5FE2">
            <w:pPr>
              <w:jc w:val="right"/>
            </w:pPr>
            <w:r w:rsidRPr="00B57B36">
              <w:rPr>
                <w:noProof/>
                <w:lang w:val="it-IT" w:eastAsia="it-IT"/>
              </w:rPr>
              <w:drawing>
                <wp:inline distT="0" distB="0" distL="0" distR="0" wp14:anchorId="0CCB2F8F" wp14:editId="69EC41FC">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descr="aidiclogo_grand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70560" cy="358140"/>
                          </a:xfrm>
                          <a:prstGeom prst="rect">
                            <a:avLst/>
                          </a:prstGeom>
                          <a:noFill/>
                          <a:ln>
                            <a:noFill/>
                          </a:ln>
                        </pic:spPr>
                      </pic:pic>
                    </a:graphicData>
                  </a:graphic>
                </wp:inline>
              </w:drawing>
            </w:r>
          </w:p>
        </w:tc>
      </w:tr>
      <w:tr w:rsidR="008308BE" w14:paraId="12F9DA4E" w14:textId="77777777" w:rsidTr="00DE264A">
        <w:trPr>
          <w:trHeight w:val="567"/>
          <w:jc w:val="center"/>
        </w:trPr>
        <w:tc>
          <w:tcPr>
            <w:tcW w:w="6946" w:type="dxa"/>
            <w:vMerge/>
            <w:tcBorders>
              <w:right w:val="single" w:sz="4" w:space="0" w:color="auto"/>
            </w:tcBorders>
          </w:tcPr>
          <w:p w14:paraId="07E22C3D" w14:textId="77777777" w:rsidR="000A03B2" w:rsidRPr="005D2ACC" w:rsidRDefault="000A03B2" w:rsidP="00CD5FE2">
            <w:pPr>
              <w:tabs>
                <w:tab w:val="left" w:pos="-108"/>
              </w:tabs>
            </w:pPr>
          </w:p>
        </w:tc>
        <w:tc>
          <w:tcPr>
            <w:tcW w:w="1843" w:type="dxa"/>
            <w:tcBorders>
              <w:left w:val="single" w:sz="4" w:space="0" w:color="auto"/>
              <w:bottom w:val="nil"/>
              <w:right w:val="single" w:sz="4" w:space="0" w:color="auto"/>
            </w:tcBorders>
          </w:tcPr>
          <w:p w14:paraId="0AC7E70C" w14:textId="77777777" w:rsidR="000A03B2" w:rsidRPr="00B57B36" w:rsidRDefault="008E0FBA" w:rsidP="00CD5FE2">
            <w:pPr>
              <w:spacing w:line="140" w:lineRule="atLeast"/>
              <w:jc w:val="right"/>
              <w:rPr>
                <w:rFonts w:cs="Arial"/>
                <w:sz w:val="14"/>
                <w:szCs w:val="14"/>
              </w:rPr>
            </w:pPr>
            <w:r w:rsidRPr="00B57B36">
              <w:rPr>
                <w:rFonts w:cs="Arial"/>
                <w:sz w:val="14"/>
                <w:szCs w:val="14"/>
              </w:rPr>
              <w:t>The Italian Association</w:t>
            </w:r>
          </w:p>
          <w:p w14:paraId="31F76464" w14:textId="77777777" w:rsidR="000A03B2" w:rsidRPr="00B57B36" w:rsidRDefault="008E0FBA" w:rsidP="00CD5FE2">
            <w:pPr>
              <w:spacing w:line="140" w:lineRule="atLeast"/>
              <w:jc w:val="right"/>
              <w:rPr>
                <w:rFonts w:cs="Arial"/>
                <w:sz w:val="14"/>
                <w:szCs w:val="14"/>
              </w:rPr>
            </w:pPr>
            <w:r w:rsidRPr="00B57B36">
              <w:rPr>
                <w:rFonts w:cs="Arial"/>
                <w:sz w:val="14"/>
                <w:szCs w:val="14"/>
              </w:rPr>
              <w:t>of Chemical Engineering</w:t>
            </w:r>
          </w:p>
          <w:p w14:paraId="7AD33088" w14:textId="77777777" w:rsidR="000A03B2" w:rsidRPr="00B57B36" w:rsidRDefault="008E0FBA" w:rsidP="00CD5FE2">
            <w:pPr>
              <w:spacing w:line="140" w:lineRule="atLeast"/>
              <w:jc w:val="right"/>
              <w:rPr>
                <w:rFonts w:cs="Arial"/>
                <w:sz w:val="14"/>
                <w:szCs w:val="14"/>
              </w:rPr>
            </w:pPr>
            <w:r w:rsidRPr="000D0268">
              <w:rPr>
                <w:rFonts w:cs="Arial"/>
                <w:sz w:val="13"/>
                <w:szCs w:val="13"/>
              </w:rPr>
              <w:t>Online at www.cetjournal.it</w:t>
            </w:r>
          </w:p>
        </w:tc>
      </w:tr>
      <w:tr w:rsidR="008308BE" w14:paraId="474C1A10" w14:textId="77777777" w:rsidTr="00DE264A">
        <w:trPr>
          <w:trHeight w:val="68"/>
          <w:jc w:val="center"/>
        </w:trPr>
        <w:tc>
          <w:tcPr>
            <w:tcW w:w="8789" w:type="dxa"/>
            <w:gridSpan w:val="2"/>
          </w:tcPr>
          <w:p w14:paraId="1638906B" w14:textId="4039F53E" w:rsidR="00300E56" w:rsidRPr="005D2ACC" w:rsidRDefault="008E0FBA" w:rsidP="00EC0E49">
            <w:pPr>
              <w:tabs>
                <w:tab w:val="left" w:pos="-108"/>
              </w:tabs>
              <w:spacing w:line="140" w:lineRule="atLeast"/>
              <w:ind w:left="-108"/>
              <w:jc w:val="left"/>
              <w:rPr>
                <w:rFonts w:ascii="Tahoma" w:hAnsi="Tahoma" w:cs="Tahoma"/>
                <w:iCs/>
                <w:color w:val="333333"/>
                <w:sz w:val="14"/>
                <w:szCs w:val="14"/>
                <w:lang w:val="it-IT" w:eastAsia="it-IT"/>
              </w:rPr>
            </w:pPr>
            <w:r w:rsidRPr="005D2ACC">
              <w:rPr>
                <w:rFonts w:ascii="Tahoma" w:hAnsi="Tahoma" w:cs="Tahoma"/>
                <w:iCs/>
                <w:color w:val="333333"/>
                <w:sz w:val="14"/>
                <w:szCs w:val="14"/>
                <w:lang w:val="it-IT" w:eastAsia="it-IT"/>
              </w:rPr>
              <w:t>Guest Editors:</w:t>
            </w:r>
            <w:r w:rsidR="00904C62" w:rsidRPr="005D2ACC">
              <w:rPr>
                <w:rFonts w:ascii="Tahoma" w:hAnsi="Tahoma" w:cs="Tahoma"/>
                <w:iCs/>
                <w:color w:val="333333"/>
                <w:sz w:val="14"/>
                <w:szCs w:val="14"/>
                <w:lang w:val="it-IT" w:eastAsia="it-IT"/>
              </w:rPr>
              <w:t xml:space="preserve"> </w:t>
            </w:r>
            <w:r w:rsidR="005D2ACC" w:rsidRPr="005D2ACC">
              <w:rPr>
                <w:rFonts w:ascii="Tahoma" w:hAnsi="Tahoma" w:cs="Tahoma"/>
                <w:iCs/>
                <w:color w:val="333333"/>
                <w:sz w:val="14"/>
                <w:szCs w:val="14"/>
                <w:lang w:val="it-IT" w:eastAsia="it-IT"/>
              </w:rPr>
              <w:t>Valerio Cozzani, Bruno Fabiano, Genserik Reniers</w:t>
            </w:r>
          </w:p>
          <w:p w14:paraId="7527E997" w14:textId="77777777" w:rsidR="005D2ACC" w:rsidRPr="005D2ACC" w:rsidRDefault="008E0FBA" w:rsidP="00180860">
            <w:pPr>
              <w:tabs>
                <w:tab w:val="left" w:pos="-108"/>
              </w:tabs>
              <w:spacing w:line="140" w:lineRule="atLeast"/>
              <w:ind w:left="-108"/>
              <w:jc w:val="left"/>
              <w:rPr>
                <w:rFonts w:ascii="Tahoma" w:hAnsi="Tahoma" w:cs="Tahoma"/>
                <w:iCs/>
                <w:color w:val="333333"/>
                <w:sz w:val="14"/>
                <w:szCs w:val="14"/>
                <w:lang w:eastAsia="it-IT"/>
              </w:rPr>
            </w:pPr>
            <w:r w:rsidRPr="005D2ACC">
              <w:rPr>
                <w:rFonts w:ascii="Tahoma" w:hAnsi="Tahoma" w:cs="Tahoma"/>
                <w:iCs/>
                <w:color w:val="333333"/>
                <w:sz w:val="14"/>
                <w:szCs w:val="14"/>
                <w:lang w:eastAsia="it-IT"/>
              </w:rPr>
              <w:t xml:space="preserve">Copyright © </w:t>
            </w:r>
            <w:r w:rsidR="00904C62" w:rsidRPr="005D2ACC">
              <w:rPr>
                <w:rFonts w:ascii="Tahoma" w:hAnsi="Tahoma" w:cs="Tahoma"/>
                <w:iCs/>
                <w:color w:val="333333"/>
                <w:sz w:val="14"/>
                <w:szCs w:val="14"/>
                <w:lang w:eastAsia="it-IT"/>
              </w:rPr>
              <w:t xml:space="preserve"> </w:t>
            </w:r>
            <w:r w:rsidR="005D2ACC" w:rsidRPr="005D2ACC">
              <w:rPr>
                <w:rFonts w:ascii="Tahoma" w:hAnsi="Tahoma" w:cs="Tahoma"/>
                <w:iCs/>
                <w:color w:val="333333"/>
                <w:sz w:val="14"/>
                <w:szCs w:val="14"/>
                <w:lang w:eastAsia="it-IT"/>
              </w:rPr>
              <w:t>2022, AIDIC Servizi S.r.l.</w:t>
            </w:r>
          </w:p>
          <w:p w14:paraId="613EF50F" w14:textId="4DB2CA31" w:rsidR="000A03B2" w:rsidRPr="005D2ACC" w:rsidRDefault="00180860" w:rsidP="00180860">
            <w:pPr>
              <w:tabs>
                <w:tab w:val="left" w:pos="-108"/>
              </w:tabs>
              <w:spacing w:line="140" w:lineRule="atLeast"/>
              <w:ind w:left="-108"/>
              <w:jc w:val="left"/>
            </w:pPr>
            <w:r w:rsidRPr="005D2ACC">
              <w:rPr>
                <w:rFonts w:ascii="Tahoma" w:hAnsi="Tahoma" w:cs="Tahoma"/>
                <w:b/>
                <w:iCs/>
                <w:color w:val="333333"/>
                <w:sz w:val="14"/>
                <w:szCs w:val="14"/>
                <w:lang w:eastAsia="it-IT"/>
              </w:rPr>
              <w:t xml:space="preserve">ISBN </w:t>
            </w:r>
            <w:r w:rsidRPr="005D2ACC">
              <w:rPr>
                <w:rFonts w:ascii="Tahoma" w:hAnsi="Tahoma" w:cs="Tahoma"/>
                <w:sz w:val="14"/>
                <w:szCs w:val="14"/>
                <w:lang w:val="en-US"/>
              </w:rPr>
              <w:t>978-88-95608-</w:t>
            </w:r>
            <w:r w:rsidR="005D2ACC" w:rsidRPr="005D2ACC">
              <w:rPr>
                <w:rFonts w:ascii="Tahoma" w:hAnsi="Tahoma" w:cs="Tahoma"/>
                <w:sz w:val="14"/>
                <w:szCs w:val="14"/>
                <w:lang w:val="en-US"/>
              </w:rPr>
              <w:t>89</w:t>
            </w:r>
            <w:r w:rsidRPr="005D2ACC">
              <w:rPr>
                <w:rFonts w:ascii="Tahoma" w:hAnsi="Tahoma" w:cs="Tahoma"/>
                <w:sz w:val="14"/>
                <w:szCs w:val="14"/>
                <w:lang w:val="en-US"/>
              </w:rPr>
              <w:t>-</w:t>
            </w:r>
            <w:r w:rsidR="005D2ACC" w:rsidRPr="005D2ACC">
              <w:rPr>
                <w:rFonts w:ascii="Tahoma" w:hAnsi="Tahoma" w:cs="Tahoma"/>
                <w:sz w:val="14"/>
                <w:szCs w:val="14"/>
                <w:lang w:val="en-US"/>
              </w:rPr>
              <w:t>1</w:t>
            </w:r>
            <w:r w:rsidRPr="005D2ACC">
              <w:rPr>
                <w:rFonts w:ascii="Tahoma" w:hAnsi="Tahoma" w:cs="Tahoma"/>
                <w:sz w:val="14"/>
                <w:szCs w:val="14"/>
                <w:lang w:val="en-US"/>
              </w:rPr>
              <w:t xml:space="preserve"> </w:t>
            </w:r>
            <w:r w:rsidR="00300E56" w:rsidRPr="005D2ACC">
              <w:rPr>
                <w:rFonts w:ascii="Tahoma" w:hAnsi="Tahoma" w:cs="Tahoma"/>
                <w:b/>
                <w:iCs/>
                <w:color w:val="333333"/>
                <w:sz w:val="14"/>
                <w:szCs w:val="14"/>
                <w:lang w:eastAsia="it-IT"/>
              </w:rPr>
              <w:t>ISSN</w:t>
            </w:r>
            <w:r w:rsidR="00300E56" w:rsidRPr="005D2ACC">
              <w:rPr>
                <w:rFonts w:ascii="Tahoma" w:hAnsi="Tahoma" w:cs="Tahoma"/>
                <w:iCs/>
                <w:color w:val="333333"/>
                <w:sz w:val="14"/>
                <w:szCs w:val="14"/>
                <w:lang w:eastAsia="it-IT"/>
              </w:rPr>
              <w:t xml:space="preserve"> 2283-9216</w:t>
            </w:r>
          </w:p>
        </w:tc>
      </w:tr>
    </w:tbl>
    <w:p w14:paraId="4D90BAF1"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4460954E" w14:textId="4378BD68" w:rsidR="00E978D0" w:rsidRPr="00B57B36" w:rsidRDefault="008E0FBA" w:rsidP="00E978D0">
      <w:pPr>
        <w:pStyle w:val="CETTitle"/>
      </w:pPr>
      <w:r w:rsidRPr="00796031">
        <w:t xml:space="preserve">A </w:t>
      </w:r>
      <w:r w:rsidR="00742E24">
        <w:t xml:space="preserve">Methodology for the evaluation </w:t>
      </w:r>
      <w:r w:rsidRPr="00796031">
        <w:t xml:space="preserve">of the VOC </w:t>
      </w:r>
      <w:r w:rsidR="00742E24">
        <w:t>A</w:t>
      </w:r>
      <w:r w:rsidRPr="00796031">
        <w:t xml:space="preserve">batement </w:t>
      </w:r>
      <w:r w:rsidR="00742E24">
        <w:t>C</w:t>
      </w:r>
      <w:r w:rsidRPr="00796031">
        <w:t xml:space="preserve">apacity of </w:t>
      </w:r>
      <w:r w:rsidR="00742E24">
        <w:t>D</w:t>
      </w:r>
      <w:r w:rsidRPr="00796031">
        <w:t xml:space="preserve">ifferent </w:t>
      </w:r>
      <w:r w:rsidR="00742E24">
        <w:t>S</w:t>
      </w:r>
      <w:r w:rsidRPr="00796031">
        <w:t xml:space="preserve">pecies of </w:t>
      </w:r>
      <w:r w:rsidR="00742E24">
        <w:t>P</w:t>
      </w:r>
      <w:r w:rsidRPr="00796031">
        <w:t xml:space="preserve">otted </w:t>
      </w:r>
      <w:r w:rsidR="00742E24">
        <w:t>O</w:t>
      </w:r>
      <w:r w:rsidRPr="00796031">
        <w:t xml:space="preserve">rnamental </w:t>
      </w:r>
      <w:r w:rsidR="00742E24">
        <w:t>P</w:t>
      </w:r>
      <w:r w:rsidRPr="00796031">
        <w:t xml:space="preserve">lants in </w:t>
      </w:r>
      <w:r w:rsidR="00742E24">
        <w:t>P</w:t>
      </w:r>
      <w:r w:rsidRPr="00796031">
        <w:t xml:space="preserve">hytoremediating </w:t>
      </w:r>
      <w:r w:rsidR="00742E24">
        <w:t>I</w:t>
      </w:r>
      <w:r w:rsidRPr="00796031">
        <w:t xml:space="preserve">ndoor </w:t>
      </w:r>
      <w:r w:rsidR="00742E24">
        <w:t>A</w:t>
      </w:r>
      <w:r w:rsidRPr="00796031">
        <w:t xml:space="preserve">ir </w:t>
      </w:r>
    </w:p>
    <w:p w14:paraId="484C9E70" w14:textId="77777777" w:rsidR="00E978D0" w:rsidRPr="00796031" w:rsidRDefault="008E0FBA" w:rsidP="00AB5011">
      <w:pPr>
        <w:pStyle w:val="CETAuthors"/>
        <w:rPr>
          <w:lang w:val="it-IT"/>
        </w:rPr>
      </w:pPr>
      <w:r w:rsidRPr="00796031">
        <w:rPr>
          <w:lang w:val="it-IT"/>
        </w:rPr>
        <w:t>Valentina Di Talia</w:t>
      </w:r>
      <w:r w:rsidR="00600535" w:rsidRPr="00796031">
        <w:rPr>
          <w:lang w:val="it-IT"/>
        </w:rPr>
        <w:t xml:space="preserve">, </w:t>
      </w:r>
      <w:r w:rsidRPr="00796031">
        <w:rPr>
          <w:lang w:val="it-IT"/>
        </w:rPr>
        <w:t>Giacomo Antonioni</w:t>
      </w:r>
      <w:r w:rsidR="00600535" w:rsidRPr="00796031">
        <w:rPr>
          <w:lang w:val="it-IT"/>
        </w:rPr>
        <w:t>*</w:t>
      </w:r>
    </w:p>
    <w:p w14:paraId="3E670501" w14:textId="77777777" w:rsidR="00E978D0" w:rsidRPr="00796031" w:rsidRDefault="008E0FBA" w:rsidP="00E978D0">
      <w:pPr>
        <w:pStyle w:val="CETAddress"/>
        <w:rPr>
          <w:lang w:val="it-IT"/>
        </w:rPr>
      </w:pPr>
      <w:r w:rsidRPr="00796031">
        <w:rPr>
          <w:lang w:val="it-IT"/>
        </w:rPr>
        <w:t>University of Bologna, CIRI Fonti Rinnovabili, Ambiente, Mare ed Energia, Via Sant’Alberto 163</w:t>
      </w:r>
      <w:r>
        <w:rPr>
          <w:lang w:val="it-IT"/>
        </w:rPr>
        <w:t xml:space="preserve">, </w:t>
      </w:r>
      <w:r w:rsidRPr="00796031">
        <w:rPr>
          <w:lang w:val="it-IT"/>
        </w:rPr>
        <w:t>48123</w:t>
      </w:r>
      <w:r>
        <w:rPr>
          <w:lang w:val="it-IT"/>
        </w:rPr>
        <w:t xml:space="preserve">, </w:t>
      </w:r>
      <w:r w:rsidRPr="00796031">
        <w:rPr>
          <w:lang w:val="it-IT"/>
        </w:rPr>
        <w:t xml:space="preserve">Ravenna </w:t>
      </w:r>
    </w:p>
    <w:p w14:paraId="1137DACC" w14:textId="77777777" w:rsidR="00E978D0" w:rsidRPr="00B57B36" w:rsidRDefault="008E0FBA" w:rsidP="00E978D0">
      <w:pPr>
        <w:pStyle w:val="CETemail"/>
      </w:pPr>
      <w:r>
        <w:t>*</w:t>
      </w:r>
      <w:r w:rsidR="00796031" w:rsidRPr="00796031">
        <w:t xml:space="preserve">giacomo.antonioni3@unibo.it </w:t>
      </w:r>
    </w:p>
    <w:p w14:paraId="26D17903" w14:textId="77777777" w:rsidR="00796031" w:rsidRPr="003D489A" w:rsidRDefault="008E0FBA" w:rsidP="00796031">
      <w:pPr>
        <w:pStyle w:val="CETBodytext"/>
        <w:rPr>
          <w:lang w:val="en-GB"/>
        </w:rPr>
      </w:pPr>
      <w:bookmarkStart w:id="0" w:name="_Hlk495475023"/>
      <w:r w:rsidRPr="00796031">
        <w:rPr>
          <w:lang w:val="en-GB"/>
        </w:rPr>
        <w:t xml:space="preserve">Since the end of the </w:t>
      </w:r>
      <w:r w:rsidR="00080524">
        <w:rPr>
          <w:lang w:val="en-GB"/>
        </w:rPr>
        <w:t>’80</w:t>
      </w:r>
      <w:r w:rsidRPr="00796031">
        <w:rPr>
          <w:lang w:val="en-GB"/>
        </w:rPr>
        <w:t xml:space="preserve">s, it has been </w:t>
      </w:r>
      <w:r w:rsidRPr="003D489A">
        <w:rPr>
          <w:lang w:val="en-GB"/>
        </w:rPr>
        <w:t>known that potted ornamental plants can remediate Volatile Organic Compounds (VOCs) from indoor air and, to date,</w:t>
      </w:r>
      <w:r w:rsidR="00B46B20" w:rsidRPr="003D489A">
        <w:rPr>
          <w:lang w:val="en-GB"/>
        </w:rPr>
        <w:t xml:space="preserve"> a significant number of</w:t>
      </w:r>
      <w:r w:rsidRPr="003D489A">
        <w:rPr>
          <w:lang w:val="en-GB"/>
        </w:rPr>
        <w:t xml:space="preserve"> species have been tested in controlled environments to quantify their abatement capacity concerning specific VOCs. However, the experimental methodologies are not standardised yet, and different units and approaches are used to quantify the removal capacity of the species. Consequently, in most cases, the results obtained are not comparable and, most importantly, directly exploitable to set up phytoremediation interventions in real settings. </w:t>
      </w:r>
    </w:p>
    <w:p w14:paraId="4D1C24B5" w14:textId="3037CE93" w:rsidR="00796031" w:rsidRPr="003D489A" w:rsidRDefault="008E0FBA" w:rsidP="00796031">
      <w:pPr>
        <w:pStyle w:val="CETBodytext"/>
        <w:rPr>
          <w:lang w:val="en-GB"/>
        </w:rPr>
      </w:pPr>
      <w:r w:rsidRPr="003D489A">
        <w:rPr>
          <w:lang w:val="en-GB"/>
        </w:rPr>
        <w:t xml:space="preserve">This study proposes a new method for evaluating and comparing the VOC removal capacity of different plant species and a review, produced according to this methodology, of the results obtained in previous studies. </w:t>
      </w:r>
      <w:r w:rsidR="002E6FBE" w:rsidRPr="002E6FBE">
        <w:rPr>
          <w:lang w:val="en-GB"/>
        </w:rPr>
        <w:t xml:space="preserve">Considering that the VOC abatement is related to the entire plant system and that the uptake cannot be considered neither a zero nor a first-order removal process but a hybrid of the two, the proposal consists in modelling the removal analogously to biological processes. In the first instance, this approach allows a simple but effective assessment of the results obtained in different tests, making possible an objective choice of the best performing species for phytoremediation applications in real settings. While applying this methodology </w:t>
      </w:r>
      <w:r w:rsidRPr="003D489A">
        <w:rPr>
          <w:lang w:val="en-GB"/>
        </w:rPr>
        <w:t xml:space="preserve">to existing experimental studies, it was considered essential to rigorously review their protocols as the removal depends on many factors, inter alia the chamber dimensions, the environmental conditions, the initial pollutant concentrations and the metabolic characteristics of the tested species. This application has aimed to set the basis for an accurate and more complete comparison of the results obtained in controlled environment experimentations and, also, to prepare the way to a standardization of the methodologies. </w:t>
      </w:r>
    </w:p>
    <w:p w14:paraId="4BB90B92" w14:textId="77777777" w:rsidR="00600535" w:rsidRPr="00B57B36" w:rsidRDefault="008E0FBA" w:rsidP="00796031">
      <w:pPr>
        <w:pStyle w:val="CETBodytext"/>
        <w:rPr>
          <w:lang w:val="en-GB"/>
        </w:rPr>
      </w:pPr>
      <w:r w:rsidRPr="003D489A">
        <w:rPr>
          <w:lang w:val="en-GB"/>
        </w:rPr>
        <w:t>Plant-based remediation interventions could be a simple, green and innovative solution to address the complex indoor air pollution problem. The approach proposed in this paper is an essential step towards a rational design of these interventions, allowing, in particular, the assessment of the actual remediation capacity of different plant species tested in various conditions.</w:t>
      </w:r>
    </w:p>
    <w:bookmarkEnd w:id="0"/>
    <w:p w14:paraId="14FDB563" w14:textId="77777777" w:rsidR="00600535" w:rsidRDefault="008E0FBA" w:rsidP="00600535">
      <w:pPr>
        <w:pStyle w:val="CETHeading1"/>
        <w:rPr>
          <w:sz w:val="18"/>
          <w:szCs w:val="18"/>
          <w:lang w:val="en-GB"/>
        </w:rPr>
      </w:pPr>
      <w:r w:rsidRPr="00714970">
        <w:rPr>
          <w:sz w:val="18"/>
          <w:szCs w:val="18"/>
          <w:lang w:val="en-GB"/>
        </w:rPr>
        <w:t>Introduction</w:t>
      </w:r>
    </w:p>
    <w:p w14:paraId="6424462B" w14:textId="0A071CAC" w:rsidR="00336BD9" w:rsidRPr="00336BD9" w:rsidRDefault="008E0FBA" w:rsidP="00336BD9">
      <w:pPr>
        <w:pStyle w:val="CETBodytext"/>
        <w:rPr>
          <w:lang w:val="en-GB"/>
        </w:rPr>
      </w:pPr>
      <w:r w:rsidRPr="00336BD9">
        <w:rPr>
          <w:lang w:val="en-GB"/>
        </w:rPr>
        <w:t xml:space="preserve">Indoor air pollution is recognised globally as a public health hazard with substantial social and economic repercussions (Soreanu et al., 2013). Volatile Organic Compounds (VOCs) are an important class of indoor air pollutants as they are ubiquitous and are known to determine a wide variety of adverse health effects, even at </w:t>
      </w:r>
      <w:r w:rsidRPr="00D474BD">
        <w:rPr>
          <w:lang w:val="en-GB"/>
        </w:rPr>
        <w:t>low concentrations (Bernstein et al., 2008). Despite this, to date, the techniques available for removing VOCs from indoor air are often ineffective, especially for gaseous contaminants (</w:t>
      </w:r>
      <w:r w:rsidR="00D474BD" w:rsidRPr="00D474BD">
        <w:rPr>
          <w:lang w:val="en-GB"/>
        </w:rPr>
        <w:t xml:space="preserve">Suárez-Cáceres </w:t>
      </w:r>
      <w:r w:rsidR="00767E72" w:rsidRPr="00D474BD">
        <w:rPr>
          <w:lang w:val="en-GB"/>
        </w:rPr>
        <w:t>et al., 2021</w:t>
      </w:r>
      <w:r w:rsidRPr="00D474BD">
        <w:rPr>
          <w:lang w:val="en-GB"/>
        </w:rPr>
        <w:t>).</w:t>
      </w:r>
    </w:p>
    <w:p w14:paraId="72E9D8D3" w14:textId="07B72227" w:rsidR="00336BD9" w:rsidRPr="00336BD9" w:rsidRDefault="008E0FBA" w:rsidP="00336BD9">
      <w:pPr>
        <w:pStyle w:val="CETBodytext"/>
        <w:rPr>
          <w:lang w:val="en-GB"/>
        </w:rPr>
      </w:pPr>
      <w:r w:rsidRPr="00336BD9">
        <w:rPr>
          <w:lang w:val="en-GB"/>
        </w:rPr>
        <w:t>The idea of using potted ornamental plants to phytoremediate indoor air from VOCs was introduced at the end of the ‘80s (Wolverton and McDonalds,1982; Wolverton et al., 1984; Wolverton et al., 1989). These pioneering studies quantified the VOC removal capacity of a group of plant species for the first time, providing the basis for the following empirical research on this subject. In recent years, the interest in plant-based solutions for air depuration has been growing and, to date, the abatement capacity of a significant number of plant species has been tested in controlled environments</w:t>
      </w:r>
      <w:r w:rsidR="00E61F91">
        <w:rPr>
          <w:lang w:val="en-GB"/>
        </w:rPr>
        <w:t xml:space="preserve"> </w:t>
      </w:r>
      <w:r w:rsidR="00E61F91" w:rsidRPr="00336BD9">
        <w:rPr>
          <w:lang w:val="en-GB"/>
        </w:rPr>
        <w:t>(Han and Ruan, 2020)</w:t>
      </w:r>
      <w:r w:rsidRPr="00336BD9">
        <w:rPr>
          <w:lang w:val="en-GB"/>
        </w:rPr>
        <w:t>. </w:t>
      </w:r>
    </w:p>
    <w:p w14:paraId="10301C41" w14:textId="77777777" w:rsidR="008308BE" w:rsidRDefault="008308BE"/>
    <w:p w14:paraId="6231F742" w14:textId="0A15CC42" w:rsidR="00336BD9" w:rsidRDefault="008E0FBA" w:rsidP="00336BD9">
      <w:pPr>
        <w:pStyle w:val="CETBodytext"/>
        <w:rPr>
          <w:lang w:val="en-GB"/>
        </w:rPr>
      </w:pPr>
      <w:r w:rsidRPr="00336BD9">
        <w:rPr>
          <w:lang w:val="en-GB"/>
        </w:rPr>
        <w:lastRenderedPageBreak/>
        <w:t xml:space="preserve">The abatement capacity of a plant species concerning a specific VOC, generalising from the literature (Kim et al., 2018), can be assessed with tests in closed environments where a known pollutant concentration is injected in a sealed chamber to quantify the abatement of a specimen over a defined </w:t>
      </w:r>
      <w:r>
        <w:rPr>
          <w:lang w:val="en-GB"/>
        </w:rPr>
        <w:t xml:space="preserve">time </w:t>
      </w:r>
      <w:r w:rsidRPr="00336BD9">
        <w:rPr>
          <w:lang w:val="en-GB"/>
        </w:rPr>
        <w:t xml:space="preserve">period. </w:t>
      </w:r>
      <w:r w:rsidR="00FD15F0">
        <w:rPr>
          <w:lang w:val="en-GB"/>
        </w:rPr>
        <w:t xml:space="preserve">As </w:t>
      </w:r>
      <w:r w:rsidRPr="00336BD9">
        <w:rPr>
          <w:lang w:val="en-GB"/>
        </w:rPr>
        <w:t xml:space="preserve">the experimental methodologies are not standardised yet, and different approaches and units to describe the removal are used, </w:t>
      </w:r>
      <w:r>
        <w:rPr>
          <w:lang w:val="en-GB"/>
        </w:rPr>
        <w:t>the results</w:t>
      </w:r>
      <w:r w:rsidRPr="00336BD9">
        <w:rPr>
          <w:lang w:val="en-GB"/>
        </w:rPr>
        <w:t xml:space="preserve"> obtained</w:t>
      </w:r>
      <w:r>
        <w:rPr>
          <w:lang w:val="en-GB"/>
        </w:rPr>
        <w:t xml:space="preserve"> are often not comparable</w:t>
      </w:r>
      <w:r w:rsidR="00FD15F0">
        <w:rPr>
          <w:lang w:val="en-GB"/>
        </w:rPr>
        <w:t xml:space="preserve"> and directly usable</w:t>
      </w:r>
      <w:r w:rsidR="003B7BDC">
        <w:rPr>
          <w:lang w:val="en-GB"/>
        </w:rPr>
        <w:t xml:space="preserve">. </w:t>
      </w:r>
    </w:p>
    <w:p w14:paraId="4BE53A85" w14:textId="35365085" w:rsidR="00AC012C" w:rsidRDefault="008E0FBA" w:rsidP="00336BD9">
      <w:pPr>
        <w:pStyle w:val="CETBodytext"/>
        <w:rPr>
          <w:lang w:val="en-GB"/>
        </w:rPr>
      </w:pPr>
      <w:r>
        <w:rPr>
          <w:lang w:val="en-GB"/>
        </w:rPr>
        <w:t>The</w:t>
      </w:r>
      <w:r w:rsidR="003B7BDC">
        <w:rPr>
          <w:lang w:val="en-GB"/>
        </w:rPr>
        <w:t xml:space="preserve"> principal </w:t>
      </w:r>
      <w:r>
        <w:rPr>
          <w:lang w:val="en-GB"/>
        </w:rPr>
        <w:t xml:space="preserve">factors that can influence the plant VOC abatement </w:t>
      </w:r>
      <w:r w:rsidR="003B7BDC">
        <w:rPr>
          <w:lang w:val="en-GB"/>
        </w:rPr>
        <w:t>need to be evaluated to read the results rigorously.</w:t>
      </w:r>
      <w:r>
        <w:rPr>
          <w:lang w:val="en-GB"/>
        </w:rPr>
        <w:t xml:space="preserve"> </w:t>
      </w:r>
    </w:p>
    <w:p w14:paraId="0187A99B" w14:textId="5DDC42CE" w:rsidR="00AC012C" w:rsidRDefault="008E0FBA" w:rsidP="00336BD9">
      <w:pPr>
        <w:pStyle w:val="CETBodytext"/>
        <w:rPr>
          <w:lang w:val="en-GB"/>
        </w:rPr>
      </w:pPr>
      <w:r>
        <w:rPr>
          <w:lang w:val="en-GB"/>
        </w:rPr>
        <w:t>T</w:t>
      </w:r>
      <w:r w:rsidR="00336BD9" w:rsidRPr="00336BD9">
        <w:rPr>
          <w:lang w:val="en-GB"/>
        </w:rPr>
        <w:t xml:space="preserve">he </w:t>
      </w:r>
      <w:r w:rsidRPr="00336BD9">
        <w:rPr>
          <w:lang w:val="en-GB"/>
        </w:rPr>
        <w:t>initial and final pollutant concentration in the chamber</w:t>
      </w:r>
      <w:r>
        <w:rPr>
          <w:lang w:val="en-GB"/>
        </w:rPr>
        <w:t xml:space="preserve">, </w:t>
      </w:r>
      <w:r w:rsidRPr="00336BD9">
        <w:rPr>
          <w:lang w:val="en-GB"/>
        </w:rPr>
        <w:t>the tested specimen leaf area</w:t>
      </w:r>
      <w:r w:rsidR="000B47D3">
        <w:rPr>
          <w:lang w:val="en-GB"/>
        </w:rPr>
        <w:t>, and the controlled chamber volume</w:t>
      </w:r>
      <w:r w:rsidR="00336BD9" w:rsidRPr="00336BD9">
        <w:rPr>
          <w:lang w:val="en-GB"/>
        </w:rPr>
        <w:t xml:space="preserve"> are </w:t>
      </w:r>
      <w:r>
        <w:rPr>
          <w:lang w:val="en-GB"/>
        </w:rPr>
        <w:t>the minimal data required to model the depletion capacity of a species for a selected contaminant (Di Talia and Antonioni, 2021) appropriately</w:t>
      </w:r>
      <w:r w:rsidR="00336BD9" w:rsidRPr="00336BD9">
        <w:rPr>
          <w:lang w:val="en-GB"/>
        </w:rPr>
        <w:t xml:space="preserve">. </w:t>
      </w:r>
      <w:r w:rsidR="00FD15F0">
        <w:rPr>
          <w:lang w:val="en-GB"/>
        </w:rPr>
        <w:t xml:space="preserve">The leaf area is often the most used parameter to quantify the dimensions of the plants and, consequently, the </w:t>
      </w:r>
      <w:r w:rsidR="00DF5A92">
        <w:rPr>
          <w:lang w:val="en-GB"/>
        </w:rPr>
        <w:t>uptake</w:t>
      </w:r>
      <w:r w:rsidR="00FD15F0">
        <w:rPr>
          <w:lang w:val="en-GB"/>
        </w:rPr>
        <w:t xml:space="preserve">. It </w:t>
      </w:r>
      <w:r w:rsidR="00FD15F0" w:rsidRPr="00336BD9">
        <w:rPr>
          <w:lang w:val="en-GB"/>
        </w:rPr>
        <w:t xml:space="preserve">is </w:t>
      </w:r>
      <w:r w:rsidR="00FD15F0">
        <w:rPr>
          <w:lang w:val="en-GB"/>
        </w:rPr>
        <w:t xml:space="preserve">in fact well </w:t>
      </w:r>
      <w:r w:rsidR="00FD15F0" w:rsidRPr="00336BD9">
        <w:rPr>
          <w:lang w:val="en-GB"/>
        </w:rPr>
        <w:t>known that the principal VOC removal pathway concern</w:t>
      </w:r>
      <w:r w:rsidR="00FD15F0">
        <w:rPr>
          <w:lang w:val="en-GB"/>
        </w:rPr>
        <w:t>s</w:t>
      </w:r>
      <w:r w:rsidR="00FD15F0" w:rsidRPr="00336BD9">
        <w:rPr>
          <w:lang w:val="en-GB"/>
        </w:rPr>
        <w:t xml:space="preserve"> the plant leaves (i.e. stomata and cuticle)</w:t>
      </w:r>
      <w:r w:rsidR="00FD15F0">
        <w:rPr>
          <w:lang w:val="en-GB"/>
        </w:rPr>
        <w:t>, but it has also been proven that the</w:t>
      </w:r>
      <w:r w:rsidR="00FD15F0" w:rsidRPr="00336BD9">
        <w:rPr>
          <w:lang w:val="en-GB"/>
        </w:rPr>
        <w:t xml:space="preserve"> microorganisms residing in the </w:t>
      </w:r>
      <w:r w:rsidR="00E61F91">
        <w:rPr>
          <w:lang w:val="en-GB"/>
        </w:rPr>
        <w:t>roots and</w:t>
      </w:r>
      <w:r w:rsidR="00E25336">
        <w:rPr>
          <w:lang w:val="en-GB"/>
        </w:rPr>
        <w:t xml:space="preserve"> in</w:t>
      </w:r>
      <w:r w:rsidR="00E61F91">
        <w:rPr>
          <w:lang w:val="en-GB"/>
        </w:rPr>
        <w:t xml:space="preserve"> the </w:t>
      </w:r>
      <w:r w:rsidR="00FD15F0" w:rsidRPr="00336BD9">
        <w:rPr>
          <w:lang w:val="en-GB"/>
        </w:rPr>
        <w:t>growing medium</w:t>
      </w:r>
      <w:r w:rsidR="00FD15F0">
        <w:rPr>
          <w:lang w:val="en-GB"/>
        </w:rPr>
        <w:t xml:space="preserve"> play an essential role in the abatement. To date, </w:t>
      </w:r>
      <w:r w:rsidR="00FD15F0" w:rsidRPr="00336BD9">
        <w:rPr>
          <w:lang w:val="en-GB"/>
        </w:rPr>
        <w:t xml:space="preserve">it is still difficult to assess the actual incidence </w:t>
      </w:r>
      <w:r w:rsidR="00FD15F0">
        <w:rPr>
          <w:lang w:val="en-GB"/>
        </w:rPr>
        <w:t>of these pathways</w:t>
      </w:r>
      <w:r w:rsidR="00FD15F0" w:rsidRPr="00336BD9">
        <w:rPr>
          <w:lang w:val="en-GB"/>
        </w:rPr>
        <w:t xml:space="preserve"> for each species and at different environmental conditions</w:t>
      </w:r>
      <w:r w:rsidR="00FD15F0">
        <w:rPr>
          <w:lang w:val="en-GB"/>
        </w:rPr>
        <w:t xml:space="preserve"> rigorously, mainly</w:t>
      </w:r>
      <w:r w:rsidR="00FD15F0" w:rsidRPr="00336BD9">
        <w:rPr>
          <w:lang w:val="en-GB"/>
        </w:rPr>
        <w:t xml:space="preserve"> because of the complexity of the overall plant removal process</w:t>
      </w:r>
      <w:r w:rsidR="00FD15F0">
        <w:rPr>
          <w:lang w:val="en-GB"/>
        </w:rPr>
        <w:t xml:space="preserve"> in which t</w:t>
      </w:r>
      <w:r w:rsidR="00FD15F0" w:rsidRPr="00336BD9">
        <w:rPr>
          <w:lang w:val="en-GB"/>
        </w:rPr>
        <w:t>he contaminants are “captured” by the different parts of the plant and then translocated and metabolised</w:t>
      </w:r>
      <w:r w:rsidR="00FD15F0">
        <w:rPr>
          <w:lang w:val="en-GB"/>
        </w:rPr>
        <w:t xml:space="preserve"> (Dela Cruz et al.2014).</w:t>
      </w:r>
      <w:r>
        <w:rPr>
          <w:lang w:val="en-GB"/>
        </w:rPr>
        <w:t>The review of Dela Cruz et al.(2014)</w:t>
      </w:r>
      <w:r w:rsidR="00FD15F0">
        <w:rPr>
          <w:lang w:val="en-GB"/>
        </w:rPr>
        <w:t xml:space="preserve"> just cited</w:t>
      </w:r>
      <w:r w:rsidR="000B47D3">
        <w:rPr>
          <w:lang w:val="en-GB"/>
        </w:rPr>
        <w:t xml:space="preserve"> provides an interesting overview of the additional factors that should be considered</w:t>
      </w:r>
      <w:r w:rsidR="00FD15F0">
        <w:rPr>
          <w:lang w:val="en-GB"/>
        </w:rPr>
        <w:t xml:space="preserve"> </w:t>
      </w:r>
      <w:r w:rsidR="00DF5A92">
        <w:rPr>
          <w:lang w:val="en-GB"/>
        </w:rPr>
        <w:t>while</w:t>
      </w:r>
      <w:r w:rsidR="00FD15F0">
        <w:rPr>
          <w:lang w:val="en-GB"/>
        </w:rPr>
        <w:t xml:space="preserve"> evaluat</w:t>
      </w:r>
      <w:r w:rsidR="00DF5A92">
        <w:rPr>
          <w:lang w:val="en-GB"/>
        </w:rPr>
        <w:t>ing</w:t>
      </w:r>
      <w:r w:rsidR="00FD15F0">
        <w:rPr>
          <w:lang w:val="en-GB"/>
        </w:rPr>
        <w:t xml:space="preserve"> the plant VOC abatement</w:t>
      </w:r>
      <w:r>
        <w:rPr>
          <w:lang w:val="en-GB"/>
        </w:rPr>
        <w:t>. Among them, the most important are the plant metabolic and morphological features and environmental conditions</w:t>
      </w:r>
      <w:r w:rsidR="00E61F91">
        <w:rPr>
          <w:lang w:val="en-GB"/>
        </w:rPr>
        <w:t xml:space="preserve"> (temperature, relative humidity, and presence of light)</w:t>
      </w:r>
      <w:r>
        <w:rPr>
          <w:lang w:val="en-GB"/>
        </w:rPr>
        <w:t xml:space="preserve">. Species peculiarities can strongly affect the </w:t>
      </w:r>
      <w:r w:rsidR="00DF5A92">
        <w:rPr>
          <w:lang w:val="en-GB"/>
        </w:rPr>
        <w:t>removal</w:t>
      </w:r>
      <w:r w:rsidR="000B47D3">
        <w:rPr>
          <w:lang w:val="en-GB"/>
        </w:rPr>
        <w:t>,</w:t>
      </w:r>
      <w:r>
        <w:rPr>
          <w:lang w:val="en-GB"/>
        </w:rPr>
        <w:t xml:space="preserve"> and they should be </w:t>
      </w:r>
      <w:r w:rsidR="00FD15F0">
        <w:rPr>
          <w:lang w:val="en-GB"/>
        </w:rPr>
        <w:t>regarded</w:t>
      </w:r>
      <w:r>
        <w:rPr>
          <w:lang w:val="en-GB"/>
        </w:rPr>
        <w:t xml:space="preserve"> to </w:t>
      </w:r>
      <w:r w:rsidR="000B47D3">
        <w:rPr>
          <w:lang w:val="en-GB"/>
        </w:rPr>
        <w:t>read the results of the tests correctly</w:t>
      </w:r>
      <w:r>
        <w:rPr>
          <w:lang w:val="en-GB"/>
        </w:rPr>
        <w:t xml:space="preserve">. To give an example, </w:t>
      </w:r>
      <w:r w:rsidRPr="00AC012C">
        <w:rPr>
          <w:lang w:val="en-GB"/>
        </w:rPr>
        <w:t xml:space="preserve">plants with Crassulacean Acid Metabolism (CAM) perform the </w:t>
      </w:r>
      <w:r w:rsidR="00DF5A92">
        <w:rPr>
          <w:lang w:val="en-GB"/>
        </w:rPr>
        <w:t>uptake</w:t>
      </w:r>
      <w:r w:rsidRPr="00AC012C">
        <w:rPr>
          <w:lang w:val="en-GB"/>
        </w:rPr>
        <w:t xml:space="preserve"> through the stomata also in conditions of darkness (Gong et al., 2019), which is evidently a considerable advantage while applying this mitigation strategy in real environments.</w:t>
      </w:r>
    </w:p>
    <w:p w14:paraId="3E0AE211" w14:textId="047DA4C3" w:rsidR="00336BD9" w:rsidRPr="00336BD9" w:rsidRDefault="008E0FBA" w:rsidP="00336BD9">
      <w:pPr>
        <w:pStyle w:val="CETBodytext"/>
        <w:rPr>
          <w:lang w:val="en-GB"/>
        </w:rPr>
      </w:pPr>
      <w:r w:rsidRPr="00336BD9">
        <w:rPr>
          <w:lang w:val="en-GB"/>
        </w:rPr>
        <w:t>This work proposes a methodology for comparing, straightforwardly, the abatement capacities of different plant species</w:t>
      </w:r>
      <w:r>
        <w:rPr>
          <w:lang w:val="en-GB"/>
        </w:rPr>
        <w:t xml:space="preserve"> </w:t>
      </w:r>
      <w:r w:rsidRPr="00336BD9">
        <w:rPr>
          <w:lang w:val="en-GB"/>
        </w:rPr>
        <w:t>obtained with different experimental protocols. The purpose is to support the designer in selecting the best species to remediate a specific contaminant, knowing its initial concentration</w:t>
      </w:r>
      <w:r>
        <w:rPr>
          <w:lang w:val="en-GB"/>
        </w:rPr>
        <w:t xml:space="preserve"> in the indoor environment to address</w:t>
      </w:r>
      <w:r w:rsidRPr="00336BD9">
        <w:rPr>
          <w:lang w:val="en-GB"/>
        </w:rPr>
        <w:t>. Starting from the selection of plant species with superior VOC purifying ability presented by Kim et al. (2018), the methodology was applied to produce a</w:t>
      </w:r>
      <w:r w:rsidR="003439E7">
        <w:rPr>
          <w:lang w:val="en-GB"/>
        </w:rPr>
        <w:t>n</w:t>
      </w:r>
      <w:r w:rsidRPr="00336BD9">
        <w:rPr>
          <w:lang w:val="en-GB"/>
        </w:rPr>
        <w:t xml:space="preserve"> </w:t>
      </w:r>
      <w:r w:rsidR="008226D0" w:rsidRPr="00336BD9">
        <w:rPr>
          <w:lang w:val="en-GB"/>
        </w:rPr>
        <w:t>immediately usable</w:t>
      </w:r>
      <w:r w:rsidR="008226D0">
        <w:rPr>
          <w:lang w:val="en-GB"/>
        </w:rPr>
        <w:t xml:space="preserve"> </w:t>
      </w:r>
      <w:r w:rsidR="00F6056B">
        <w:rPr>
          <w:lang w:val="en-GB"/>
        </w:rPr>
        <w:t>database</w:t>
      </w:r>
      <w:r w:rsidRPr="00336BD9">
        <w:rPr>
          <w:lang w:val="en-GB"/>
        </w:rPr>
        <w:t xml:space="preserve">, , of the results achieved in previous tests. To conclude, an example of how this database can be employed </w:t>
      </w:r>
      <w:r>
        <w:rPr>
          <w:lang w:val="en-GB"/>
        </w:rPr>
        <w:t>will be</w:t>
      </w:r>
      <w:r w:rsidRPr="00336BD9">
        <w:rPr>
          <w:lang w:val="en-GB"/>
        </w:rPr>
        <w:t xml:space="preserve"> illustrated. The contaminant chosen for this last application is formaldehyde, one of the most investigated and common indoor air contaminants.</w:t>
      </w:r>
    </w:p>
    <w:p w14:paraId="428F6963" w14:textId="77777777" w:rsidR="00FC313E" w:rsidRPr="00FC313E" w:rsidRDefault="008E0FBA" w:rsidP="00FC313E">
      <w:pPr>
        <w:pStyle w:val="CETHeading1"/>
        <w:rPr>
          <w:bCs/>
          <w:sz w:val="18"/>
          <w:lang w:val="en-GB"/>
        </w:rPr>
      </w:pPr>
      <w:r w:rsidRPr="00FC313E">
        <w:rPr>
          <w:bCs/>
          <w:sz w:val="18"/>
          <w:lang w:val="en-GB"/>
        </w:rPr>
        <w:t>Methodology</w:t>
      </w:r>
    </w:p>
    <w:p w14:paraId="12CAD22F" w14:textId="63268F86" w:rsidR="00BD1EDD" w:rsidRDefault="008E0FBA" w:rsidP="003E096C">
      <w:pPr>
        <w:pStyle w:val="CETBodytext"/>
        <w:rPr>
          <w:lang w:val="en-GB"/>
        </w:rPr>
      </w:pPr>
      <w:r>
        <w:rPr>
          <w:lang w:val="en-GB"/>
        </w:rPr>
        <w:t>Potted plants are proven to remediate indoor air from VOCs</w:t>
      </w:r>
      <w:r w:rsidR="00485085">
        <w:rPr>
          <w:lang w:val="en-GB"/>
        </w:rPr>
        <w:t>;</w:t>
      </w:r>
      <w:r>
        <w:rPr>
          <w:lang w:val="en-GB"/>
        </w:rPr>
        <w:t xml:space="preserve"> </w:t>
      </w:r>
      <w:r w:rsidR="0093379A">
        <w:rPr>
          <w:lang w:val="en-GB"/>
        </w:rPr>
        <w:t>nevertheless</w:t>
      </w:r>
      <w:r w:rsidR="00DA71ED">
        <w:rPr>
          <w:lang w:val="en-GB"/>
        </w:rPr>
        <w:t xml:space="preserve">, </w:t>
      </w:r>
      <w:r>
        <w:rPr>
          <w:lang w:val="en-GB"/>
        </w:rPr>
        <w:t>currently</w:t>
      </w:r>
      <w:r w:rsidR="00DD3E81">
        <w:rPr>
          <w:lang w:val="en-GB"/>
        </w:rPr>
        <w:t>,</w:t>
      </w:r>
      <w:r>
        <w:rPr>
          <w:lang w:val="en-GB"/>
        </w:rPr>
        <w:t xml:space="preserve"> there is</w:t>
      </w:r>
      <w:r w:rsidR="00FA0333">
        <w:rPr>
          <w:lang w:val="en-GB"/>
        </w:rPr>
        <w:t xml:space="preserve"> no</w:t>
      </w:r>
      <w:r>
        <w:rPr>
          <w:lang w:val="en-GB"/>
        </w:rPr>
        <w:t xml:space="preserve"> sta</w:t>
      </w:r>
      <w:r w:rsidR="00DD3E81">
        <w:rPr>
          <w:lang w:val="en-GB"/>
        </w:rPr>
        <w:t>ndar</w:t>
      </w:r>
      <w:r>
        <w:rPr>
          <w:lang w:val="en-GB"/>
        </w:rPr>
        <w:t>dised method to assess their abatement capacity</w:t>
      </w:r>
      <w:r w:rsidR="00FA0333">
        <w:rPr>
          <w:lang w:val="en-GB"/>
        </w:rPr>
        <w:t xml:space="preserve"> in controlled environments</w:t>
      </w:r>
      <w:r>
        <w:rPr>
          <w:lang w:val="en-GB"/>
        </w:rPr>
        <w:t xml:space="preserve"> univocally.</w:t>
      </w:r>
      <w:r w:rsidR="003A3B2E">
        <w:rPr>
          <w:lang w:val="en-GB"/>
        </w:rPr>
        <w:t xml:space="preserve"> </w:t>
      </w:r>
      <w:r w:rsidR="00DA71ED">
        <w:rPr>
          <w:lang w:val="en-GB"/>
        </w:rPr>
        <w:t>The</w:t>
      </w:r>
      <w:r>
        <w:rPr>
          <w:lang w:val="en-GB"/>
        </w:rPr>
        <w:t xml:space="preserve"> number of studies regarding the topic is </w:t>
      </w:r>
      <w:r w:rsidR="00DD3E81">
        <w:rPr>
          <w:lang w:val="en-GB"/>
        </w:rPr>
        <w:t xml:space="preserve">increasing, </w:t>
      </w:r>
      <w:r>
        <w:rPr>
          <w:lang w:val="en-GB"/>
        </w:rPr>
        <w:t>and the necessity to define a methodology to compare the results already obtained ad to give a direction for further studies is evident.</w:t>
      </w:r>
      <w:r w:rsidR="00BC32A9">
        <w:rPr>
          <w:lang w:val="en-GB"/>
        </w:rPr>
        <w:t xml:space="preserve"> </w:t>
      </w:r>
    </w:p>
    <w:p w14:paraId="52AD014E" w14:textId="77777777" w:rsidR="00E61F91" w:rsidRDefault="008E0FBA" w:rsidP="003E096C">
      <w:pPr>
        <w:pStyle w:val="CETBodytext"/>
        <w:rPr>
          <w:lang w:val="en-GB"/>
        </w:rPr>
      </w:pPr>
      <w:r>
        <w:rPr>
          <w:lang w:val="en-GB"/>
        </w:rPr>
        <w:t>A</w:t>
      </w:r>
      <w:r w:rsidR="002D7152">
        <w:rPr>
          <w:lang w:val="en-GB"/>
        </w:rPr>
        <w:t xml:space="preserve"> straightforward approach is proposed for this intent. </w:t>
      </w:r>
      <w:r>
        <w:rPr>
          <w:lang w:val="en-GB"/>
        </w:rPr>
        <w:t xml:space="preserve">The idea is to consider a plant as a system and model the VOC abatement </w:t>
      </w:r>
      <w:r w:rsidRPr="00C33565">
        <w:rPr>
          <w:lang w:val="en-GB"/>
        </w:rPr>
        <w:t>analogously to biological removal process</w:t>
      </w:r>
      <w:r w:rsidR="001743E4">
        <w:rPr>
          <w:lang w:val="en-GB"/>
        </w:rPr>
        <w:t>es</w:t>
      </w:r>
      <w:r>
        <w:rPr>
          <w:lang w:val="en-GB"/>
        </w:rPr>
        <w:t xml:space="preserve">. </w:t>
      </w:r>
    </w:p>
    <w:p w14:paraId="0E433E72" w14:textId="12B927A0" w:rsidR="00157C13" w:rsidRDefault="00E61F91" w:rsidP="003E096C">
      <w:pPr>
        <w:pStyle w:val="CETBodytext"/>
        <w:rPr>
          <w:lang w:val="en-GB"/>
        </w:rPr>
      </w:pPr>
      <w:r>
        <w:rPr>
          <w:lang w:val="en-GB"/>
        </w:rPr>
        <w:t>It</w:t>
      </w:r>
      <w:r w:rsidR="008E0FBA">
        <w:rPr>
          <w:lang w:val="en-GB"/>
        </w:rPr>
        <w:t xml:space="preserve"> is</w:t>
      </w:r>
      <w:r>
        <w:rPr>
          <w:lang w:val="en-GB"/>
        </w:rPr>
        <w:t xml:space="preserve"> well</w:t>
      </w:r>
      <w:r w:rsidR="008E0FBA">
        <w:rPr>
          <w:lang w:val="en-GB"/>
        </w:rPr>
        <w:t xml:space="preserve"> known that the VOC removal occurs predominantly through the </w:t>
      </w:r>
      <w:r>
        <w:rPr>
          <w:lang w:val="en-GB"/>
        </w:rPr>
        <w:t>plant aerial part (i.e</w:t>
      </w:r>
      <w:r w:rsidR="000B47D3">
        <w:rPr>
          <w:lang w:val="en-GB"/>
        </w:rPr>
        <w:t>.</w:t>
      </w:r>
      <w:r>
        <w:rPr>
          <w:lang w:val="en-GB"/>
        </w:rPr>
        <w:t xml:space="preserve"> the </w:t>
      </w:r>
      <w:r w:rsidR="008E0FBA">
        <w:rPr>
          <w:lang w:val="en-GB"/>
        </w:rPr>
        <w:t>plant leaves</w:t>
      </w:r>
      <w:r>
        <w:rPr>
          <w:lang w:val="en-GB"/>
        </w:rPr>
        <w:t>)</w:t>
      </w:r>
      <w:r w:rsidR="008E0FBA">
        <w:rPr>
          <w:lang w:val="en-GB"/>
        </w:rPr>
        <w:t>, but the action of microorganisms residing</w:t>
      </w:r>
      <w:r>
        <w:rPr>
          <w:lang w:val="en-GB"/>
        </w:rPr>
        <w:t xml:space="preserve"> in</w:t>
      </w:r>
      <w:r w:rsidR="008E0FBA">
        <w:rPr>
          <w:lang w:val="en-GB"/>
        </w:rPr>
        <w:t xml:space="preserve"> </w:t>
      </w:r>
      <w:r w:rsidR="000B47D3">
        <w:rPr>
          <w:lang w:val="en-GB"/>
        </w:rPr>
        <w:t xml:space="preserve">the </w:t>
      </w:r>
      <w:r w:rsidR="008E0FBA">
        <w:rPr>
          <w:lang w:val="en-GB"/>
        </w:rPr>
        <w:t xml:space="preserve">root zone should also be regarded. Due to the differences in the pathways involved in the removal, the </w:t>
      </w:r>
      <w:r w:rsidR="000B47D3">
        <w:rPr>
          <w:lang w:val="en-GB"/>
        </w:rPr>
        <w:t>overall plant VOC abatement kinetics</w:t>
      </w:r>
      <w:r w:rsidR="008E0FBA">
        <w:rPr>
          <w:lang w:val="en-GB"/>
        </w:rPr>
        <w:t xml:space="preserve"> cannot be seen exclusively as a </w:t>
      </w:r>
      <w:r w:rsidR="0060204D">
        <w:rPr>
          <w:lang w:val="en-GB"/>
        </w:rPr>
        <w:t xml:space="preserve">pseudo </w:t>
      </w:r>
      <w:r w:rsidR="008E0FBA">
        <w:rPr>
          <w:lang w:val="en-GB"/>
        </w:rPr>
        <w:t>first-order or a zero-</w:t>
      </w:r>
      <w:r w:rsidR="008A0DEE">
        <w:rPr>
          <w:lang w:val="en-GB"/>
        </w:rPr>
        <w:t xml:space="preserve">order </w:t>
      </w:r>
      <w:r w:rsidR="008E0FBA">
        <w:rPr>
          <w:lang w:val="en-GB"/>
        </w:rPr>
        <w:t xml:space="preserve">removal process. The idea of modelling it as </w:t>
      </w:r>
      <w:r w:rsidR="001572F6">
        <w:rPr>
          <w:lang w:val="en-GB"/>
        </w:rPr>
        <w:t>a hybrid of the two, as for biological processes, seems the most reasonable approach to follow.</w:t>
      </w:r>
      <w:r w:rsidR="008E0FBA">
        <w:rPr>
          <w:lang w:val="en-GB"/>
        </w:rPr>
        <w:t xml:space="preserve"> </w:t>
      </w:r>
      <w:r w:rsidR="001572F6">
        <w:rPr>
          <w:lang w:val="en-GB"/>
        </w:rPr>
        <w:t>The fact</w:t>
      </w:r>
      <w:r>
        <w:rPr>
          <w:lang w:val="en-GB"/>
        </w:rPr>
        <w:t xml:space="preserve"> that </w:t>
      </w:r>
      <w:r w:rsidR="001572F6">
        <w:rPr>
          <w:lang w:val="en-GB"/>
        </w:rPr>
        <w:t>i</w:t>
      </w:r>
      <w:r w:rsidR="008E0FBA">
        <w:rPr>
          <w:lang w:val="en-GB"/>
        </w:rPr>
        <w:t xml:space="preserve">t is still </w:t>
      </w:r>
      <w:r w:rsidR="001572F6">
        <w:rPr>
          <w:lang w:val="en-GB"/>
        </w:rPr>
        <w:t>challenging</w:t>
      </w:r>
      <w:r w:rsidR="008E0FBA">
        <w:rPr>
          <w:lang w:val="en-GB"/>
        </w:rPr>
        <w:t xml:space="preserve"> to determine the relative importance of the VOC uptake pathways in the overall phytoremediation process </w:t>
      </w:r>
      <w:r w:rsidR="000B47D3">
        <w:rPr>
          <w:lang w:val="en-GB"/>
        </w:rPr>
        <w:t>also has</w:t>
      </w:r>
      <w:r w:rsidR="008E0FBA">
        <w:rPr>
          <w:lang w:val="en-GB"/>
        </w:rPr>
        <w:t xml:space="preserve"> to be acknowledged.</w:t>
      </w:r>
    </w:p>
    <w:p w14:paraId="7C4D7AF6" w14:textId="7FBAB6E5" w:rsidR="00157C13" w:rsidRDefault="008E0FBA" w:rsidP="003E096C">
      <w:pPr>
        <w:pStyle w:val="CETBodytext"/>
        <w:rPr>
          <w:lang w:val="en-GB"/>
        </w:rPr>
      </w:pPr>
      <w:r>
        <w:rPr>
          <w:lang w:val="en-GB"/>
        </w:rPr>
        <w:t xml:space="preserve">In order to quantify the abatements obtained in experimentations univocally, the volume of the controlled chamber, the total </w:t>
      </w:r>
      <w:r w:rsidR="00C50E22">
        <w:rPr>
          <w:lang w:val="en-GB"/>
        </w:rPr>
        <w:t>plant</w:t>
      </w:r>
      <w:r>
        <w:rPr>
          <w:lang w:val="en-GB"/>
        </w:rPr>
        <w:t xml:space="preserve"> area of the specimen tested and the initial and final pollutant concentrations in the chamber after a defined time period are the essential parameters to consider</w:t>
      </w:r>
      <w:r w:rsidR="000B47D3">
        <w:rPr>
          <w:lang w:val="en-GB"/>
        </w:rPr>
        <w:t>,</w:t>
      </w:r>
      <w:r>
        <w:rPr>
          <w:lang w:val="en-GB"/>
        </w:rPr>
        <w:t xml:space="preserve"> </w:t>
      </w:r>
      <w:r w:rsidR="00844402">
        <w:rPr>
          <w:lang w:val="en-GB"/>
        </w:rPr>
        <w:t xml:space="preserve">since </w:t>
      </w:r>
      <w:r>
        <w:rPr>
          <w:lang w:val="en-GB"/>
        </w:rPr>
        <w:t xml:space="preserve">they </w:t>
      </w:r>
      <w:r w:rsidR="00844402">
        <w:rPr>
          <w:lang w:val="en-GB"/>
        </w:rPr>
        <w:t>can</w:t>
      </w:r>
      <w:r>
        <w:rPr>
          <w:lang w:val="en-GB"/>
        </w:rPr>
        <w:t xml:space="preserve"> be used</w:t>
      </w:r>
      <w:r w:rsidR="000B47D3">
        <w:rPr>
          <w:lang w:val="en-GB"/>
        </w:rPr>
        <w:t>, according to this methodology,</w:t>
      </w:r>
      <w:r>
        <w:rPr>
          <w:lang w:val="en-GB"/>
        </w:rPr>
        <w:t xml:space="preserve"> to calculate the species and pollutant specific removal rates per unit leaf </w:t>
      </w:r>
      <w:r w:rsidRPr="008E0FBA">
        <w:rPr>
          <w:lang w:val="en-GB"/>
        </w:rPr>
        <w:t xml:space="preserve">area </w:t>
      </w:r>
      <w:r w:rsidRPr="008E0FBA">
        <w:rPr>
          <w:i/>
          <w:iCs/>
          <w:lang w:val="en-GB"/>
        </w:rPr>
        <w:t>η</w:t>
      </w:r>
      <w:r w:rsidRPr="008E0FBA">
        <w:rPr>
          <w:i/>
          <w:iCs/>
          <w:vertAlign w:val="subscript"/>
          <w:lang w:val="en-GB"/>
        </w:rPr>
        <w:t>0</w:t>
      </w:r>
      <w:r w:rsidRPr="008E0FBA">
        <w:rPr>
          <w:i/>
          <w:iCs/>
          <w:lang w:val="en-GB"/>
        </w:rPr>
        <w:t xml:space="preserve"> </w:t>
      </w:r>
      <w:r w:rsidRPr="008E0FBA">
        <w:rPr>
          <w:lang w:val="en-GB"/>
        </w:rPr>
        <w:t xml:space="preserve">and </w:t>
      </w:r>
      <w:r w:rsidRPr="008E0FBA">
        <w:rPr>
          <w:i/>
          <w:iCs/>
          <w:lang w:val="en-GB"/>
        </w:rPr>
        <w:t>η</w:t>
      </w:r>
      <w:r w:rsidRPr="008E0FBA">
        <w:rPr>
          <w:i/>
          <w:iCs/>
          <w:vertAlign w:val="subscript"/>
          <w:lang w:val="en-GB"/>
        </w:rPr>
        <w:t>1</w:t>
      </w:r>
      <w:r>
        <w:rPr>
          <w:lang w:val="en-GB"/>
        </w:rPr>
        <w:t xml:space="preserve"> </w:t>
      </w:r>
      <w:r w:rsidRPr="008E0FBA">
        <w:rPr>
          <w:lang w:val="en-GB"/>
        </w:rPr>
        <w:t>as shown in Eq(1)</w:t>
      </w:r>
      <w:r w:rsidR="00742E24">
        <w:rPr>
          <w:lang w:val="en-GB"/>
        </w:rPr>
        <w:t>.</w:t>
      </w:r>
    </w:p>
    <w:tbl>
      <w:tblPr>
        <w:tblW w:w="5000" w:type="pct"/>
        <w:tblLook w:val="04A0" w:firstRow="1" w:lastRow="0" w:firstColumn="1" w:lastColumn="0" w:noHBand="0" w:noVBand="1"/>
      </w:tblPr>
      <w:tblGrid>
        <w:gridCol w:w="7983"/>
        <w:gridCol w:w="804"/>
      </w:tblGrid>
      <w:tr w:rsidR="00B25FA5" w:rsidRPr="00B57B36" w14:paraId="393FF57A" w14:textId="77777777" w:rsidTr="00D4335E">
        <w:tc>
          <w:tcPr>
            <w:tcW w:w="8188" w:type="dxa"/>
            <w:shd w:val="clear" w:color="auto" w:fill="auto"/>
            <w:vAlign w:val="center"/>
          </w:tcPr>
          <w:p w14:paraId="31D6F1A8" w14:textId="4DBF4010" w:rsidR="00B25FA5" w:rsidRPr="00DD3E81" w:rsidRDefault="002E54C5" w:rsidP="00D4335E">
            <w:pPr>
              <w:pStyle w:val="CETEquation"/>
            </w:pPr>
            <m:oMathPara>
              <m:oMathParaPr>
                <m:jc m:val="left"/>
              </m:oMathParaPr>
              <m:oMath>
                <m:sSub>
                  <m:sSubPr>
                    <m:ctrlPr>
                      <w:rPr>
                        <w:rFonts w:ascii="Cambria Math" w:hAnsi="Cambria Math"/>
                        <w:i/>
                      </w:rPr>
                    </m:ctrlPr>
                  </m:sSubPr>
                  <m:e>
                    <m:r>
                      <w:rPr>
                        <w:rFonts w:ascii="Cambria Math" w:hAnsi="Cambria Math"/>
                      </w:rPr>
                      <m:t>η</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 xml:space="preserve"> </m:t>
                </m:r>
                <m:f>
                  <m:fPr>
                    <m:ctrlPr>
                      <w:rPr>
                        <w:rFonts w:ascii="Cambria Math" w:hAnsi="Cambria Math"/>
                        <w:i/>
                      </w:rPr>
                    </m:ctrlPr>
                  </m:fPr>
                  <m:num>
                    <m:r>
                      <w:rPr>
                        <w:rFonts w:ascii="Cambria Math" w:hAnsi="Cambria Math"/>
                      </w:rPr>
                      <m:t>V</m:t>
                    </m:r>
                  </m:num>
                  <m:den>
                    <m:r>
                      <w:rPr>
                        <w:rFonts w:ascii="Cambria Math" w:hAnsi="Cambria Math"/>
                      </w:rPr>
                      <m:t>A</m:t>
                    </m:r>
                  </m:den>
                </m:f>
              </m:oMath>
            </m:oMathPara>
          </w:p>
        </w:tc>
        <w:tc>
          <w:tcPr>
            <w:tcW w:w="815" w:type="dxa"/>
            <w:shd w:val="clear" w:color="auto" w:fill="auto"/>
            <w:vAlign w:val="center"/>
          </w:tcPr>
          <w:p w14:paraId="1E017706" w14:textId="4DE39673" w:rsidR="00B25FA5" w:rsidRPr="00B57B36" w:rsidRDefault="00B25FA5" w:rsidP="00D4335E">
            <w:pPr>
              <w:pStyle w:val="CETEquation"/>
              <w:jc w:val="right"/>
            </w:pPr>
            <w:r w:rsidRPr="00B57B36">
              <w:t>(</w:t>
            </w:r>
            <w:r>
              <w:t>1</w:t>
            </w:r>
            <w:r w:rsidRPr="00B57B36">
              <w:t>)</w:t>
            </w:r>
          </w:p>
        </w:tc>
      </w:tr>
    </w:tbl>
    <w:p w14:paraId="22836FB0" w14:textId="1AA8B231" w:rsidR="003E096C" w:rsidRPr="00B25FA5" w:rsidRDefault="008E0FBA" w:rsidP="003E096C">
      <w:pPr>
        <w:pStyle w:val="CETBodytext"/>
        <w:rPr>
          <w:lang w:val="en-GB"/>
        </w:rPr>
      </w:pPr>
      <w:r>
        <w:rPr>
          <w:lang w:val="en-GB"/>
        </w:rPr>
        <w:t xml:space="preserve">being </w:t>
      </w:r>
      <w:r w:rsidRPr="008E0FBA">
        <w:rPr>
          <w:i/>
          <w:iCs/>
          <w:lang w:val="en-GB"/>
        </w:rPr>
        <w:t>V</w:t>
      </w:r>
      <w:r>
        <w:rPr>
          <w:lang w:val="en-GB"/>
        </w:rPr>
        <w:t xml:space="preserve"> the volume of indoor air in the control chamber (m</w:t>
      </w:r>
      <w:r w:rsidRPr="001606AB">
        <w:rPr>
          <w:vertAlign w:val="superscript"/>
          <w:lang w:val="en-GB"/>
        </w:rPr>
        <w:t>3</w:t>
      </w:r>
      <w:r>
        <w:rPr>
          <w:lang w:val="en-GB"/>
        </w:rPr>
        <w:t xml:space="preserve">), </w:t>
      </w:r>
      <w:r w:rsidRPr="008E0FBA">
        <w:rPr>
          <w:i/>
          <w:iCs/>
          <w:lang w:val="en-GB"/>
        </w:rPr>
        <w:t>A</w:t>
      </w:r>
      <w:r>
        <w:rPr>
          <w:lang w:val="en-GB"/>
        </w:rPr>
        <w:t xml:space="preserve"> the entire plant area (m</w:t>
      </w:r>
      <w:r w:rsidRPr="001606AB">
        <w:rPr>
          <w:vertAlign w:val="superscript"/>
          <w:lang w:val="en-GB"/>
        </w:rPr>
        <w:t>2</w:t>
      </w:r>
      <w:r>
        <w:rPr>
          <w:lang w:val="en-GB"/>
        </w:rPr>
        <w:t xml:space="preserve">) and </w:t>
      </w:r>
      <w:r w:rsidRPr="008E0FBA">
        <w:rPr>
          <w:i/>
          <w:iCs/>
          <w:lang w:val="en-GB"/>
        </w:rPr>
        <w:t>k</w:t>
      </w:r>
      <w:r w:rsidRPr="008E0FBA">
        <w:rPr>
          <w:i/>
          <w:iCs/>
          <w:vertAlign w:val="subscript"/>
          <w:lang w:val="en-GB"/>
        </w:rPr>
        <w:t>i</w:t>
      </w:r>
      <w:r>
        <w:rPr>
          <w:lang w:val="en-GB"/>
        </w:rPr>
        <w:t xml:space="preserve"> the </w:t>
      </w:r>
      <w:r w:rsidRPr="00C60661">
        <w:rPr>
          <w:lang w:val="en-GB"/>
        </w:rPr>
        <w:t xml:space="preserve">removal rate </w:t>
      </w:r>
      <w:r w:rsidRPr="003E096C">
        <w:rPr>
          <w:lang w:val="en-GB"/>
        </w:rPr>
        <w:t xml:space="preserve">of zero or first order (i=0,1).  To better characterise </w:t>
      </w:r>
      <w:r w:rsidRPr="001606AB">
        <w:rPr>
          <w:lang w:val="en-GB"/>
        </w:rPr>
        <w:t>the speci</w:t>
      </w:r>
      <w:r w:rsidRPr="001606AB">
        <w:rPr>
          <w:rFonts w:cs="Arial"/>
          <w:lang w:val="en-GB"/>
        </w:rPr>
        <w:t>mens and consider this study's aims,</w:t>
      </w:r>
      <w:r>
        <w:rPr>
          <w:rFonts w:cs="Arial"/>
          <w:i/>
          <w:iCs/>
          <w:lang w:val="en-GB"/>
        </w:rPr>
        <w:t xml:space="preserve"> </w:t>
      </w:r>
      <w:r w:rsidRPr="001606AB">
        <w:rPr>
          <w:rFonts w:cs="Arial"/>
          <w:lang w:val="en-GB"/>
        </w:rPr>
        <w:t>the total plant area</w:t>
      </w:r>
      <w:r>
        <w:rPr>
          <w:rFonts w:cs="Arial"/>
          <w:i/>
          <w:iCs/>
          <w:lang w:val="en-GB"/>
        </w:rPr>
        <w:t xml:space="preserve"> A </w:t>
      </w:r>
      <w:r w:rsidR="00C25362">
        <w:rPr>
          <w:rFonts w:cs="Arial"/>
          <w:iCs/>
          <w:lang w:val="en-GB"/>
        </w:rPr>
        <w:t>(m</w:t>
      </w:r>
      <w:r w:rsidR="00C25362" w:rsidRPr="00023307">
        <w:rPr>
          <w:rFonts w:cs="Arial"/>
          <w:iCs/>
          <w:vertAlign w:val="superscript"/>
          <w:lang w:val="en-GB"/>
        </w:rPr>
        <w:t>2</w:t>
      </w:r>
      <w:r w:rsidR="00C25362">
        <w:rPr>
          <w:rFonts w:cs="Arial"/>
          <w:iCs/>
          <w:lang w:val="en-GB"/>
        </w:rPr>
        <w:t xml:space="preserve">) </w:t>
      </w:r>
      <w:r w:rsidRPr="001606AB">
        <w:rPr>
          <w:rFonts w:cs="Arial"/>
          <w:lang w:val="en-GB"/>
        </w:rPr>
        <w:t xml:space="preserve">is calculated as the </w:t>
      </w:r>
      <w:r w:rsidRPr="001606AB">
        <w:rPr>
          <w:lang w:val="en-GB"/>
        </w:rPr>
        <w:t>sum of the</w:t>
      </w:r>
      <w:r w:rsidRPr="00B25FA5">
        <w:rPr>
          <w:lang w:val="en-GB"/>
        </w:rPr>
        <w:t xml:space="preserve"> leaf</w:t>
      </w:r>
      <w:r w:rsidR="000B47D3">
        <w:rPr>
          <w:lang w:val="en-GB"/>
        </w:rPr>
        <w:t xml:space="preserve"> area</w:t>
      </w:r>
      <w:r>
        <w:rPr>
          <w:lang w:val="en-GB"/>
        </w:rPr>
        <w:t xml:space="preserve"> </w:t>
      </w:r>
      <w:r w:rsidRPr="00B25FA5">
        <w:rPr>
          <w:lang w:val="en-GB"/>
        </w:rPr>
        <w:t xml:space="preserve">and the </w:t>
      </w:r>
      <w:r>
        <w:rPr>
          <w:lang w:val="en-GB"/>
        </w:rPr>
        <w:t>root zone area,</w:t>
      </w:r>
      <w:r w:rsidR="00C25362">
        <w:rPr>
          <w:lang w:val="en-GB"/>
        </w:rPr>
        <w:t xml:space="preserve"> the latter</w:t>
      </w:r>
      <w:r>
        <w:rPr>
          <w:lang w:val="en-GB"/>
        </w:rPr>
        <w:t xml:space="preserve"> approximated for simplicity to </w:t>
      </w:r>
      <w:r w:rsidR="000B47D3">
        <w:rPr>
          <w:lang w:val="en-GB"/>
        </w:rPr>
        <w:t xml:space="preserve">the </w:t>
      </w:r>
      <w:r>
        <w:rPr>
          <w:lang w:val="en-GB"/>
        </w:rPr>
        <w:t>area of the pot’s base</w:t>
      </w:r>
      <w:r w:rsidRPr="00B25FA5">
        <w:rPr>
          <w:lang w:val="en-GB"/>
        </w:rPr>
        <w:t xml:space="preserve"> (this last term was enclosed to partially regard the contribution of the microorganism </w:t>
      </w:r>
      <w:r w:rsidRPr="00B25FA5">
        <w:rPr>
          <w:lang w:val="en-GB"/>
        </w:rPr>
        <w:lastRenderedPageBreak/>
        <w:t xml:space="preserve">residing in soil and roots). Concerning </w:t>
      </w:r>
      <w:r w:rsidR="00886E6A" w:rsidRPr="00B25FA5">
        <w:rPr>
          <w:lang w:val="en-GB"/>
        </w:rPr>
        <w:t xml:space="preserve">the </w:t>
      </w:r>
      <w:r w:rsidR="00A751F4" w:rsidRPr="00B25FA5">
        <w:rPr>
          <w:lang w:val="en-GB"/>
        </w:rPr>
        <w:t>removal rates of zero or first</w:t>
      </w:r>
      <w:r w:rsidR="003A3B2E">
        <w:rPr>
          <w:lang w:val="en-GB"/>
        </w:rPr>
        <w:t>-</w:t>
      </w:r>
      <w:r w:rsidR="00A751F4" w:rsidRPr="00B25FA5">
        <w:rPr>
          <w:lang w:val="en-GB"/>
        </w:rPr>
        <w:t>order</w:t>
      </w:r>
      <w:r w:rsidR="00F05411" w:rsidRPr="00B25FA5">
        <w:rPr>
          <w:lang w:val="en-GB"/>
        </w:rPr>
        <w:t xml:space="preserve"> </w:t>
      </w:r>
      <w:r w:rsidR="007D1FD1" w:rsidRPr="008E0FBA">
        <w:rPr>
          <w:i/>
          <w:iCs/>
          <w:lang w:val="en-GB"/>
        </w:rPr>
        <w:t>k</w:t>
      </w:r>
      <w:r w:rsidRPr="008E0FBA">
        <w:rPr>
          <w:i/>
          <w:iCs/>
          <w:vertAlign w:val="subscript"/>
          <w:lang w:val="en-GB"/>
        </w:rPr>
        <w:t>0</w:t>
      </w:r>
      <w:r w:rsidRPr="008E0FBA">
        <w:rPr>
          <w:vertAlign w:val="subscript"/>
          <w:lang w:val="en-GB"/>
        </w:rPr>
        <w:t xml:space="preserve"> </w:t>
      </w:r>
      <w:r w:rsidR="00B92734" w:rsidRPr="00023307">
        <w:rPr>
          <w:lang w:val="en-GB"/>
        </w:rPr>
        <w:t>(</w:t>
      </w:r>
      <w:r w:rsidR="00B92734" w:rsidRPr="00157C13">
        <w:rPr>
          <w:rFonts w:cs="Arial"/>
          <w:lang w:val="en-GB"/>
        </w:rPr>
        <w:t>μg/m</w:t>
      </w:r>
      <w:r w:rsidR="00B92734" w:rsidRPr="00157C13">
        <w:rPr>
          <w:rFonts w:cs="Arial"/>
          <w:vertAlign w:val="superscript"/>
          <w:lang w:val="en-GB"/>
        </w:rPr>
        <w:t>3</w:t>
      </w:r>
      <w:r w:rsidR="00B92734" w:rsidRPr="00157C13">
        <w:rPr>
          <w:rFonts w:cs="Arial"/>
          <w:lang w:val="en-GB"/>
        </w:rPr>
        <w:t>h</w:t>
      </w:r>
      <w:r w:rsidR="00B92734">
        <w:rPr>
          <w:rFonts w:cs="Arial"/>
          <w:lang w:val="en-GB"/>
        </w:rPr>
        <w:t>)</w:t>
      </w:r>
      <w:r w:rsidR="00B92734" w:rsidRPr="00157C13">
        <w:rPr>
          <w:rFonts w:cs="Arial"/>
          <w:lang w:val="en-GB"/>
        </w:rPr>
        <w:t xml:space="preserve"> </w:t>
      </w:r>
      <w:r w:rsidR="007D1FD1" w:rsidRPr="00B25FA5">
        <w:rPr>
          <w:lang w:val="en-GB"/>
        </w:rPr>
        <w:t xml:space="preserve">and </w:t>
      </w:r>
      <w:r w:rsidR="007D1FD1" w:rsidRPr="008E0FBA">
        <w:rPr>
          <w:i/>
          <w:iCs/>
          <w:lang w:val="en-GB"/>
        </w:rPr>
        <w:t>k</w:t>
      </w:r>
      <w:r w:rsidR="007D1FD1" w:rsidRPr="008E0FBA">
        <w:rPr>
          <w:i/>
          <w:iCs/>
          <w:vertAlign w:val="subscript"/>
          <w:lang w:val="en-GB"/>
        </w:rPr>
        <w:t>1</w:t>
      </w:r>
      <w:r w:rsidR="00B92734">
        <w:rPr>
          <w:i/>
          <w:iCs/>
          <w:vertAlign w:val="subscript"/>
          <w:lang w:val="en-GB"/>
        </w:rPr>
        <w:t xml:space="preserve"> </w:t>
      </w:r>
      <w:r w:rsidR="00B92734" w:rsidRPr="00023307">
        <w:rPr>
          <w:iCs/>
          <w:lang w:val="en-GB"/>
        </w:rPr>
        <w:t>(1/h)</w:t>
      </w:r>
      <w:r w:rsidR="007D1FD1" w:rsidRPr="008E0FBA">
        <w:rPr>
          <w:i/>
          <w:iCs/>
          <w:lang w:val="en-GB"/>
        </w:rPr>
        <w:t>,</w:t>
      </w:r>
      <w:r w:rsidR="007D1FD1" w:rsidRPr="00B25FA5">
        <w:rPr>
          <w:lang w:val="en-GB"/>
        </w:rPr>
        <w:t xml:space="preserve"> they </w:t>
      </w:r>
      <w:r w:rsidR="00A751F4" w:rsidRPr="00B25FA5">
        <w:rPr>
          <w:lang w:val="en-GB"/>
        </w:rPr>
        <w:t xml:space="preserve">can be easily determined </w:t>
      </w:r>
      <w:r w:rsidR="005E013E" w:rsidRPr="00B25FA5">
        <w:rPr>
          <w:lang w:val="en-GB"/>
        </w:rPr>
        <w:t>considering only the depletion term</w:t>
      </w:r>
      <w:r w:rsidR="005E013E">
        <w:rPr>
          <w:rFonts w:cs="Arial"/>
          <w:lang w:val="en-GB"/>
        </w:rPr>
        <w:t xml:space="preserve"> of a simple indoor air model as the GIOAP</w:t>
      </w:r>
      <w:r w:rsidR="005E013E" w:rsidRPr="005E013E">
        <w:t xml:space="preserve"> </w:t>
      </w:r>
      <w:r w:rsidR="005E013E">
        <w:t>(</w:t>
      </w:r>
      <w:r w:rsidR="005E013E" w:rsidRPr="005E013E">
        <w:rPr>
          <w:rFonts w:cs="Arial"/>
          <w:lang w:val="en-GB"/>
        </w:rPr>
        <w:t>Moschandreas and Stark, 1978</w:t>
      </w:r>
      <w:r w:rsidR="005E013E">
        <w:rPr>
          <w:rFonts w:cs="Arial"/>
          <w:lang w:val="en-GB"/>
        </w:rPr>
        <w:t>)</w:t>
      </w:r>
      <w:r w:rsidR="00F05411">
        <w:rPr>
          <w:rFonts w:cs="Arial"/>
          <w:lang w:val="en-GB"/>
        </w:rPr>
        <w:t>,</w:t>
      </w:r>
      <w:r w:rsidR="005E013E">
        <w:rPr>
          <w:rFonts w:cs="Arial"/>
          <w:lang w:val="en-GB"/>
        </w:rPr>
        <w:t xml:space="preserve"> as shown in</w:t>
      </w:r>
      <w:r w:rsidR="00A751F4">
        <w:rPr>
          <w:rFonts w:cs="Arial"/>
          <w:lang w:val="en-GB"/>
        </w:rPr>
        <w:t xml:space="preserve"> Eq(</w:t>
      </w:r>
      <w:r w:rsidR="005E013E">
        <w:rPr>
          <w:rFonts w:cs="Arial"/>
          <w:lang w:val="en-GB"/>
        </w:rPr>
        <w:t>2</w:t>
      </w:r>
      <w:r w:rsidR="00A751F4">
        <w:rPr>
          <w:rFonts w:cs="Arial"/>
          <w:lang w:val="en-GB"/>
        </w:rPr>
        <w:t>) and Eq(</w:t>
      </w:r>
      <w:r w:rsidR="005E013E">
        <w:rPr>
          <w:rFonts w:cs="Arial"/>
          <w:lang w:val="en-GB"/>
        </w:rPr>
        <w:t>3</w:t>
      </w:r>
      <w:r w:rsidR="00A751F4">
        <w:rPr>
          <w:rFonts w:cs="Arial"/>
          <w:lang w:val="en-GB"/>
        </w:rPr>
        <w:t xml:space="preserve">) </w:t>
      </w:r>
    </w:p>
    <w:tbl>
      <w:tblPr>
        <w:tblW w:w="5000" w:type="pct"/>
        <w:tblLook w:val="04A0" w:firstRow="1" w:lastRow="0" w:firstColumn="1" w:lastColumn="0" w:noHBand="0" w:noVBand="1"/>
      </w:tblPr>
      <w:tblGrid>
        <w:gridCol w:w="7983"/>
        <w:gridCol w:w="804"/>
      </w:tblGrid>
      <w:tr w:rsidR="008308BE" w14:paraId="78553CAC" w14:textId="77777777" w:rsidTr="003E096C">
        <w:tc>
          <w:tcPr>
            <w:tcW w:w="7983" w:type="dxa"/>
            <w:shd w:val="clear" w:color="auto" w:fill="auto"/>
            <w:vAlign w:val="center"/>
          </w:tcPr>
          <w:p w14:paraId="27607EB1" w14:textId="77777777" w:rsidR="003E096C" w:rsidRPr="00637BDA" w:rsidRDefault="002E54C5" w:rsidP="00586096">
            <w:pPr>
              <w:pStyle w:val="CETEquation"/>
              <w:rPr>
                <w:rFonts w:cs="Arial"/>
              </w:rPr>
            </w:pPr>
            <m:oMathPara>
              <m:oMathParaPr>
                <m:jc m:val="left"/>
              </m:oMathParaPr>
              <m:oMath>
                <m:sSub>
                  <m:sSubPr>
                    <m:ctrlPr>
                      <w:rPr>
                        <w:rFonts w:ascii="Cambria Math" w:hAnsi="Cambria Math" w:cs="Arial"/>
                        <w:i/>
                      </w:rPr>
                    </m:ctrlPr>
                  </m:sSubPr>
                  <m:e>
                    <m:r>
                      <w:rPr>
                        <w:rFonts w:ascii="Cambria Math" w:hAnsi="Cambria Math" w:cs="Arial"/>
                      </w:rPr>
                      <m:t>k</m:t>
                    </m:r>
                  </m:e>
                  <m:sub>
                    <m:r>
                      <w:rPr>
                        <w:rFonts w:ascii="Cambria Math" w:hAnsi="Cambria Math" w:cs="Arial"/>
                      </w:rPr>
                      <m:t>1</m:t>
                    </m:r>
                  </m:sub>
                </m:sSub>
                <m:r>
                  <w:rPr>
                    <w:rFonts w:ascii="Cambria Math" w:hAnsi="Cambria Math" w:cs="Arial"/>
                  </w:rPr>
                  <m:t xml:space="preserve">=- </m:t>
                </m:r>
                <m:f>
                  <m:fPr>
                    <m:ctrlPr>
                      <w:rPr>
                        <w:rFonts w:ascii="Cambria Math" w:hAnsi="Cambria Math" w:cs="Arial"/>
                        <w:i/>
                      </w:rPr>
                    </m:ctrlPr>
                  </m:fPr>
                  <m:num>
                    <m:func>
                      <m:funcPr>
                        <m:ctrlPr>
                          <w:rPr>
                            <w:rFonts w:ascii="Cambria Math" w:hAnsi="Cambria Math" w:cs="Arial"/>
                            <w:i/>
                          </w:rPr>
                        </m:ctrlPr>
                      </m:funcPr>
                      <m:fName>
                        <m:r>
                          <m:rPr>
                            <m:sty m:val="p"/>
                          </m:rPr>
                          <w:rPr>
                            <w:rFonts w:ascii="Cambria Math" w:hAnsi="Cambria Math" w:cs="Arial"/>
                          </w:rPr>
                          <m:t>ln</m:t>
                        </m:r>
                      </m:fName>
                      <m:e>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c</m:t>
                                    </m:r>
                                  </m:e>
                                  <m:sub>
                                    <m:r>
                                      <w:rPr>
                                        <w:rFonts w:ascii="Cambria Math" w:hAnsi="Cambria Math" w:cs="Arial"/>
                                      </w:rPr>
                                      <m:t>f</m:t>
                                    </m:r>
                                  </m:sub>
                                </m:sSub>
                              </m:num>
                              <m:den>
                                <m:sSub>
                                  <m:sSubPr>
                                    <m:ctrlPr>
                                      <w:rPr>
                                        <w:rFonts w:ascii="Cambria Math" w:hAnsi="Cambria Math" w:cs="Arial"/>
                                        <w:i/>
                                      </w:rPr>
                                    </m:ctrlPr>
                                  </m:sSubPr>
                                  <m:e>
                                    <m:r>
                                      <w:rPr>
                                        <w:rFonts w:ascii="Cambria Math" w:hAnsi="Cambria Math" w:cs="Arial"/>
                                      </w:rPr>
                                      <m:t>c</m:t>
                                    </m:r>
                                  </m:e>
                                  <m:sub>
                                    <m:r>
                                      <w:rPr>
                                        <w:rFonts w:ascii="Cambria Math" w:hAnsi="Cambria Math" w:cs="Arial"/>
                                      </w:rPr>
                                      <m:t>0</m:t>
                                    </m:r>
                                  </m:sub>
                                </m:sSub>
                              </m:den>
                            </m:f>
                          </m:e>
                        </m:d>
                      </m:e>
                    </m:func>
                  </m:num>
                  <m:den>
                    <m:r>
                      <w:rPr>
                        <w:rFonts w:ascii="Cambria Math" w:hAnsi="Cambria Math" w:cs="Arial"/>
                      </w:rPr>
                      <m:t>t</m:t>
                    </m:r>
                  </m:den>
                </m:f>
              </m:oMath>
            </m:oMathPara>
          </w:p>
        </w:tc>
        <w:tc>
          <w:tcPr>
            <w:tcW w:w="804" w:type="dxa"/>
            <w:shd w:val="clear" w:color="auto" w:fill="auto"/>
            <w:vAlign w:val="center"/>
          </w:tcPr>
          <w:p w14:paraId="3BE91847" w14:textId="77777777" w:rsidR="003E096C" w:rsidRPr="00637BDA" w:rsidRDefault="008E0FBA" w:rsidP="00586096">
            <w:pPr>
              <w:pStyle w:val="CETEquation"/>
              <w:jc w:val="right"/>
              <w:rPr>
                <w:rFonts w:cs="Arial"/>
              </w:rPr>
            </w:pPr>
            <w:r w:rsidRPr="00637BDA">
              <w:rPr>
                <w:rFonts w:cs="Arial"/>
              </w:rPr>
              <w:t>(</w:t>
            </w:r>
            <w:r>
              <w:rPr>
                <w:rFonts w:cs="Arial"/>
              </w:rPr>
              <w:t>2</w:t>
            </w:r>
            <w:r w:rsidRPr="00637BDA">
              <w:rPr>
                <w:rFonts w:cs="Arial"/>
              </w:rPr>
              <w:t>)</w:t>
            </w:r>
          </w:p>
        </w:tc>
      </w:tr>
      <w:tr w:rsidR="008308BE" w14:paraId="44494AE6" w14:textId="77777777" w:rsidTr="003E096C">
        <w:tc>
          <w:tcPr>
            <w:tcW w:w="7983" w:type="dxa"/>
            <w:shd w:val="clear" w:color="auto" w:fill="auto"/>
            <w:vAlign w:val="center"/>
          </w:tcPr>
          <w:p w14:paraId="79058D5D" w14:textId="77777777" w:rsidR="003E096C" w:rsidRPr="00DD3E81" w:rsidRDefault="002E54C5" w:rsidP="00A625BA">
            <w:pPr>
              <w:pStyle w:val="CETEquation"/>
            </w:pPr>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 xml:space="preserve">= </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f</m:t>
                            </m:r>
                          </m:sub>
                        </m:sSub>
                      </m:e>
                    </m:d>
                  </m:num>
                  <m:den>
                    <m:r>
                      <w:rPr>
                        <w:rFonts w:ascii="Cambria Math" w:hAnsi="Cambria Math"/>
                      </w:rPr>
                      <m:t>t</m:t>
                    </m:r>
                  </m:den>
                </m:f>
              </m:oMath>
            </m:oMathPara>
          </w:p>
        </w:tc>
        <w:tc>
          <w:tcPr>
            <w:tcW w:w="804" w:type="dxa"/>
            <w:shd w:val="clear" w:color="auto" w:fill="auto"/>
            <w:vAlign w:val="center"/>
          </w:tcPr>
          <w:p w14:paraId="650D24CA" w14:textId="77777777" w:rsidR="003E096C" w:rsidRPr="00B57B36" w:rsidRDefault="008E0FBA" w:rsidP="00A625BA">
            <w:pPr>
              <w:pStyle w:val="CETEquation"/>
              <w:jc w:val="right"/>
            </w:pPr>
            <w:r w:rsidRPr="00B57B36">
              <w:t>(</w:t>
            </w:r>
            <w:r>
              <w:t>3</w:t>
            </w:r>
            <w:r w:rsidRPr="00B57B36">
              <w:t>)</w:t>
            </w:r>
          </w:p>
        </w:tc>
      </w:tr>
    </w:tbl>
    <w:p w14:paraId="4ACB3A83" w14:textId="280E9C1B" w:rsidR="00157C13" w:rsidRDefault="005E013E" w:rsidP="00A625BA">
      <w:pPr>
        <w:pStyle w:val="CETBodytext"/>
        <w:rPr>
          <w:rFonts w:cs="Arial"/>
          <w:lang w:val="en-GB"/>
        </w:rPr>
      </w:pPr>
      <w:r w:rsidRPr="00F05411">
        <w:rPr>
          <w:rFonts w:cs="Arial"/>
          <w:lang w:val="en-GB"/>
        </w:rPr>
        <w:t>In these equations,</w:t>
      </w:r>
      <w:r w:rsidRPr="008E0FBA">
        <w:rPr>
          <w:rFonts w:cs="Arial"/>
          <w:i/>
          <w:iCs/>
          <w:lang w:val="en-GB"/>
        </w:rPr>
        <w:t xml:space="preserve"> c</w:t>
      </w:r>
      <w:r w:rsidR="00F05411" w:rsidRPr="008E0FBA">
        <w:rPr>
          <w:rFonts w:cs="Arial"/>
          <w:i/>
          <w:iCs/>
          <w:vertAlign w:val="subscript"/>
          <w:lang w:val="en-GB"/>
        </w:rPr>
        <w:t>0</w:t>
      </w:r>
      <w:r w:rsidRPr="00F05411">
        <w:rPr>
          <w:rFonts w:cs="Arial"/>
          <w:lang w:val="en-GB"/>
        </w:rPr>
        <w:t xml:space="preserve"> and </w:t>
      </w:r>
      <w:r w:rsidRPr="008E0FBA">
        <w:rPr>
          <w:rFonts w:cs="Arial"/>
          <w:i/>
          <w:iCs/>
          <w:lang w:val="en-GB"/>
        </w:rPr>
        <w:t>c</w:t>
      </w:r>
      <w:r w:rsidR="00F05411" w:rsidRPr="008E0FBA">
        <w:rPr>
          <w:rFonts w:cs="Arial"/>
          <w:i/>
          <w:iCs/>
          <w:vertAlign w:val="subscript"/>
          <w:lang w:val="en-GB"/>
        </w:rPr>
        <w:t>f</w:t>
      </w:r>
      <w:r w:rsidRPr="00F05411">
        <w:rPr>
          <w:rFonts w:cs="Arial"/>
          <w:lang w:val="en-GB"/>
        </w:rPr>
        <w:t xml:space="preserve"> are the initial and final concentrations in the control chamber (μg/m</w:t>
      </w:r>
      <w:r w:rsidRPr="00F05411">
        <w:rPr>
          <w:rFonts w:cs="Arial"/>
          <w:vertAlign w:val="superscript"/>
          <w:lang w:val="en-GB"/>
        </w:rPr>
        <w:t>3</w:t>
      </w:r>
      <w:r w:rsidRPr="00F05411">
        <w:rPr>
          <w:rFonts w:cs="Arial"/>
          <w:lang w:val="en-GB"/>
        </w:rPr>
        <w:t xml:space="preserve">), and </w:t>
      </w:r>
      <w:r w:rsidRPr="008E0FBA">
        <w:rPr>
          <w:rFonts w:cs="Arial"/>
          <w:i/>
          <w:iCs/>
          <w:lang w:val="en-GB"/>
        </w:rPr>
        <w:t>t</w:t>
      </w:r>
      <w:r w:rsidRPr="00F05411">
        <w:rPr>
          <w:rFonts w:cs="Arial"/>
          <w:lang w:val="en-GB"/>
        </w:rPr>
        <w:t xml:space="preserve"> is the experimental time (h). </w:t>
      </w:r>
      <w:r w:rsidR="008E0FBA" w:rsidRPr="00157C13">
        <w:rPr>
          <w:rFonts w:cs="Arial"/>
          <w:lang w:val="en-GB"/>
        </w:rPr>
        <w:t xml:space="preserve">Evidently, the zero and first-order removal rates </w:t>
      </w:r>
      <w:r w:rsidR="00C50E22">
        <w:rPr>
          <w:rFonts w:cs="Arial"/>
          <w:lang w:val="en-GB"/>
        </w:rPr>
        <w:t>per unit leaf area</w:t>
      </w:r>
      <w:r w:rsidR="000B47D3">
        <w:rPr>
          <w:rFonts w:cs="Arial"/>
          <w:lang w:val="en-GB"/>
        </w:rPr>
        <w:t xml:space="preserve"> </w:t>
      </w:r>
      <w:r w:rsidR="000B47D3" w:rsidRPr="008E0FBA">
        <w:rPr>
          <w:i/>
          <w:iCs/>
          <w:lang w:val="en-GB"/>
        </w:rPr>
        <w:t>η</w:t>
      </w:r>
      <w:r w:rsidR="000B47D3" w:rsidRPr="008E0FBA">
        <w:rPr>
          <w:i/>
          <w:iCs/>
          <w:vertAlign w:val="subscript"/>
          <w:lang w:val="en-GB"/>
        </w:rPr>
        <w:t>0</w:t>
      </w:r>
      <w:r w:rsidR="000B47D3" w:rsidRPr="008E0FBA">
        <w:rPr>
          <w:i/>
          <w:iCs/>
          <w:lang w:val="en-GB"/>
        </w:rPr>
        <w:t xml:space="preserve"> </w:t>
      </w:r>
      <w:r w:rsidR="000B47D3" w:rsidRPr="008E0FBA">
        <w:rPr>
          <w:lang w:val="en-GB"/>
        </w:rPr>
        <w:t xml:space="preserve">and </w:t>
      </w:r>
      <w:r w:rsidR="000B47D3" w:rsidRPr="008E0FBA">
        <w:rPr>
          <w:i/>
          <w:iCs/>
          <w:lang w:val="en-GB"/>
        </w:rPr>
        <w:t>η</w:t>
      </w:r>
      <w:r w:rsidR="000B47D3" w:rsidRPr="008E0FBA">
        <w:rPr>
          <w:i/>
          <w:iCs/>
          <w:vertAlign w:val="subscript"/>
          <w:lang w:val="en-GB"/>
        </w:rPr>
        <w:t>1</w:t>
      </w:r>
      <w:r w:rsidR="000B47D3">
        <w:rPr>
          <w:rFonts w:cs="Arial"/>
          <w:lang w:val="en-GB"/>
        </w:rPr>
        <w:t xml:space="preserve"> </w:t>
      </w:r>
      <w:r w:rsidR="008E0FBA" w:rsidRPr="00157C13">
        <w:rPr>
          <w:rFonts w:cs="Arial"/>
          <w:lang w:val="en-GB"/>
        </w:rPr>
        <w:t>defined by Eq(1) are then expressed in μg/m</w:t>
      </w:r>
      <w:r w:rsidR="008E0FBA" w:rsidRPr="00157C13">
        <w:rPr>
          <w:rFonts w:cs="Arial"/>
          <w:vertAlign w:val="superscript"/>
          <w:lang w:val="en-GB"/>
        </w:rPr>
        <w:t>3</w:t>
      </w:r>
      <w:r w:rsidR="008E0FBA" w:rsidRPr="00157C13">
        <w:rPr>
          <w:rFonts w:cs="Arial"/>
          <w:lang w:val="en-GB"/>
        </w:rPr>
        <w:t>h and m/h, respectively.</w:t>
      </w:r>
    </w:p>
    <w:p w14:paraId="71B594F1" w14:textId="77777777" w:rsidR="00FF13A3" w:rsidRDefault="00FF13A3" w:rsidP="00A625BA">
      <w:pPr>
        <w:pStyle w:val="CETBodytext"/>
        <w:rPr>
          <w:rFonts w:cs="Arial"/>
          <w:lang w:val="en-GB"/>
        </w:rPr>
      </w:pPr>
    </w:p>
    <w:p w14:paraId="5B58A42D" w14:textId="5A6740D7" w:rsidR="00CA325E" w:rsidRDefault="008E0FBA" w:rsidP="00A625BA">
      <w:pPr>
        <w:pStyle w:val="CETBodytext"/>
        <w:rPr>
          <w:rFonts w:cs="Arial"/>
          <w:lang w:val="en-GB"/>
        </w:rPr>
      </w:pPr>
      <w:r>
        <w:rPr>
          <w:rFonts w:cs="Arial"/>
          <w:lang w:val="en-GB"/>
        </w:rPr>
        <w:t xml:space="preserve">In analogy with </w:t>
      </w:r>
      <w:r w:rsidR="00886E6A">
        <w:rPr>
          <w:rFonts w:cs="Arial"/>
          <w:lang w:val="en-GB"/>
        </w:rPr>
        <w:t xml:space="preserve">the </w:t>
      </w:r>
      <w:r>
        <w:rPr>
          <w:rFonts w:cs="Arial"/>
          <w:lang w:val="en-GB"/>
        </w:rPr>
        <w:t>biological removal process</w:t>
      </w:r>
      <w:r w:rsidR="003B5649">
        <w:rPr>
          <w:rFonts w:cs="Arial"/>
          <w:lang w:val="en-GB"/>
        </w:rPr>
        <w:t>es</w:t>
      </w:r>
      <w:r>
        <w:rPr>
          <w:rFonts w:cs="Arial"/>
          <w:lang w:val="en-GB"/>
        </w:rPr>
        <w:t xml:space="preserve"> and con</w:t>
      </w:r>
      <w:r w:rsidR="00886E6A">
        <w:rPr>
          <w:rFonts w:cs="Arial"/>
          <w:lang w:val="en-GB"/>
        </w:rPr>
        <w:t>s</w:t>
      </w:r>
      <w:r>
        <w:rPr>
          <w:rFonts w:cs="Arial"/>
          <w:lang w:val="en-GB"/>
        </w:rPr>
        <w:t xml:space="preserve">idering the elements just presented, </w:t>
      </w:r>
      <w:r w:rsidR="003E096C" w:rsidRPr="003E096C">
        <w:rPr>
          <w:rFonts w:cs="Arial"/>
          <w:lang w:val="en-GB"/>
        </w:rPr>
        <w:t xml:space="preserve">the overall VOC </w:t>
      </w:r>
      <w:r w:rsidR="007D1FD1">
        <w:rPr>
          <w:rFonts w:cs="Arial"/>
          <w:lang w:val="en-GB"/>
        </w:rPr>
        <w:t>abatement</w:t>
      </w:r>
      <w:r w:rsidR="003E096C" w:rsidRPr="003E096C">
        <w:rPr>
          <w:rFonts w:cs="Arial"/>
          <w:lang w:val="en-GB"/>
        </w:rPr>
        <w:t xml:space="preserve"> velocity, expressed in μg/m</w:t>
      </w:r>
      <w:r w:rsidR="003E096C" w:rsidRPr="00FF13A3">
        <w:rPr>
          <w:rFonts w:cs="Arial"/>
          <w:vertAlign w:val="superscript"/>
          <w:lang w:val="en-GB"/>
        </w:rPr>
        <w:t>3</w:t>
      </w:r>
      <w:r w:rsidR="003E096C" w:rsidRPr="003E096C">
        <w:rPr>
          <w:rFonts w:cs="Arial"/>
          <w:lang w:val="en-GB"/>
        </w:rPr>
        <w:t>h, can be written</w:t>
      </w:r>
      <w:r w:rsidR="00742E24">
        <w:rPr>
          <w:rFonts w:cs="Arial"/>
          <w:lang w:val="en-GB"/>
        </w:rPr>
        <w:t xml:space="preserve"> as function of indoor pollutant concentration </w:t>
      </w:r>
      <w:r w:rsidR="00742E24" w:rsidRPr="00023307">
        <w:rPr>
          <w:rFonts w:cs="Arial"/>
          <w:i/>
          <w:lang w:val="en-GB"/>
        </w:rPr>
        <w:t>c</w:t>
      </w:r>
      <w:r w:rsidR="003E096C" w:rsidRPr="003E096C">
        <w:rPr>
          <w:rFonts w:cs="Arial"/>
          <w:lang w:val="en-GB"/>
        </w:rPr>
        <w:t xml:space="preserve"> </w:t>
      </w:r>
      <w:r w:rsidR="00F74D65">
        <w:rPr>
          <w:rFonts w:cs="Arial"/>
          <w:lang w:val="en-GB"/>
        </w:rPr>
        <w:t>as shown in Eq(4).</w:t>
      </w:r>
    </w:p>
    <w:tbl>
      <w:tblPr>
        <w:tblW w:w="5000" w:type="pct"/>
        <w:tblLook w:val="04A0" w:firstRow="1" w:lastRow="0" w:firstColumn="1" w:lastColumn="0" w:noHBand="0" w:noVBand="1"/>
      </w:tblPr>
      <w:tblGrid>
        <w:gridCol w:w="8348"/>
        <w:gridCol w:w="439"/>
      </w:tblGrid>
      <w:tr w:rsidR="008308BE" w14:paraId="7EB6D335" w14:textId="77777777" w:rsidTr="002E54C5">
        <w:tc>
          <w:tcPr>
            <w:tcW w:w="8348" w:type="dxa"/>
            <w:shd w:val="clear" w:color="auto" w:fill="auto"/>
            <w:vAlign w:val="center"/>
          </w:tcPr>
          <w:p w14:paraId="51CDC3C9" w14:textId="2A9FF3C3" w:rsidR="00A625BA" w:rsidRPr="00A625BA" w:rsidRDefault="008E0FBA" w:rsidP="00023307">
            <w:pPr>
              <w:pStyle w:val="CETEquation"/>
              <w:tabs>
                <w:tab w:val="clear" w:pos="7100"/>
              </w:tabs>
              <w:rPr>
                <w:rFonts w:cs="Arial"/>
              </w:rPr>
            </w:pPr>
            <m:oMathPara>
              <m:oMathParaPr>
                <m:jc m:val="left"/>
              </m:oMathParaPr>
              <m:oMath>
                <m:r>
                  <w:rPr>
                    <w:rFonts w:ascii="Cambria Math" w:hAnsi="Cambria Math"/>
                  </w:rPr>
                  <m:t>r</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k</m:t>
                        </m:r>
                      </m:e>
                      <m:sub>
                        <m:r>
                          <m:rPr>
                            <m:sty m:val="p"/>
                          </m:rPr>
                          <w:rPr>
                            <w:rFonts w:ascii="Cambria Math" w:hAnsi="Cambria Math"/>
                          </w:rPr>
                          <m:t>0</m:t>
                        </m:r>
                      </m:sub>
                    </m:sSub>
                    <m:r>
                      <m:rPr>
                        <m:sty m:val="p"/>
                      </m:rPr>
                      <w:rPr>
                        <w:rFonts w:ascii="Cambria Math" w:hAnsi="Cambria Math"/>
                      </w:rPr>
                      <m:t xml:space="preserve"> </m:t>
                    </m:r>
                    <m:r>
                      <w:rPr>
                        <w:rFonts w:ascii="Cambria Math" w:hAnsi="Cambria Math"/>
                      </w:rPr>
                      <m:t>c</m:t>
                    </m:r>
                  </m:num>
                  <m:den>
                    <m:f>
                      <m:fPr>
                        <m:ctrlPr>
                          <w:rPr>
                            <w:rFonts w:ascii="Cambria Math" w:hAnsi="Cambria Math"/>
                          </w:rPr>
                        </m:ctrlPr>
                      </m:fPr>
                      <m:num>
                        <m:sSub>
                          <m:sSubPr>
                            <m:ctrlPr>
                              <w:rPr>
                                <w:rFonts w:ascii="Cambria Math" w:hAnsi="Cambria Math"/>
                              </w:rPr>
                            </m:ctrlPr>
                          </m:sSubPr>
                          <m:e>
                            <m:r>
                              <w:rPr>
                                <w:rFonts w:ascii="Cambria Math" w:hAnsi="Cambria Math"/>
                              </w:rPr>
                              <m:t>k</m:t>
                            </m:r>
                          </m:e>
                          <m:sub>
                            <m:r>
                              <m:rPr>
                                <m:sty m:val="p"/>
                              </m:rPr>
                              <w:rPr>
                                <w:rFonts w:ascii="Cambria Math" w:hAnsi="Cambria Math"/>
                              </w:rPr>
                              <m:t>0</m:t>
                            </m:r>
                          </m:sub>
                        </m:sSub>
                      </m:num>
                      <m:den>
                        <m:sSub>
                          <m:sSubPr>
                            <m:ctrlPr>
                              <w:rPr>
                                <w:rFonts w:ascii="Cambria Math" w:hAnsi="Cambria Math"/>
                              </w:rPr>
                            </m:ctrlPr>
                          </m:sSubPr>
                          <m:e>
                            <m:r>
                              <w:rPr>
                                <w:rFonts w:ascii="Cambria Math" w:hAnsi="Cambria Math"/>
                              </w:rPr>
                              <m:t>k</m:t>
                            </m:r>
                          </m:e>
                          <m:sub>
                            <m:r>
                              <m:rPr>
                                <m:sty m:val="p"/>
                              </m:rPr>
                              <w:rPr>
                                <w:rFonts w:ascii="Cambria Math" w:hAnsi="Cambria Math"/>
                              </w:rPr>
                              <m:t>1</m:t>
                            </m:r>
                          </m:sub>
                        </m:sSub>
                      </m:den>
                    </m:f>
                    <m:r>
                      <m:rPr>
                        <m:sty m:val="p"/>
                      </m:rPr>
                      <w:rPr>
                        <w:rFonts w:ascii="Cambria Math" w:hAnsi="Cambria Math"/>
                      </w:rPr>
                      <m:t>+</m:t>
                    </m:r>
                    <m:r>
                      <w:rPr>
                        <w:rFonts w:ascii="Cambria Math" w:hAnsi="Cambria Math"/>
                      </w:rPr>
                      <m:t>c</m:t>
                    </m:r>
                  </m:den>
                </m:f>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η</m:t>
                        </m:r>
                      </m:e>
                      <m:sub>
                        <m:r>
                          <m:rPr>
                            <m:sty m:val="p"/>
                          </m:rPr>
                          <w:rPr>
                            <w:rFonts w:ascii="Cambria Math" w:hAnsi="Cambria Math"/>
                          </w:rPr>
                          <m:t>0</m:t>
                        </m:r>
                      </m:sub>
                    </m:sSub>
                    <m:r>
                      <m:rPr>
                        <m:sty m:val="p"/>
                      </m:rPr>
                      <w:rPr>
                        <w:rFonts w:ascii="Cambria Math" w:hAnsi="Cambria Math"/>
                      </w:rPr>
                      <m:t xml:space="preserve"> </m:t>
                    </m:r>
                    <m:f>
                      <m:fPr>
                        <m:ctrlPr>
                          <w:rPr>
                            <w:rFonts w:ascii="Cambria Math" w:hAnsi="Cambria Math"/>
                          </w:rPr>
                        </m:ctrlPr>
                      </m:fPr>
                      <m:num>
                        <m:r>
                          <w:rPr>
                            <w:rFonts w:ascii="Cambria Math" w:hAnsi="Cambria Math"/>
                          </w:rPr>
                          <m:t>A</m:t>
                        </m:r>
                      </m:num>
                      <m:den>
                        <m:r>
                          <w:rPr>
                            <w:rFonts w:ascii="Cambria Math" w:hAnsi="Cambria Math"/>
                          </w:rPr>
                          <m:t>V</m:t>
                        </m:r>
                      </m:den>
                    </m:f>
                    <m:r>
                      <w:rPr>
                        <w:rFonts w:ascii="Cambria Math" w:hAnsi="Cambria Math"/>
                      </w:rPr>
                      <m:t>c</m:t>
                    </m:r>
                  </m:num>
                  <m:den>
                    <m:f>
                      <m:fPr>
                        <m:ctrlPr>
                          <w:rPr>
                            <w:rFonts w:ascii="Cambria Math" w:hAnsi="Cambria Math"/>
                          </w:rPr>
                        </m:ctrlPr>
                      </m:fPr>
                      <m:num>
                        <m:sSub>
                          <m:sSubPr>
                            <m:ctrlPr>
                              <w:rPr>
                                <w:rFonts w:ascii="Cambria Math" w:hAnsi="Cambria Math"/>
                              </w:rPr>
                            </m:ctrlPr>
                          </m:sSubPr>
                          <m:e>
                            <m:r>
                              <w:rPr>
                                <w:rFonts w:ascii="Cambria Math" w:hAnsi="Cambria Math"/>
                              </w:rPr>
                              <m:t>η</m:t>
                            </m:r>
                          </m:e>
                          <m:sub>
                            <m:r>
                              <m:rPr>
                                <m:sty m:val="p"/>
                              </m:rPr>
                              <w:rPr>
                                <w:rFonts w:ascii="Cambria Math" w:hAnsi="Cambria Math"/>
                              </w:rPr>
                              <m:t>0</m:t>
                            </m:r>
                          </m:sub>
                        </m:sSub>
                      </m:num>
                      <m:den>
                        <m:sSub>
                          <m:sSubPr>
                            <m:ctrlPr>
                              <w:rPr>
                                <w:rFonts w:ascii="Cambria Math" w:hAnsi="Cambria Math"/>
                              </w:rPr>
                            </m:ctrlPr>
                          </m:sSubPr>
                          <m:e>
                            <m:r>
                              <w:rPr>
                                <w:rFonts w:ascii="Cambria Math" w:hAnsi="Cambria Math"/>
                              </w:rPr>
                              <m:t>η</m:t>
                            </m:r>
                          </m:e>
                          <m:sub>
                            <m:r>
                              <m:rPr>
                                <m:sty m:val="p"/>
                              </m:rPr>
                              <w:rPr>
                                <w:rFonts w:ascii="Cambria Math" w:hAnsi="Cambria Math"/>
                              </w:rPr>
                              <m:t>1</m:t>
                            </m:r>
                          </m:sub>
                        </m:sSub>
                      </m:den>
                    </m:f>
                    <m:r>
                      <m:rPr>
                        <m:sty m:val="p"/>
                      </m:rPr>
                      <w:rPr>
                        <w:rFonts w:ascii="Cambria Math" w:hAnsi="Cambria Math"/>
                      </w:rPr>
                      <m:t>+</m:t>
                    </m:r>
                    <m:r>
                      <w:rPr>
                        <w:rFonts w:ascii="Cambria Math" w:hAnsi="Cambria Math"/>
                      </w:rPr>
                      <m:t>c</m:t>
                    </m:r>
                  </m:den>
                </m:f>
              </m:oMath>
            </m:oMathPara>
          </w:p>
        </w:tc>
        <w:tc>
          <w:tcPr>
            <w:tcW w:w="439" w:type="dxa"/>
            <w:shd w:val="clear" w:color="auto" w:fill="auto"/>
            <w:vAlign w:val="center"/>
          </w:tcPr>
          <w:p w14:paraId="5DDCE7D6" w14:textId="5FEF707D" w:rsidR="00A625BA" w:rsidRPr="00B57B36" w:rsidRDefault="008E0FBA" w:rsidP="007449A6">
            <w:pPr>
              <w:pStyle w:val="CETEquation"/>
            </w:pPr>
            <w:r w:rsidRPr="00B57B36">
              <w:t>(</w:t>
            </w:r>
            <w:r>
              <w:t>4</w:t>
            </w:r>
            <w:r w:rsidRPr="00B57B36">
              <w:t>)</w:t>
            </w:r>
          </w:p>
        </w:tc>
      </w:tr>
    </w:tbl>
    <w:p w14:paraId="6F996BDB" w14:textId="77777777" w:rsidR="00BD1EDD" w:rsidRDefault="008E0FBA" w:rsidP="00A625BA">
      <w:pPr>
        <w:pStyle w:val="CETBodytext"/>
        <w:rPr>
          <w:rFonts w:cs="Arial"/>
          <w:lang w:val="en-GB"/>
        </w:rPr>
      </w:pPr>
      <w:r w:rsidRPr="00A625BA">
        <w:rPr>
          <w:rFonts w:cs="Arial"/>
          <w:lang w:val="en-GB"/>
        </w:rPr>
        <w:t>With this approach, it is possible to evaluate the performance of a plant species in abating a specific contaminant</w:t>
      </w:r>
      <w:r w:rsidR="001743E4">
        <w:rPr>
          <w:rFonts w:cs="Arial"/>
          <w:lang w:val="en-GB"/>
        </w:rPr>
        <w:t xml:space="preserve"> </w:t>
      </w:r>
      <w:r w:rsidRPr="00A625BA">
        <w:rPr>
          <w:rFonts w:cs="Arial"/>
          <w:lang w:val="en-GB"/>
        </w:rPr>
        <w:t xml:space="preserve">concentration in the indoor environment. Moreover, plotting this velocity for a defined interval of concentrations and considering more species allows immediate comparison of their performances. </w:t>
      </w:r>
    </w:p>
    <w:p w14:paraId="7D0FFFA0" w14:textId="3BEEEA58" w:rsidR="00714970" w:rsidRPr="00A625BA" w:rsidRDefault="008E0FBA" w:rsidP="00A625BA">
      <w:pPr>
        <w:pStyle w:val="CETBodytext"/>
        <w:rPr>
          <w:rFonts w:cs="Arial"/>
          <w:lang w:val="en-GB"/>
        </w:rPr>
      </w:pPr>
      <w:r w:rsidRPr="00A625BA">
        <w:rPr>
          <w:rFonts w:cs="Arial"/>
          <w:lang w:val="en-GB"/>
        </w:rPr>
        <w:t>Starting from the selection of plant species with superior purifying ability provided by Kim et al. (2018), a group of studies have been revised</w:t>
      </w:r>
      <w:r w:rsidR="000B262D" w:rsidRPr="000B262D">
        <w:rPr>
          <w:rFonts w:cs="Arial"/>
          <w:lang w:val="en-GB"/>
        </w:rPr>
        <w:t xml:space="preserve"> </w:t>
      </w:r>
      <w:r w:rsidR="000B262D" w:rsidRPr="00A625BA">
        <w:rPr>
          <w:rFonts w:cs="Arial"/>
          <w:lang w:val="en-GB"/>
        </w:rPr>
        <w:t>empl</w:t>
      </w:r>
      <w:r w:rsidR="00BD1EDD">
        <w:rPr>
          <w:rFonts w:cs="Arial"/>
          <w:lang w:val="en-GB"/>
        </w:rPr>
        <w:t>oy</w:t>
      </w:r>
      <w:r w:rsidR="000B262D">
        <w:rPr>
          <w:rFonts w:cs="Arial"/>
          <w:lang w:val="en-GB"/>
        </w:rPr>
        <w:t>ing</w:t>
      </w:r>
      <w:r w:rsidR="000B262D" w:rsidRPr="00A625BA">
        <w:rPr>
          <w:rFonts w:cs="Arial"/>
          <w:lang w:val="en-GB"/>
        </w:rPr>
        <w:t xml:space="preserve"> the methodology</w:t>
      </w:r>
      <w:r w:rsidR="000B262D">
        <w:rPr>
          <w:rFonts w:cs="Arial"/>
          <w:lang w:val="en-GB"/>
        </w:rPr>
        <w:t xml:space="preserve"> proposed</w:t>
      </w:r>
      <w:r w:rsidRPr="00A625BA">
        <w:rPr>
          <w:rFonts w:cs="Arial"/>
          <w:lang w:val="en-GB"/>
        </w:rPr>
        <w:t xml:space="preserve">. </w:t>
      </w:r>
      <w:r w:rsidR="000B262D">
        <w:rPr>
          <w:rFonts w:cs="Arial"/>
          <w:lang w:val="en-GB"/>
        </w:rPr>
        <w:t>After the data collection phase, the removal rates described were calculated using Eq(1), Eq(2) and Eq(3)</w:t>
      </w:r>
      <w:r w:rsidR="00F740BC">
        <w:rPr>
          <w:rFonts w:cs="Arial"/>
          <w:lang w:val="en-GB"/>
        </w:rPr>
        <w:t xml:space="preserve">, </w:t>
      </w:r>
      <w:r w:rsidRPr="00A625BA">
        <w:rPr>
          <w:rFonts w:cs="Arial"/>
          <w:lang w:val="en-GB"/>
        </w:rPr>
        <w:t xml:space="preserve">and additional </w:t>
      </w:r>
      <w:r w:rsidR="00F740BC">
        <w:rPr>
          <w:rFonts w:cs="Arial"/>
          <w:lang w:val="en-GB"/>
        </w:rPr>
        <w:t>information</w:t>
      </w:r>
      <w:r w:rsidRPr="00A625BA">
        <w:rPr>
          <w:rFonts w:cs="Arial"/>
          <w:lang w:val="en-GB"/>
        </w:rPr>
        <w:t xml:space="preserve"> concerning mainly the plant metabolism and the environmental conditions of the experimentations were collected.</w:t>
      </w:r>
      <w:r w:rsidR="00C50E22">
        <w:rPr>
          <w:rFonts w:cs="Arial"/>
          <w:lang w:val="en-GB"/>
        </w:rPr>
        <w:t xml:space="preserve"> The idea was to produce a review, in the form of a database, with comparable data </w:t>
      </w:r>
      <w:r w:rsidR="000B47D3">
        <w:rPr>
          <w:rFonts w:cs="Arial"/>
          <w:lang w:val="en-GB"/>
        </w:rPr>
        <w:t>directly usable</w:t>
      </w:r>
      <w:r w:rsidR="00C50E22">
        <w:rPr>
          <w:rFonts w:cs="Arial"/>
          <w:lang w:val="en-GB"/>
        </w:rPr>
        <w:t xml:space="preserve"> </w:t>
      </w:r>
      <w:r w:rsidR="000B47D3">
        <w:rPr>
          <w:rFonts w:cs="Arial"/>
          <w:lang w:val="en-GB"/>
        </w:rPr>
        <w:t>for designing</w:t>
      </w:r>
      <w:r w:rsidR="00C50E22">
        <w:rPr>
          <w:rFonts w:cs="Arial"/>
          <w:lang w:val="en-GB"/>
        </w:rPr>
        <w:t xml:space="preserve"> phytoremediation interventions in real </w:t>
      </w:r>
      <w:r w:rsidR="000B47D3">
        <w:rPr>
          <w:rFonts w:cs="Arial"/>
          <w:lang w:val="en-GB"/>
        </w:rPr>
        <w:t>environments</w:t>
      </w:r>
      <w:r w:rsidR="00C50E22">
        <w:rPr>
          <w:rFonts w:cs="Arial"/>
          <w:lang w:val="en-GB"/>
        </w:rPr>
        <w:t>.</w:t>
      </w:r>
      <w:r w:rsidR="003A3B2E">
        <w:rPr>
          <w:rFonts w:cs="Arial"/>
          <w:lang w:val="en-GB"/>
        </w:rPr>
        <w:t xml:space="preserve"> </w:t>
      </w:r>
      <w:r w:rsidRPr="00A625BA">
        <w:rPr>
          <w:rFonts w:cs="Arial"/>
          <w:lang w:val="en-GB"/>
        </w:rPr>
        <w:t>The results of this application will be presented in the following section</w:t>
      </w:r>
      <w:r w:rsidR="00C50E22">
        <w:rPr>
          <w:rFonts w:cs="Arial"/>
          <w:lang w:val="en-GB"/>
        </w:rPr>
        <w:t xml:space="preserve">, together with an example that illustrates how the database can be used. </w:t>
      </w:r>
    </w:p>
    <w:p w14:paraId="69CE966F" w14:textId="77777777" w:rsidR="00A625BA" w:rsidRDefault="008E0FBA" w:rsidP="00A625BA">
      <w:pPr>
        <w:pStyle w:val="CETHeading1"/>
      </w:pPr>
      <w:r>
        <w:t>Results</w:t>
      </w:r>
    </w:p>
    <w:p w14:paraId="3A623421" w14:textId="54C8BD11" w:rsidR="00FD15F0" w:rsidRPr="00B9538A" w:rsidRDefault="008E0FBA" w:rsidP="007E6503">
      <w:pPr>
        <w:pStyle w:val="CETBodytext"/>
        <w:rPr>
          <w:rStyle w:val="CETCaptionCarattere"/>
          <w:i w:val="0"/>
        </w:rPr>
      </w:pPr>
      <w:r>
        <w:rPr>
          <w:lang w:val="en-GB"/>
        </w:rPr>
        <w:t>The application of</w:t>
      </w:r>
      <w:r w:rsidR="00DA71ED">
        <w:rPr>
          <w:lang w:val="en-GB"/>
        </w:rPr>
        <w:t xml:space="preserve"> the methodology proposed</w:t>
      </w:r>
      <w:r>
        <w:rPr>
          <w:lang w:val="en-GB"/>
        </w:rPr>
        <w:t xml:space="preserve"> led to the definition of </w:t>
      </w:r>
      <w:r w:rsidR="00622E16">
        <w:rPr>
          <w:lang w:val="en-GB"/>
        </w:rPr>
        <w:t>the structure of a</w:t>
      </w:r>
      <w:r>
        <w:rPr>
          <w:lang w:val="en-GB"/>
        </w:rPr>
        <w:t xml:space="preserve"> database containing</w:t>
      </w:r>
      <w:r w:rsidR="00C50E22">
        <w:rPr>
          <w:lang w:val="en-GB"/>
        </w:rPr>
        <w:t xml:space="preserve">, for each test examined, </w:t>
      </w:r>
      <w:r w:rsidR="003A3B2E">
        <w:rPr>
          <w:lang w:val="en-GB"/>
        </w:rPr>
        <w:t>general</w:t>
      </w:r>
      <w:r w:rsidR="00C50E22">
        <w:rPr>
          <w:lang w:val="en-GB"/>
        </w:rPr>
        <w:t xml:space="preserve"> information regarding the study, </w:t>
      </w:r>
      <w:r>
        <w:rPr>
          <w:lang w:val="en-GB"/>
        </w:rPr>
        <w:t xml:space="preserve">the essential </w:t>
      </w:r>
      <w:r w:rsidR="00F740BC">
        <w:rPr>
          <w:lang w:val="en-GB"/>
        </w:rPr>
        <w:t>data</w:t>
      </w:r>
      <w:r>
        <w:rPr>
          <w:lang w:val="en-GB"/>
        </w:rPr>
        <w:t xml:space="preserve"> required for the application of the methodology, the results of the calculations of the </w:t>
      </w:r>
      <w:r w:rsidR="00C50E22">
        <w:rPr>
          <w:lang w:val="en-GB"/>
        </w:rPr>
        <w:t xml:space="preserve">four removal rates defined, </w:t>
      </w:r>
      <w:r>
        <w:rPr>
          <w:lang w:val="en-GB"/>
        </w:rPr>
        <w:t xml:space="preserve">and additional </w:t>
      </w:r>
      <w:r w:rsidR="00C50E22">
        <w:rPr>
          <w:lang w:val="en-GB"/>
        </w:rPr>
        <w:t xml:space="preserve">details potentially </w:t>
      </w:r>
      <w:r>
        <w:rPr>
          <w:lang w:val="en-GB"/>
        </w:rPr>
        <w:t xml:space="preserve">useful </w:t>
      </w:r>
      <w:r w:rsidR="00472A35">
        <w:rPr>
          <w:lang w:val="en-GB"/>
        </w:rPr>
        <w:t>to refine the analysis</w:t>
      </w:r>
      <w:r>
        <w:rPr>
          <w:lang w:val="en-GB"/>
        </w:rPr>
        <w:t xml:space="preserve"> in a second phase. </w:t>
      </w:r>
      <w:r w:rsidR="00246E94">
        <w:rPr>
          <w:lang w:val="en-GB"/>
        </w:rPr>
        <w:t>All the</w:t>
      </w:r>
      <w:r w:rsidR="00BE7B33">
        <w:rPr>
          <w:lang w:val="en-GB"/>
        </w:rPr>
        <w:t xml:space="preserve"> relevant database </w:t>
      </w:r>
      <w:r w:rsidR="00246E94">
        <w:rPr>
          <w:lang w:val="en-GB"/>
        </w:rPr>
        <w:t>fields are reported in Figure 1</w:t>
      </w:r>
      <w:r w:rsidR="00C50E22">
        <w:rPr>
          <w:lang w:val="en-GB"/>
        </w:rPr>
        <w:t>. They are arranged, for clarity, in four sets</w:t>
      </w:r>
      <w:r w:rsidR="00246E94">
        <w:rPr>
          <w:lang w:val="en-GB"/>
        </w:rPr>
        <w:t xml:space="preserve">. </w:t>
      </w:r>
    </w:p>
    <w:p w14:paraId="718F8002" w14:textId="4E8E7CE7" w:rsidR="00B9538A" w:rsidRDefault="00B9538A" w:rsidP="007E6503">
      <w:pPr>
        <w:pStyle w:val="CETBodytext"/>
        <w:rPr>
          <w:rStyle w:val="CETCaptionCarattere"/>
        </w:rPr>
      </w:pPr>
      <w:r>
        <w:rPr>
          <w:i/>
          <w:noProof/>
          <w:lang w:val="en-GB"/>
        </w:rPr>
        <w:drawing>
          <wp:inline distT="0" distB="0" distL="0" distR="0" wp14:anchorId="4B5A785E" wp14:editId="4047749D">
            <wp:extent cx="5579745" cy="2081284"/>
            <wp:effectExtent l="0" t="0" r="190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8"/>
                    <a:stretch>
                      <a:fillRect/>
                    </a:stretch>
                  </pic:blipFill>
                  <pic:spPr>
                    <a:xfrm>
                      <a:off x="0" y="0"/>
                      <a:ext cx="5592565" cy="2086066"/>
                    </a:xfrm>
                    <a:prstGeom prst="rect">
                      <a:avLst/>
                    </a:prstGeom>
                  </pic:spPr>
                </pic:pic>
              </a:graphicData>
            </a:graphic>
          </wp:inline>
        </w:drawing>
      </w:r>
    </w:p>
    <w:p w14:paraId="2D35857A" w14:textId="0082F0F2" w:rsidR="000B262D" w:rsidRPr="007E6503" w:rsidRDefault="008E0FBA" w:rsidP="007E6503">
      <w:pPr>
        <w:pStyle w:val="CETBodytext"/>
        <w:rPr>
          <w:rStyle w:val="CETCaptionCarattere"/>
        </w:rPr>
      </w:pPr>
      <w:r w:rsidRPr="007E6503">
        <w:rPr>
          <w:rStyle w:val="CETCaptionCarattere"/>
        </w:rPr>
        <w:t>Figure 1: Fields addressed in the database</w:t>
      </w:r>
      <w:r w:rsidR="00C50E22">
        <w:rPr>
          <w:rStyle w:val="CETCaptionCarattere"/>
        </w:rPr>
        <w:t xml:space="preserve"> obtained </w:t>
      </w:r>
      <w:r w:rsidRPr="007E6503">
        <w:rPr>
          <w:rStyle w:val="CETCaptionCarattere"/>
        </w:rPr>
        <w:t>applying the proposed methodology</w:t>
      </w:r>
      <w:r w:rsidR="00C50E22">
        <w:rPr>
          <w:rStyle w:val="CETCaptionCarattere"/>
        </w:rPr>
        <w:t xml:space="preserve"> to a selection of experimental tests</w:t>
      </w:r>
      <w:r w:rsidR="007E6503">
        <w:rPr>
          <w:rStyle w:val="CETCaptionCarattere"/>
        </w:rPr>
        <w:t>.</w:t>
      </w:r>
    </w:p>
    <w:p w14:paraId="794E7687" w14:textId="77777777" w:rsidR="007E6503" w:rsidRPr="007E6503" w:rsidRDefault="007E6503" w:rsidP="007E6503">
      <w:pPr>
        <w:pStyle w:val="CETBodytext"/>
      </w:pPr>
    </w:p>
    <w:p w14:paraId="522617BF" w14:textId="340A2904" w:rsidR="00C50E22" w:rsidRDefault="008E0FBA" w:rsidP="003E096C">
      <w:pPr>
        <w:pStyle w:val="CETBodytext"/>
        <w:rPr>
          <w:lang w:val="en-GB"/>
        </w:rPr>
      </w:pPr>
      <w:r>
        <w:rPr>
          <w:lang w:val="en-GB"/>
        </w:rPr>
        <w:lastRenderedPageBreak/>
        <w:t>Starting from the left side, t</w:t>
      </w:r>
      <w:r w:rsidR="004B4E41">
        <w:rPr>
          <w:lang w:val="en-GB"/>
        </w:rPr>
        <w:t xml:space="preserve">he first </w:t>
      </w:r>
      <w:r w:rsidR="00B24910">
        <w:rPr>
          <w:lang w:val="en-GB"/>
        </w:rPr>
        <w:t xml:space="preserve">set of </w:t>
      </w:r>
      <w:r w:rsidR="004B4E41">
        <w:rPr>
          <w:lang w:val="en-GB"/>
        </w:rPr>
        <w:t>fields provide</w:t>
      </w:r>
      <w:r>
        <w:rPr>
          <w:lang w:val="en-GB"/>
        </w:rPr>
        <w:t xml:space="preserve"> general</w:t>
      </w:r>
      <w:r w:rsidR="004B4E41">
        <w:rPr>
          <w:lang w:val="en-GB"/>
        </w:rPr>
        <w:t xml:space="preserve"> information</w:t>
      </w:r>
      <w:r>
        <w:rPr>
          <w:lang w:val="en-GB"/>
        </w:rPr>
        <w:t xml:space="preserve"> </w:t>
      </w:r>
      <w:r w:rsidR="00BD1EDD">
        <w:rPr>
          <w:lang w:val="en-GB"/>
        </w:rPr>
        <w:t xml:space="preserve">about </w:t>
      </w:r>
      <w:r>
        <w:rPr>
          <w:lang w:val="en-GB"/>
        </w:rPr>
        <w:t xml:space="preserve">the tests as the species and the pollutant addressed. It is to note that </w:t>
      </w:r>
      <w:r w:rsidR="000B262D">
        <w:rPr>
          <w:lang w:val="en-GB"/>
        </w:rPr>
        <w:t>peculiarities concerning mainly the species</w:t>
      </w:r>
      <w:r w:rsidR="00083732" w:rsidRPr="00083732">
        <w:rPr>
          <w:lang w:val="en-GB"/>
        </w:rPr>
        <w:t xml:space="preserve"> </w:t>
      </w:r>
      <w:r w:rsidR="00083732">
        <w:rPr>
          <w:lang w:val="en-GB"/>
        </w:rPr>
        <w:t xml:space="preserve">metabolism </w:t>
      </w:r>
      <w:r w:rsidR="000B262D">
        <w:rPr>
          <w:lang w:val="en-GB"/>
        </w:rPr>
        <w:t xml:space="preserve">are addressed in a specific field </w:t>
      </w:r>
      <w:r w:rsidR="00083732" w:rsidRPr="00B24910">
        <w:rPr>
          <w:lang w:val="en-GB"/>
        </w:rPr>
        <w:t xml:space="preserve">as it is well </w:t>
      </w:r>
      <w:r w:rsidR="000B262D" w:rsidRPr="00B24910">
        <w:rPr>
          <w:lang w:val="en-GB"/>
        </w:rPr>
        <w:t>known</w:t>
      </w:r>
      <w:r w:rsidR="00083732" w:rsidRPr="00B24910">
        <w:rPr>
          <w:lang w:val="en-GB"/>
        </w:rPr>
        <w:t xml:space="preserve"> that </w:t>
      </w:r>
      <w:r w:rsidR="000B262D">
        <w:rPr>
          <w:lang w:val="en-GB"/>
        </w:rPr>
        <w:t>they</w:t>
      </w:r>
      <w:r w:rsidR="00083732" w:rsidRPr="00B24910">
        <w:rPr>
          <w:lang w:val="en-GB"/>
        </w:rPr>
        <w:t xml:space="preserve"> can significantly influence the </w:t>
      </w:r>
      <w:r w:rsidR="00083732">
        <w:rPr>
          <w:lang w:val="en-GB"/>
        </w:rPr>
        <w:t xml:space="preserve">VOC </w:t>
      </w:r>
      <w:r w:rsidR="00083732" w:rsidRPr="00B24910">
        <w:rPr>
          <w:lang w:val="en-GB"/>
        </w:rPr>
        <w:t>abatement</w:t>
      </w:r>
      <w:r w:rsidR="00B24910">
        <w:rPr>
          <w:lang w:val="en-GB"/>
        </w:rPr>
        <w:t>.</w:t>
      </w:r>
    </w:p>
    <w:p w14:paraId="1A69DA39" w14:textId="603DD313" w:rsidR="00C50E22" w:rsidRDefault="008E0FBA" w:rsidP="003E096C">
      <w:pPr>
        <w:pStyle w:val="CETBodytext"/>
        <w:rPr>
          <w:lang w:val="en-GB"/>
        </w:rPr>
      </w:pPr>
      <w:r>
        <w:rPr>
          <w:lang w:val="en-GB"/>
        </w:rPr>
        <w:t>The second set report</w:t>
      </w:r>
      <w:r w:rsidR="000B262D">
        <w:rPr>
          <w:lang w:val="en-GB"/>
        </w:rPr>
        <w:t>s</w:t>
      </w:r>
      <w:r>
        <w:rPr>
          <w:lang w:val="en-GB"/>
        </w:rPr>
        <w:t xml:space="preserve"> all the essential </w:t>
      </w:r>
      <w:r w:rsidR="001F3FB5">
        <w:rPr>
          <w:lang w:val="en-GB"/>
        </w:rPr>
        <w:t xml:space="preserve">numerical </w:t>
      </w:r>
      <w:r w:rsidR="00BE7B33">
        <w:rPr>
          <w:lang w:val="en-GB"/>
        </w:rPr>
        <w:t xml:space="preserve">data </w:t>
      </w:r>
      <w:r w:rsidR="00F740BC">
        <w:rPr>
          <w:lang w:val="en-GB"/>
        </w:rPr>
        <w:t xml:space="preserve">required for </w:t>
      </w:r>
      <w:r w:rsidR="00472A35">
        <w:rPr>
          <w:lang w:val="en-GB"/>
        </w:rPr>
        <w:t>applying</w:t>
      </w:r>
      <w:r w:rsidR="00F740BC">
        <w:rPr>
          <w:lang w:val="en-GB"/>
        </w:rPr>
        <w:t xml:space="preserve"> the methodology</w:t>
      </w:r>
      <w:r w:rsidR="000B262D">
        <w:rPr>
          <w:lang w:val="en-GB"/>
        </w:rPr>
        <w:t xml:space="preserve">. These data are the </w:t>
      </w:r>
      <w:r>
        <w:rPr>
          <w:lang w:val="en-GB"/>
        </w:rPr>
        <w:t xml:space="preserve">initial and the final </w:t>
      </w:r>
      <w:r w:rsidR="000B262D">
        <w:rPr>
          <w:lang w:val="en-GB"/>
        </w:rPr>
        <w:t xml:space="preserve">pollutant </w:t>
      </w:r>
      <w:r>
        <w:rPr>
          <w:lang w:val="en-GB"/>
        </w:rPr>
        <w:t>concentration measured in the chamber</w:t>
      </w:r>
      <w:r w:rsidR="000B262D">
        <w:rPr>
          <w:lang w:val="en-GB"/>
        </w:rPr>
        <w:t xml:space="preserve">, the </w:t>
      </w:r>
      <w:r w:rsidR="00F740BC">
        <w:rPr>
          <w:lang w:val="en-GB"/>
        </w:rPr>
        <w:t>duration</w:t>
      </w:r>
      <w:r w:rsidR="000B262D">
        <w:rPr>
          <w:lang w:val="en-GB"/>
        </w:rPr>
        <w:t xml:space="preserve"> of the experiment, the </w:t>
      </w:r>
      <w:r w:rsidR="00F740BC">
        <w:rPr>
          <w:lang w:val="en-GB"/>
        </w:rPr>
        <w:t>plant</w:t>
      </w:r>
      <w:r w:rsidR="000B262D">
        <w:rPr>
          <w:lang w:val="en-GB"/>
        </w:rPr>
        <w:t xml:space="preserve"> area</w:t>
      </w:r>
      <w:r w:rsidR="00C25362">
        <w:rPr>
          <w:lang w:val="en-GB"/>
        </w:rPr>
        <w:t xml:space="preserve"> (</w:t>
      </w:r>
      <w:r w:rsidR="00C25362" w:rsidRPr="00023307">
        <w:rPr>
          <w:i/>
          <w:lang w:val="en-GB"/>
        </w:rPr>
        <w:t>A</w:t>
      </w:r>
      <w:r w:rsidR="00C25362">
        <w:rPr>
          <w:lang w:val="en-GB"/>
        </w:rPr>
        <w:t>) where removal takes place</w:t>
      </w:r>
      <w:r w:rsidR="00AB0EE8">
        <w:rPr>
          <w:lang w:val="en-GB"/>
        </w:rPr>
        <w:t>,</w:t>
      </w:r>
      <w:r w:rsidR="000B262D">
        <w:rPr>
          <w:lang w:val="en-GB"/>
        </w:rPr>
        <w:t xml:space="preserve"> and the chamber volume. As the idea is to consider the entire plant as a system,</w:t>
      </w:r>
      <w:r w:rsidR="00F740BC">
        <w:rPr>
          <w:lang w:val="en-GB"/>
        </w:rPr>
        <w:t xml:space="preserve"> the total plant area </w:t>
      </w:r>
      <w:r>
        <w:rPr>
          <w:lang w:val="en-GB"/>
        </w:rPr>
        <w:t>includes</w:t>
      </w:r>
      <w:r w:rsidR="00C25362">
        <w:rPr>
          <w:lang w:val="en-GB"/>
        </w:rPr>
        <w:t xml:space="preserve">, when applicable, </w:t>
      </w:r>
      <w:r>
        <w:rPr>
          <w:lang w:val="en-GB"/>
        </w:rPr>
        <w:t xml:space="preserve">both </w:t>
      </w:r>
      <w:r w:rsidR="000B262D">
        <w:rPr>
          <w:lang w:val="en-GB"/>
        </w:rPr>
        <w:t xml:space="preserve">the </w:t>
      </w:r>
      <w:r w:rsidR="00B9538A">
        <w:rPr>
          <w:lang w:val="en-GB"/>
        </w:rPr>
        <w:t xml:space="preserve">leaf </w:t>
      </w:r>
      <w:r w:rsidR="000B262D">
        <w:rPr>
          <w:lang w:val="en-GB"/>
        </w:rPr>
        <w:t>a</w:t>
      </w:r>
      <w:r>
        <w:rPr>
          <w:lang w:val="en-GB"/>
        </w:rPr>
        <w:t xml:space="preserve">nd </w:t>
      </w:r>
      <w:r w:rsidR="00B9538A">
        <w:rPr>
          <w:lang w:val="en-GB"/>
        </w:rPr>
        <w:t>root zone</w:t>
      </w:r>
      <w:r w:rsidR="000B262D">
        <w:rPr>
          <w:lang w:val="en-GB"/>
        </w:rPr>
        <w:t xml:space="preserve"> area to include the contribution of all the VOC removal pathways. Finally, </w:t>
      </w:r>
      <w:r w:rsidR="00B9538A">
        <w:rPr>
          <w:lang w:val="en-GB"/>
        </w:rPr>
        <w:t>it is important for each test to specify</w:t>
      </w:r>
      <w:r w:rsidR="000B262D">
        <w:rPr>
          <w:lang w:val="en-GB"/>
        </w:rPr>
        <w:t xml:space="preserve"> </w:t>
      </w:r>
      <w:r w:rsidR="00B9538A">
        <w:rPr>
          <w:lang w:val="en-GB"/>
        </w:rPr>
        <w:t>if they involved the entire plant,</w:t>
      </w:r>
      <w:r w:rsidR="000B262D">
        <w:rPr>
          <w:lang w:val="en-GB"/>
        </w:rPr>
        <w:t xml:space="preserve"> the aerial part </w:t>
      </w:r>
      <w:r w:rsidR="00F740BC">
        <w:rPr>
          <w:lang w:val="en-GB"/>
        </w:rPr>
        <w:t xml:space="preserve">or the </w:t>
      </w:r>
      <w:r w:rsidR="00B9538A">
        <w:rPr>
          <w:lang w:val="en-GB"/>
        </w:rPr>
        <w:t>root zone</w:t>
      </w:r>
      <w:r w:rsidR="000B262D">
        <w:rPr>
          <w:lang w:val="en-GB"/>
        </w:rPr>
        <w:t>. This element evidently gives to the results obtained their actual value.</w:t>
      </w:r>
    </w:p>
    <w:p w14:paraId="69E57C65" w14:textId="1AA77476" w:rsidR="00C50E22" w:rsidRDefault="008E0FBA" w:rsidP="003E096C">
      <w:pPr>
        <w:pStyle w:val="CETBodytext"/>
        <w:rPr>
          <w:lang w:val="en-GB"/>
        </w:rPr>
      </w:pPr>
      <w:r>
        <w:rPr>
          <w:lang w:val="en-GB"/>
        </w:rPr>
        <w:t>The four removal rates values calculated starting from these data are reported in the third section of the databas</w:t>
      </w:r>
      <w:r w:rsidR="00F740BC">
        <w:rPr>
          <w:lang w:val="en-GB"/>
        </w:rPr>
        <w:t>e</w:t>
      </w:r>
      <w:r w:rsidR="00472A35">
        <w:rPr>
          <w:lang w:val="en-GB"/>
        </w:rPr>
        <w:t>,</w:t>
      </w:r>
      <w:r w:rsidR="00F740BC">
        <w:rPr>
          <w:lang w:val="en-GB"/>
        </w:rPr>
        <w:t xml:space="preserve"> and t</w:t>
      </w:r>
      <w:r>
        <w:rPr>
          <w:lang w:val="en-GB"/>
        </w:rPr>
        <w:t xml:space="preserve">hey provide a first harmonised </w:t>
      </w:r>
      <w:r w:rsidR="00B9538A">
        <w:rPr>
          <w:lang w:val="en-GB"/>
        </w:rPr>
        <w:t>indication</w:t>
      </w:r>
      <w:r>
        <w:rPr>
          <w:lang w:val="en-GB"/>
        </w:rPr>
        <w:t xml:space="preserve"> of the actual abatement capacit</w:t>
      </w:r>
      <w:r w:rsidR="00F740BC">
        <w:rPr>
          <w:lang w:val="en-GB"/>
        </w:rPr>
        <w:t xml:space="preserve">y of the different species concerning a specific contaminant. </w:t>
      </w:r>
    </w:p>
    <w:p w14:paraId="23E217AB" w14:textId="227C8116" w:rsidR="00C50E22" w:rsidRDefault="008E0FBA" w:rsidP="003E096C">
      <w:pPr>
        <w:pStyle w:val="CETBodytext"/>
        <w:rPr>
          <w:lang w:val="en-GB"/>
        </w:rPr>
      </w:pPr>
      <w:r>
        <w:rPr>
          <w:lang w:val="en-GB"/>
        </w:rPr>
        <w:t>As environmental conditions are known to play a</w:t>
      </w:r>
      <w:r w:rsidR="00B9538A">
        <w:rPr>
          <w:lang w:val="en-GB"/>
        </w:rPr>
        <w:t xml:space="preserve"> significant</w:t>
      </w:r>
      <w:r>
        <w:rPr>
          <w:lang w:val="en-GB"/>
        </w:rPr>
        <w:t xml:space="preserve"> role in VOC removal, information concerning temperature, relative humidity and light conditions are noted in the last part of the database</w:t>
      </w:r>
      <w:r w:rsidR="00472A35">
        <w:rPr>
          <w:lang w:val="en-GB"/>
        </w:rPr>
        <w:t>,</w:t>
      </w:r>
      <w:r>
        <w:rPr>
          <w:lang w:val="en-GB"/>
        </w:rPr>
        <w:t xml:space="preserve"> together with basic information about the instrumentations employe</w:t>
      </w:r>
      <w:r w:rsidR="00C626E4">
        <w:rPr>
          <w:lang w:val="en-GB"/>
        </w:rPr>
        <w:t>d</w:t>
      </w:r>
      <w:r>
        <w:rPr>
          <w:lang w:val="en-GB"/>
        </w:rPr>
        <w:t xml:space="preserve"> in the tests.</w:t>
      </w:r>
    </w:p>
    <w:p w14:paraId="33B2C0F5" w14:textId="3124186D" w:rsidR="00FA6B8F" w:rsidRDefault="008E0FBA" w:rsidP="003E096C">
      <w:pPr>
        <w:pStyle w:val="CETBodytext"/>
        <w:rPr>
          <w:lang w:val="en-GB"/>
        </w:rPr>
      </w:pPr>
      <w:r>
        <w:rPr>
          <w:lang w:val="en-GB"/>
        </w:rPr>
        <w:t xml:space="preserve">It is to note </w:t>
      </w:r>
      <w:r w:rsidR="00F740BC">
        <w:rPr>
          <w:lang w:val="en-GB"/>
        </w:rPr>
        <w:t>that</w:t>
      </w:r>
      <w:r w:rsidR="00C50E22">
        <w:rPr>
          <w:lang w:val="en-GB"/>
        </w:rPr>
        <w:t>,</w:t>
      </w:r>
      <w:r w:rsidR="00F740BC">
        <w:rPr>
          <w:lang w:val="en-GB"/>
        </w:rPr>
        <w:t xml:space="preserve"> </w:t>
      </w:r>
      <w:r w:rsidR="00C50E22">
        <w:rPr>
          <w:lang w:val="en-GB"/>
        </w:rPr>
        <w:t>due to the lack of standardised methodologies, all this information is not always provided in</w:t>
      </w:r>
      <w:r w:rsidR="00F740BC">
        <w:rPr>
          <w:lang w:val="en-GB"/>
        </w:rPr>
        <w:t xml:space="preserve"> the </w:t>
      </w:r>
      <w:r w:rsidR="00C50E22">
        <w:rPr>
          <w:lang w:val="en-GB"/>
        </w:rPr>
        <w:t xml:space="preserve">studies </w:t>
      </w:r>
      <w:r w:rsidR="00F740BC">
        <w:rPr>
          <w:lang w:val="en-GB"/>
        </w:rPr>
        <w:t>revised</w:t>
      </w:r>
      <w:r>
        <w:rPr>
          <w:lang w:val="en-GB"/>
        </w:rPr>
        <w:t xml:space="preserve">. </w:t>
      </w:r>
      <w:r w:rsidR="00C50E22">
        <w:rPr>
          <w:lang w:val="en-GB"/>
        </w:rPr>
        <w:t xml:space="preserve">Therefore, in the database were included </w:t>
      </w:r>
      <w:r w:rsidR="00C7304C">
        <w:rPr>
          <w:lang w:val="en-GB"/>
        </w:rPr>
        <w:t xml:space="preserve">only </w:t>
      </w:r>
      <w:r w:rsidR="00C50E22">
        <w:rPr>
          <w:lang w:val="en-GB"/>
        </w:rPr>
        <w:t xml:space="preserve">the tests where all the fields </w:t>
      </w:r>
      <w:r w:rsidR="00850B6F">
        <w:rPr>
          <w:lang w:val="en-GB"/>
        </w:rPr>
        <w:t xml:space="preserve">in </w:t>
      </w:r>
      <w:r w:rsidR="00C7304C">
        <w:rPr>
          <w:lang w:val="en-GB"/>
        </w:rPr>
        <w:t xml:space="preserve">the second and third </w:t>
      </w:r>
      <w:r w:rsidR="00C50E22">
        <w:rPr>
          <w:lang w:val="en-GB"/>
        </w:rPr>
        <w:t>set</w:t>
      </w:r>
      <w:r w:rsidR="006C7F5C">
        <w:rPr>
          <w:lang w:val="en-GB"/>
        </w:rPr>
        <w:t>s</w:t>
      </w:r>
      <w:r w:rsidR="00C50E22">
        <w:rPr>
          <w:lang w:val="en-GB"/>
        </w:rPr>
        <w:t xml:space="preserve"> could be filled</w:t>
      </w:r>
      <w:r w:rsidR="00B9538A">
        <w:rPr>
          <w:lang w:val="en-GB"/>
        </w:rPr>
        <w:t xml:space="preserve">. </w:t>
      </w:r>
      <w:r w:rsidR="00622E16">
        <w:rPr>
          <w:lang w:val="en-GB"/>
        </w:rPr>
        <w:t>The resulting set of records formed the first version of the database.</w:t>
      </w:r>
    </w:p>
    <w:p w14:paraId="2290EF38" w14:textId="3ED75D0A" w:rsidR="00C50E22" w:rsidRDefault="008E0FBA" w:rsidP="003E096C">
      <w:pPr>
        <w:pStyle w:val="CETBodytext"/>
        <w:rPr>
          <w:lang w:val="en-GB"/>
        </w:rPr>
      </w:pPr>
      <w:r>
        <w:rPr>
          <w:lang w:val="en-GB"/>
        </w:rPr>
        <w:t>A</w:t>
      </w:r>
      <w:r w:rsidR="00F740BC">
        <w:rPr>
          <w:lang w:val="en-GB"/>
        </w:rPr>
        <w:t>n example</w:t>
      </w:r>
      <w:r>
        <w:rPr>
          <w:lang w:val="en-GB"/>
        </w:rPr>
        <w:t xml:space="preserve"> of how this </w:t>
      </w:r>
      <w:r w:rsidR="00B92734">
        <w:rPr>
          <w:lang w:val="en-GB"/>
        </w:rPr>
        <w:t xml:space="preserve">database </w:t>
      </w:r>
      <w:r>
        <w:rPr>
          <w:lang w:val="en-GB"/>
        </w:rPr>
        <w:t>can be used</w:t>
      </w:r>
      <w:r w:rsidR="00F740BC">
        <w:rPr>
          <w:lang w:val="en-GB"/>
        </w:rPr>
        <w:t xml:space="preserve"> is presented</w:t>
      </w:r>
      <w:r>
        <w:rPr>
          <w:lang w:val="en-GB"/>
        </w:rPr>
        <w:t xml:space="preserve"> in the following section. The idea is to demonstrate how to select the best performing species to remediate </w:t>
      </w:r>
      <w:r w:rsidR="00F740BC">
        <w:rPr>
          <w:lang w:val="en-GB"/>
        </w:rPr>
        <w:t>formaldehyde</w:t>
      </w:r>
      <w:r>
        <w:rPr>
          <w:lang w:val="en-GB"/>
        </w:rPr>
        <w:t>,</w:t>
      </w:r>
      <w:r w:rsidR="00F740BC">
        <w:rPr>
          <w:lang w:val="en-GB"/>
        </w:rPr>
        <w:t xml:space="preserve"> the most studied </w:t>
      </w:r>
      <w:r>
        <w:rPr>
          <w:lang w:val="en-GB"/>
        </w:rPr>
        <w:t xml:space="preserve">and common </w:t>
      </w:r>
      <w:r w:rsidR="00F740BC">
        <w:rPr>
          <w:lang w:val="en-GB"/>
        </w:rPr>
        <w:t>indoor contaminant</w:t>
      </w:r>
      <w:r>
        <w:rPr>
          <w:lang w:val="en-GB"/>
        </w:rPr>
        <w:t>, using the methodology proposed</w:t>
      </w:r>
      <w:r w:rsidR="00F740BC">
        <w:rPr>
          <w:lang w:val="en-GB"/>
        </w:rPr>
        <w:t xml:space="preserve">. </w:t>
      </w:r>
    </w:p>
    <w:p w14:paraId="2D35EE6B" w14:textId="69C029CE" w:rsidR="00031EF0" w:rsidRDefault="008E0FBA" w:rsidP="003E096C">
      <w:pPr>
        <w:pStyle w:val="CETBodytext"/>
        <w:rPr>
          <w:lang w:val="en-GB"/>
        </w:rPr>
      </w:pPr>
      <w:r>
        <w:rPr>
          <w:lang w:val="en-GB"/>
        </w:rPr>
        <w:t>A selection of the database is presented in Table 1</w:t>
      </w:r>
      <w:r w:rsidR="00F05411" w:rsidRPr="00F05411">
        <w:rPr>
          <w:lang w:val="en-GB"/>
        </w:rPr>
        <w:t>.</w:t>
      </w:r>
      <w:r>
        <w:rPr>
          <w:lang w:val="en-GB"/>
        </w:rPr>
        <w:t xml:space="preserve"> </w:t>
      </w:r>
      <w:r w:rsidR="00FA6B8F">
        <w:rPr>
          <w:lang w:val="en-GB"/>
        </w:rPr>
        <w:t xml:space="preserve">For the sake of </w:t>
      </w:r>
      <w:r w:rsidR="00B9538A">
        <w:rPr>
          <w:lang w:val="en-GB"/>
        </w:rPr>
        <w:t>brevity</w:t>
      </w:r>
      <w:r w:rsidR="00FA6B8F">
        <w:rPr>
          <w:lang w:val="en-GB"/>
        </w:rPr>
        <w:t>, t</w:t>
      </w:r>
      <w:r w:rsidR="00F05411">
        <w:rPr>
          <w:lang w:val="en-GB"/>
        </w:rPr>
        <w:t>h</w:t>
      </w:r>
      <w:r w:rsidR="00F740BC">
        <w:rPr>
          <w:lang w:val="en-GB"/>
        </w:rPr>
        <w:t>is</w:t>
      </w:r>
      <w:r w:rsidR="00F05411">
        <w:rPr>
          <w:lang w:val="en-GB"/>
        </w:rPr>
        <w:t xml:space="preserve"> selection exclusively </w:t>
      </w:r>
      <w:r w:rsidR="00B9538A">
        <w:rPr>
          <w:lang w:val="en-GB"/>
        </w:rPr>
        <w:t xml:space="preserve">concerns </w:t>
      </w:r>
      <w:r w:rsidR="00F05411">
        <w:rPr>
          <w:lang w:val="en-GB"/>
        </w:rPr>
        <w:t xml:space="preserve">studies </w:t>
      </w:r>
      <w:r w:rsidR="00B9538A">
        <w:rPr>
          <w:lang w:val="en-GB"/>
        </w:rPr>
        <w:t>referred to</w:t>
      </w:r>
      <w:r w:rsidR="00F05411">
        <w:rPr>
          <w:lang w:val="en-GB"/>
        </w:rPr>
        <w:t xml:space="preserve"> the contaminant of interest performed on entire specimens and in conditions of light</w:t>
      </w:r>
      <w:r w:rsidR="00F740BC">
        <w:rPr>
          <w:lang w:val="en-GB"/>
        </w:rPr>
        <w:t xml:space="preserve">. </w:t>
      </w:r>
      <w:r w:rsidR="00B92734">
        <w:rPr>
          <w:lang w:val="en-GB"/>
        </w:rPr>
        <w:t xml:space="preserve">Different metabolisms have not been observed for this selection. </w:t>
      </w:r>
      <w:r w:rsidR="00F740BC">
        <w:rPr>
          <w:lang w:val="en-GB"/>
        </w:rPr>
        <w:t>Moreover, o</w:t>
      </w:r>
      <w:r w:rsidR="007E6503">
        <w:rPr>
          <w:lang w:val="en-GB"/>
        </w:rPr>
        <w:t>nly the fields concerning the application of the methodology have been reported</w:t>
      </w:r>
      <w:r w:rsidR="00B9538A">
        <w:rPr>
          <w:lang w:val="en-GB"/>
        </w:rPr>
        <w:t xml:space="preserve"> (t</w:t>
      </w:r>
      <w:r w:rsidR="00BD1EDD">
        <w:rPr>
          <w:lang w:val="en-GB"/>
        </w:rPr>
        <w:t xml:space="preserve">he temperature field was added as this datum was employed to perform the necessary </w:t>
      </w:r>
      <w:r w:rsidR="00305D60">
        <w:rPr>
          <w:lang w:val="en-GB"/>
        </w:rPr>
        <w:t xml:space="preserve">unit </w:t>
      </w:r>
      <w:r w:rsidR="00BD1EDD">
        <w:rPr>
          <w:lang w:val="en-GB"/>
        </w:rPr>
        <w:t>conversions</w:t>
      </w:r>
      <w:r w:rsidR="00B9538A">
        <w:rPr>
          <w:lang w:val="en-GB"/>
        </w:rPr>
        <w:t>)</w:t>
      </w:r>
      <w:r w:rsidR="00BD1EDD">
        <w:rPr>
          <w:lang w:val="en-GB"/>
        </w:rPr>
        <w:t xml:space="preserve">. </w:t>
      </w:r>
    </w:p>
    <w:p w14:paraId="090845C2" w14:textId="49077C3E" w:rsidR="007E6503" w:rsidRDefault="008E0FBA" w:rsidP="007E6503">
      <w:pPr>
        <w:pStyle w:val="CETTabletitle"/>
      </w:pPr>
      <w:bookmarkStart w:id="1" w:name="_Hlk91532730"/>
      <w:r w:rsidRPr="00B57B36">
        <w:t xml:space="preserve">Table 1: </w:t>
      </w:r>
      <w:r w:rsidR="00622E16">
        <w:t>Extract from the d</w:t>
      </w:r>
      <w:r>
        <w:t xml:space="preserve">atabase for </w:t>
      </w:r>
      <w:r w:rsidR="002B6F69">
        <w:t>formaldehyde</w:t>
      </w:r>
      <w:r>
        <w:t xml:space="preserve">, the studies reported were performed </w:t>
      </w:r>
      <w:r w:rsidR="00B9538A">
        <w:t>on entire specimens and in light conditions</w:t>
      </w:r>
      <w:r>
        <w:t xml:space="preserve">. </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275"/>
        <w:gridCol w:w="1276"/>
        <w:gridCol w:w="1276"/>
        <w:gridCol w:w="1276"/>
        <w:gridCol w:w="1418"/>
        <w:gridCol w:w="1134"/>
      </w:tblGrid>
      <w:tr w:rsidR="008308BE" w14:paraId="07385002" w14:textId="77777777" w:rsidTr="00B9538A">
        <w:tc>
          <w:tcPr>
            <w:tcW w:w="1134" w:type="dxa"/>
            <w:tcBorders>
              <w:top w:val="single" w:sz="12" w:space="0" w:color="008000"/>
              <w:bottom w:val="single" w:sz="6" w:space="0" w:color="008000"/>
            </w:tcBorders>
            <w:shd w:val="clear" w:color="auto" w:fill="FFFFFF"/>
          </w:tcPr>
          <w:p w14:paraId="1D68D083" w14:textId="77777777" w:rsidR="00C626E4" w:rsidRPr="00B57B36" w:rsidRDefault="008E0FBA" w:rsidP="00C626E4">
            <w:pPr>
              <w:pStyle w:val="CETBodytext"/>
              <w:rPr>
                <w:lang w:val="en-GB"/>
              </w:rPr>
            </w:pPr>
            <w:r w:rsidRPr="00226D81">
              <w:t>Species</w:t>
            </w:r>
          </w:p>
        </w:tc>
        <w:tc>
          <w:tcPr>
            <w:tcW w:w="1275" w:type="dxa"/>
            <w:tcBorders>
              <w:top w:val="single" w:sz="12" w:space="0" w:color="008000"/>
              <w:bottom w:val="single" w:sz="6" w:space="0" w:color="008000"/>
            </w:tcBorders>
            <w:shd w:val="clear" w:color="auto" w:fill="FFFFFF"/>
          </w:tcPr>
          <w:p w14:paraId="5913EB6F" w14:textId="77777777" w:rsidR="00C626E4" w:rsidRDefault="008E0FBA" w:rsidP="00C626E4">
            <w:pPr>
              <w:pStyle w:val="CETBodytext"/>
              <w:jc w:val="left"/>
              <w:rPr>
                <w:szCs w:val="18"/>
              </w:rPr>
            </w:pPr>
            <w:r w:rsidRPr="00C626E4">
              <w:rPr>
                <w:szCs w:val="18"/>
              </w:rPr>
              <w:t xml:space="preserve">Fatsia </w:t>
            </w:r>
          </w:p>
          <w:p w14:paraId="6C3BE3DA" w14:textId="77777777" w:rsidR="00C626E4" w:rsidRPr="00C626E4" w:rsidRDefault="008E0FBA" w:rsidP="00C626E4">
            <w:pPr>
              <w:pStyle w:val="CETBodytext"/>
              <w:jc w:val="left"/>
              <w:rPr>
                <w:szCs w:val="18"/>
                <w:lang w:val="en-GB"/>
              </w:rPr>
            </w:pPr>
            <w:r w:rsidRPr="00C626E4">
              <w:rPr>
                <w:szCs w:val="18"/>
              </w:rPr>
              <w:t>japonica</w:t>
            </w:r>
          </w:p>
        </w:tc>
        <w:tc>
          <w:tcPr>
            <w:tcW w:w="1276" w:type="dxa"/>
            <w:tcBorders>
              <w:top w:val="single" w:sz="12" w:space="0" w:color="008000"/>
              <w:bottom w:val="single" w:sz="6" w:space="0" w:color="008000"/>
            </w:tcBorders>
            <w:shd w:val="clear" w:color="auto" w:fill="FFFFFF"/>
          </w:tcPr>
          <w:p w14:paraId="50A11CED" w14:textId="77777777" w:rsidR="00C626E4" w:rsidRPr="00C626E4" w:rsidRDefault="008E0FBA" w:rsidP="00C626E4">
            <w:pPr>
              <w:pStyle w:val="CETBodytext"/>
              <w:jc w:val="left"/>
              <w:rPr>
                <w:szCs w:val="18"/>
                <w:lang w:val="en-GB"/>
              </w:rPr>
            </w:pPr>
            <w:r w:rsidRPr="00C626E4">
              <w:rPr>
                <w:szCs w:val="18"/>
              </w:rPr>
              <w:t>Ficus benjamina</w:t>
            </w:r>
          </w:p>
        </w:tc>
        <w:tc>
          <w:tcPr>
            <w:tcW w:w="1276" w:type="dxa"/>
            <w:tcBorders>
              <w:top w:val="single" w:sz="12" w:space="0" w:color="008000"/>
              <w:bottom w:val="single" w:sz="6" w:space="0" w:color="008000"/>
            </w:tcBorders>
            <w:shd w:val="clear" w:color="auto" w:fill="FFFFFF"/>
          </w:tcPr>
          <w:p w14:paraId="4FDF9E51" w14:textId="77777777" w:rsidR="00C626E4" w:rsidRPr="00C626E4" w:rsidRDefault="008E0FBA" w:rsidP="00C626E4">
            <w:pPr>
              <w:pStyle w:val="CETBodytext"/>
              <w:ind w:right="-1"/>
              <w:jc w:val="left"/>
              <w:rPr>
                <w:rFonts w:cs="Arial"/>
                <w:szCs w:val="18"/>
                <w:lang w:val="en-GB"/>
              </w:rPr>
            </w:pPr>
            <w:r w:rsidRPr="00C626E4">
              <w:rPr>
                <w:szCs w:val="18"/>
              </w:rPr>
              <w:t xml:space="preserve">Scindapsus  aureus </w:t>
            </w:r>
          </w:p>
        </w:tc>
        <w:tc>
          <w:tcPr>
            <w:tcW w:w="1276" w:type="dxa"/>
            <w:tcBorders>
              <w:top w:val="single" w:sz="12" w:space="0" w:color="008000"/>
              <w:bottom w:val="single" w:sz="6" w:space="0" w:color="008000"/>
            </w:tcBorders>
            <w:shd w:val="clear" w:color="auto" w:fill="FFFFFF"/>
          </w:tcPr>
          <w:p w14:paraId="50C96AAF" w14:textId="77777777" w:rsidR="00C626E4" w:rsidRPr="00C626E4" w:rsidRDefault="008E0FBA" w:rsidP="00C626E4">
            <w:pPr>
              <w:pStyle w:val="CETBodytext"/>
              <w:ind w:right="-1"/>
              <w:jc w:val="left"/>
              <w:rPr>
                <w:rFonts w:cs="Arial"/>
                <w:szCs w:val="18"/>
                <w:lang w:val="en-GB"/>
              </w:rPr>
            </w:pPr>
            <w:r w:rsidRPr="00C626E4">
              <w:rPr>
                <w:szCs w:val="18"/>
              </w:rPr>
              <w:t>S</w:t>
            </w:r>
            <w:r>
              <w:rPr>
                <w:szCs w:val="18"/>
              </w:rPr>
              <w:t>yn</w:t>
            </w:r>
            <w:r w:rsidRPr="00C626E4">
              <w:rPr>
                <w:szCs w:val="18"/>
              </w:rPr>
              <w:t>gonium podophyllum</w:t>
            </w:r>
          </w:p>
        </w:tc>
        <w:tc>
          <w:tcPr>
            <w:tcW w:w="1418" w:type="dxa"/>
            <w:tcBorders>
              <w:top w:val="single" w:sz="12" w:space="0" w:color="008000"/>
              <w:bottom w:val="single" w:sz="6" w:space="0" w:color="008000"/>
            </w:tcBorders>
            <w:shd w:val="clear" w:color="auto" w:fill="FFFFFF"/>
          </w:tcPr>
          <w:p w14:paraId="5A0E8C92" w14:textId="77777777" w:rsidR="00C626E4" w:rsidRPr="00C626E4" w:rsidRDefault="008E0FBA" w:rsidP="00C626E4">
            <w:pPr>
              <w:pStyle w:val="CETBodytext"/>
              <w:ind w:right="-1"/>
              <w:jc w:val="left"/>
              <w:rPr>
                <w:rFonts w:cs="Arial"/>
                <w:szCs w:val="18"/>
                <w:lang w:val="en-GB"/>
              </w:rPr>
            </w:pPr>
            <w:r w:rsidRPr="00C626E4">
              <w:rPr>
                <w:szCs w:val="18"/>
              </w:rPr>
              <w:t xml:space="preserve">Chlorophytum elatum vittatum </w:t>
            </w:r>
          </w:p>
        </w:tc>
        <w:tc>
          <w:tcPr>
            <w:tcW w:w="1134" w:type="dxa"/>
            <w:tcBorders>
              <w:top w:val="single" w:sz="12" w:space="0" w:color="008000"/>
              <w:bottom w:val="single" w:sz="6" w:space="0" w:color="008000"/>
            </w:tcBorders>
            <w:shd w:val="clear" w:color="auto" w:fill="FFFFFF"/>
          </w:tcPr>
          <w:p w14:paraId="7B33A470" w14:textId="77777777" w:rsidR="00C626E4" w:rsidRPr="00C626E4" w:rsidRDefault="008E0FBA" w:rsidP="00C626E4">
            <w:pPr>
              <w:pStyle w:val="CETBodytext"/>
              <w:ind w:right="-1"/>
              <w:jc w:val="left"/>
              <w:rPr>
                <w:rFonts w:cs="Arial"/>
                <w:szCs w:val="18"/>
                <w:lang w:val="en-GB"/>
              </w:rPr>
            </w:pPr>
            <w:r w:rsidRPr="00C626E4">
              <w:rPr>
                <w:szCs w:val="18"/>
              </w:rPr>
              <w:t>Dracaena messangeana</w:t>
            </w:r>
          </w:p>
        </w:tc>
      </w:tr>
      <w:tr w:rsidR="008308BE" w14:paraId="5AC6D783" w14:textId="77777777" w:rsidTr="00B9538A">
        <w:tc>
          <w:tcPr>
            <w:tcW w:w="1134" w:type="dxa"/>
            <w:shd w:val="clear" w:color="auto" w:fill="FFFFFF"/>
          </w:tcPr>
          <w:p w14:paraId="1661FED2" w14:textId="77777777" w:rsidR="00C626E4" w:rsidRPr="00B57B36" w:rsidRDefault="008E0FBA" w:rsidP="00C626E4">
            <w:pPr>
              <w:pStyle w:val="CETBodytext"/>
              <w:rPr>
                <w:lang w:val="en-GB"/>
              </w:rPr>
            </w:pPr>
            <w:r w:rsidRPr="00BD189B">
              <w:t>Reference</w:t>
            </w:r>
          </w:p>
        </w:tc>
        <w:tc>
          <w:tcPr>
            <w:tcW w:w="1275" w:type="dxa"/>
            <w:shd w:val="clear" w:color="auto" w:fill="FFFFFF"/>
          </w:tcPr>
          <w:p w14:paraId="48798A91" w14:textId="77777777" w:rsidR="00C626E4" w:rsidRPr="00BD1EDD" w:rsidRDefault="008E0FBA" w:rsidP="00C626E4">
            <w:pPr>
              <w:pStyle w:val="CETBodytext"/>
              <w:jc w:val="left"/>
              <w:rPr>
                <w:szCs w:val="18"/>
                <w:lang w:val="en-GB"/>
              </w:rPr>
            </w:pPr>
            <w:r w:rsidRPr="00BD1EDD">
              <w:rPr>
                <w:szCs w:val="18"/>
              </w:rPr>
              <w:t>Kim et al. (2008)</w:t>
            </w:r>
          </w:p>
        </w:tc>
        <w:tc>
          <w:tcPr>
            <w:tcW w:w="1276" w:type="dxa"/>
            <w:shd w:val="clear" w:color="auto" w:fill="FFFFFF"/>
          </w:tcPr>
          <w:p w14:paraId="79C5B311" w14:textId="77777777" w:rsidR="00C626E4" w:rsidRPr="00BD1EDD" w:rsidRDefault="008E0FBA" w:rsidP="00C626E4">
            <w:pPr>
              <w:pStyle w:val="CETBodytext"/>
              <w:jc w:val="left"/>
              <w:rPr>
                <w:szCs w:val="18"/>
                <w:lang w:val="en-GB"/>
              </w:rPr>
            </w:pPr>
            <w:r w:rsidRPr="00BD1EDD">
              <w:rPr>
                <w:szCs w:val="18"/>
              </w:rPr>
              <w:t>Kim et al. (2008)</w:t>
            </w:r>
          </w:p>
        </w:tc>
        <w:tc>
          <w:tcPr>
            <w:tcW w:w="1276" w:type="dxa"/>
            <w:shd w:val="clear" w:color="auto" w:fill="FFFFFF"/>
          </w:tcPr>
          <w:p w14:paraId="30737D93" w14:textId="77777777" w:rsidR="00C626E4" w:rsidRPr="00BD1EDD" w:rsidRDefault="008E0FBA" w:rsidP="00C626E4">
            <w:pPr>
              <w:pStyle w:val="CETBodytext"/>
              <w:ind w:right="-1"/>
              <w:jc w:val="left"/>
              <w:rPr>
                <w:rFonts w:cs="Arial"/>
                <w:szCs w:val="18"/>
                <w:lang w:val="en-GB"/>
              </w:rPr>
            </w:pPr>
            <w:r w:rsidRPr="00BD1EDD">
              <w:rPr>
                <w:szCs w:val="18"/>
              </w:rPr>
              <w:t>Wolverton and McDonald (1982)</w:t>
            </w:r>
          </w:p>
        </w:tc>
        <w:tc>
          <w:tcPr>
            <w:tcW w:w="1276" w:type="dxa"/>
            <w:shd w:val="clear" w:color="auto" w:fill="FFFFFF"/>
          </w:tcPr>
          <w:p w14:paraId="59A5478B" w14:textId="77777777" w:rsidR="00C626E4" w:rsidRPr="00BD1EDD" w:rsidRDefault="008E0FBA" w:rsidP="00C626E4">
            <w:pPr>
              <w:pStyle w:val="CETBodytext"/>
              <w:ind w:right="-1"/>
              <w:jc w:val="left"/>
              <w:rPr>
                <w:rFonts w:cs="Arial"/>
                <w:szCs w:val="18"/>
                <w:lang w:val="en-GB"/>
              </w:rPr>
            </w:pPr>
            <w:r w:rsidRPr="00BD1EDD">
              <w:rPr>
                <w:szCs w:val="18"/>
              </w:rPr>
              <w:t>Wolverton and McDonald (1982)</w:t>
            </w:r>
          </w:p>
        </w:tc>
        <w:tc>
          <w:tcPr>
            <w:tcW w:w="1418" w:type="dxa"/>
            <w:shd w:val="clear" w:color="auto" w:fill="FFFFFF"/>
          </w:tcPr>
          <w:p w14:paraId="34B682DA" w14:textId="77777777" w:rsidR="00C626E4" w:rsidRPr="00BD1EDD" w:rsidRDefault="008E0FBA" w:rsidP="00C626E4">
            <w:pPr>
              <w:pStyle w:val="CETBodytext"/>
              <w:ind w:right="-1"/>
              <w:jc w:val="left"/>
              <w:rPr>
                <w:rFonts w:cs="Arial"/>
                <w:szCs w:val="18"/>
                <w:lang w:val="en-GB"/>
              </w:rPr>
            </w:pPr>
            <w:r w:rsidRPr="00BD1EDD">
              <w:rPr>
                <w:szCs w:val="18"/>
              </w:rPr>
              <w:t>Wolverton et al. (1984)</w:t>
            </w:r>
          </w:p>
        </w:tc>
        <w:tc>
          <w:tcPr>
            <w:tcW w:w="1134" w:type="dxa"/>
            <w:shd w:val="clear" w:color="auto" w:fill="FFFFFF"/>
          </w:tcPr>
          <w:p w14:paraId="58C6B97D" w14:textId="77777777" w:rsidR="00C626E4" w:rsidRPr="00BD1EDD" w:rsidRDefault="008E0FBA" w:rsidP="00C626E4">
            <w:pPr>
              <w:pStyle w:val="CETBodytext"/>
              <w:ind w:right="-1"/>
              <w:jc w:val="left"/>
              <w:rPr>
                <w:rFonts w:cs="Arial"/>
                <w:szCs w:val="18"/>
                <w:lang w:val="en-GB"/>
              </w:rPr>
            </w:pPr>
            <w:r w:rsidRPr="00BD1EDD">
              <w:rPr>
                <w:szCs w:val="18"/>
              </w:rPr>
              <w:t>Wolverton et al. (1989)</w:t>
            </w:r>
          </w:p>
        </w:tc>
      </w:tr>
      <w:tr w:rsidR="008308BE" w14:paraId="2830D8E4" w14:textId="77777777" w:rsidTr="00B9538A">
        <w:tc>
          <w:tcPr>
            <w:tcW w:w="1134" w:type="dxa"/>
            <w:shd w:val="clear" w:color="auto" w:fill="FFFFFF"/>
          </w:tcPr>
          <w:p w14:paraId="19469409" w14:textId="77777777" w:rsidR="001743E4" w:rsidRPr="00BD189B" w:rsidRDefault="008E0FBA" w:rsidP="00C626E4">
            <w:pPr>
              <w:pStyle w:val="CETBodytext"/>
            </w:pPr>
            <w:r>
              <w:t xml:space="preserve">Species peculiarities </w:t>
            </w:r>
          </w:p>
        </w:tc>
        <w:tc>
          <w:tcPr>
            <w:tcW w:w="1275" w:type="dxa"/>
            <w:shd w:val="clear" w:color="auto" w:fill="FFFFFF"/>
          </w:tcPr>
          <w:p w14:paraId="43A9CFC5" w14:textId="77777777" w:rsidR="001743E4" w:rsidRPr="00BD1EDD" w:rsidRDefault="008E0FBA" w:rsidP="00C626E4">
            <w:pPr>
              <w:pStyle w:val="CETBodytext"/>
              <w:jc w:val="left"/>
              <w:rPr>
                <w:szCs w:val="18"/>
              </w:rPr>
            </w:pPr>
            <w:r>
              <w:rPr>
                <w:szCs w:val="18"/>
              </w:rPr>
              <w:t>-</w:t>
            </w:r>
          </w:p>
        </w:tc>
        <w:tc>
          <w:tcPr>
            <w:tcW w:w="1276" w:type="dxa"/>
            <w:shd w:val="clear" w:color="auto" w:fill="FFFFFF"/>
          </w:tcPr>
          <w:p w14:paraId="6494A2BD" w14:textId="77777777" w:rsidR="001743E4" w:rsidRPr="00BD1EDD" w:rsidRDefault="008E0FBA" w:rsidP="00C626E4">
            <w:pPr>
              <w:pStyle w:val="CETBodytext"/>
              <w:jc w:val="left"/>
              <w:rPr>
                <w:szCs w:val="18"/>
              </w:rPr>
            </w:pPr>
            <w:r>
              <w:rPr>
                <w:szCs w:val="18"/>
              </w:rPr>
              <w:t>-</w:t>
            </w:r>
          </w:p>
        </w:tc>
        <w:tc>
          <w:tcPr>
            <w:tcW w:w="1276" w:type="dxa"/>
            <w:shd w:val="clear" w:color="auto" w:fill="FFFFFF"/>
          </w:tcPr>
          <w:p w14:paraId="35341543" w14:textId="77777777" w:rsidR="001743E4" w:rsidRPr="00BD1EDD" w:rsidRDefault="008E0FBA" w:rsidP="00C626E4">
            <w:pPr>
              <w:pStyle w:val="CETBodytext"/>
              <w:ind w:right="-1"/>
              <w:jc w:val="left"/>
              <w:rPr>
                <w:szCs w:val="18"/>
              </w:rPr>
            </w:pPr>
            <w:r>
              <w:rPr>
                <w:szCs w:val="18"/>
              </w:rPr>
              <w:t>-</w:t>
            </w:r>
          </w:p>
        </w:tc>
        <w:tc>
          <w:tcPr>
            <w:tcW w:w="1276" w:type="dxa"/>
            <w:shd w:val="clear" w:color="auto" w:fill="FFFFFF"/>
          </w:tcPr>
          <w:p w14:paraId="2A2074B2" w14:textId="77777777" w:rsidR="001743E4" w:rsidRPr="00BD1EDD" w:rsidRDefault="008E0FBA" w:rsidP="00C626E4">
            <w:pPr>
              <w:pStyle w:val="CETBodytext"/>
              <w:ind w:right="-1"/>
              <w:jc w:val="left"/>
              <w:rPr>
                <w:szCs w:val="18"/>
              </w:rPr>
            </w:pPr>
            <w:r>
              <w:rPr>
                <w:szCs w:val="18"/>
              </w:rPr>
              <w:t>-</w:t>
            </w:r>
          </w:p>
        </w:tc>
        <w:tc>
          <w:tcPr>
            <w:tcW w:w="1418" w:type="dxa"/>
            <w:shd w:val="clear" w:color="auto" w:fill="FFFFFF"/>
          </w:tcPr>
          <w:p w14:paraId="3A29A3D6" w14:textId="77777777" w:rsidR="001743E4" w:rsidRPr="00BD1EDD" w:rsidRDefault="008E0FBA" w:rsidP="00C626E4">
            <w:pPr>
              <w:pStyle w:val="CETBodytext"/>
              <w:ind w:right="-1"/>
              <w:jc w:val="left"/>
              <w:rPr>
                <w:szCs w:val="18"/>
              </w:rPr>
            </w:pPr>
            <w:r>
              <w:rPr>
                <w:szCs w:val="18"/>
              </w:rPr>
              <w:t>-</w:t>
            </w:r>
          </w:p>
        </w:tc>
        <w:tc>
          <w:tcPr>
            <w:tcW w:w="1134" w:type="dxa"/>
            <w:shd w:val="clear" w:color="auto" w:fill="FFFFFF"/>
          </w:tcPr>
          <w:p w14:paraId="6A7F140B" w14:textId="77777777" w:rsidR="001743E4" w:rsidRPr="00BD1EDD" w:rsidRDefault="008E0FBA" w:rsidP="00C626E4">
            <w:pPr>
              <w:pStyle w:val="CETBodytext"/>
              <w:ind w:right="-1"/>
              <w:jc w:val="left"/>
              <w:rPr>
                <w:szCs w:val="18"/>
              </w:rPr>
            </w:pPr>
            <w:r>
              <w:rPr>
                <w:szCs w:val="18"/>
              </w:rPr>
              <w:t>-</w:t>
            </w:r>
          </w:p>
        </w:tc>
      </w:tr>
      <w:tr w:rsidR="008308BE" w14:paraId="281D4104" w14:textId="77777777" w:rsidTr="00B9538A">
        <w:tc>
          <w:tcPr>
            <w:tcW w:w="1134" w:type="dxa"/>
            <w:shd w:val="clear" w:color="auto" w:fill="FFFFFF"/>
          </w:tcPr>
          <w:p w14:paraId="74FD7612" w14:textId="67091FEC" w:rsidR="00C626E4" w:rsidRPr="00B57B36" w:rsidRDefault="008E0FBA" w:rsidP="00C626E4">
            <w:pPr>
              <w:pStyle w:val="CETBodytext"/>
              <w:ind w:right="-1"/>
              <w:rPr>
                <w:rFonts w:cs="Arial"/>
                <w:szCs w:val="18"/>
                <w:lang w:val="en-GB"/>
              </w:rPr>
            </w:pPr>
            <w:r w:rsidRPr="00BD189B">
              <w:t>C</w:t>
            </w:r>
            <w:r w:rsidRPr="00C626E4">
              <w:rPr>
                <w:vertAlign w:val="subscript"/>
              </w:rPr>
              <w:t>0</w:t>
            </w:r>
            <w:r w:rsidRPr="00BD189B">
              <w:t xml:space="preserve"> (</w:t>
            </w:r>
            <w:r w:rsidR="00CD70A5" w:rsidRPr="004A4687">
              <w:t>μg/m</w:t>
            </w:r>
            <w:r w:rsidR="00CD70A5" w:rsidRPr="00BD1EDD">
              <w:rPr>
                <w:vertAlign w:val="superscript"/>
              </w:rPr>
              <w:t>3</w:t>
            </w:r>
            <w:r w:rsidRPr="00BD189B">
              <w:t>)</w:t>
            </w:r>
          </w:p>
        </w:tc>
        <w:tc>
          <w:tcPr>
            <w:tcW w:w="1275" w:type="dxa"/>
            <w:shd w:val="clear" w:color="auto" w:fill="FFFFFF"/>
          </w:tcPr>
          <w:p w14:paraId="3AA7892D" w14:textId="77777777" w:rsidR="00C626E4" w:rsidRPr="00B57B36" w:rsidRDefault="008E0FBA" w:rsidP="00C626E4">
            <w:pPr>
              <w:pStyle w:val="CETBodytext"/>
              <w:ind w:right="-1"/>
              <w:rPr>
                <w:rFonts w:cs="Arial"/>
                <w:szCs w:val="18"/>
                <w:lang w:val="en-GB"/>
              </w:rPr>
            </w:pPr>
            <w:r w:rsidRPr="00BD189B">
              <w:t>2471.52</w:t>
            </w:r>
          </w:p>
        </w:tc>
        <w:tc>
          <w:tcPr>
            <w:tcW w:w="1276" w:type="dxa"/>
            <w:shd w:val="clear" w:color="auto" w:fill="FFFFFF"/>
          </w:tcPr>
          <w:p w14:paraId="484647E8" w14:textId="77777777" w:rsidR="00C626E4" w:rsidRPr="00B57B36" w:rsidRDefault="008E0FBA" w:rsidP="00C626E4">
            <w:pPr>
              <w:pStyle w:val="CETBodytext"/>
              <w:ind w:right="-1"/>
              <w:rPr>
                <w:rFonts w:cs="Arial"/>
                <w:szCs w:val="18"/>
                <w:lang w:val="en-GB"/>
              </w:rPr>
            </w:pPr>
            <w:r w:rsidRPr="00BD189B">
              <w:t>2471.52</w:t>
            </w:r>
          </w:p>
        </w:tc>
        <w:tc>
          <w:tcPr>
            <w:tcW w:w="1276" w:type="dxa"/>
            <w:shd w:val="clear" w:color="auto" w:fill="FFFFFF"/>
          </w:tcPr>
          <w:p w14:paraId="4B4170D6" w14:textId="77777777" w:rsidR="00C626E4" w:rsidRPr="00B57B36" w:rsidRDefault="008E0FBA" w:rsidP="00C626E4">
            <w:pPr>
              <w:pStyle w:val="CETBodytext"/>
              <w:ind w:right="-1"/>
              <w:rPr>
                <w:rFonts w:cs="Arial"/>
                <w:szCs w:val="18"/>
                <w:lang w:val="en-GB"/>
              </w:rPr>
            </w:pPr>
            <w:r w:rsidRPr="00BD189B">
              <w:t>23066.47</w:t>
            </w:r>
          </w:p>
        </w:tc>
        <w:tc>
          <w:tcPr>
            <w:tcW w:w="1276" w:type="dxa"/>
            <w:shd w:val="clear" w:color="auto" w:fill="FFFFFF"/>
          </w:tcPr>
          <w:p w14:paraId="2892AE9D" w14:textId="77777777" w:rsidR="00C626E4" w:rsidRPr="00B57B36" w:rsidRDefault="008E0FBA" w:rsidP="00C626E4">
            <w:pPr>
              <w:pStyle w:val="CETBodytext"/>
              <w:ind w:right="-1"/>
              <w:rPr>
                <w:rFonts w:cs="Arial"/>
                <w:szCs w:val="18"/>
                <w:lang w:val="en-GB"/>
              </w:rPr>
            </w:pPr>
            <w:r w:rsidRPr="00BD189B">
              <w:t>20638.42</w:t>
            </w:r>
          </w:p>
        </w:tc>
        <w:tc>
          <w:tcPr>
            <w:tcW w:w="1418" w:type="dxa"/>
            <w:shd w:val="clear" w:color="auto" w:fill="FFFFFF"/>
          </w:tcPr>
          <w:p w14:paraId="1E4193F4" w14:textId="77777777" w:rsidR="00C626E4" w:rsidRPr="00B57B36" w:rsidRDefault="008E0FBA" w:rsidP="00C626E4">
            <w:pPr>
              <w:pStyle w:val="CETBodytext"/>
              <w:ind w:right="-1"/>
              <w:rPr>
                <w:rFonts w:cs="Arial"/>
                <w:szCs w:val="18"/>
                <w:lang w:val="en-GB"/>
              </w:rPr>
            </w:pPr>
            <w:r w:rsidRPr="00BD189B">
              <w:t>17254.04</w:t>
            </w:r>
          </w:p>
        </w:tc>
        <w:tc>
          <w:tcPr>
            <w:tcW w:w="1134" w:type="dxa"/>
            <w:shd w:val="clear" w:color="auto" w:fill="FFFFFF"/>
          </w:tcPr>
          <w:p w14:paraId="54D5C617" w14:textId="77777777" w:rsidR="00C626E4" w:rsidRPr="00B57B36" w:rsidRDefault="008E0FBA" w:rsidP="00C626E4">
            <w:pPr>
              <w:pStyle w:val="CETBodytext"/>
              <w:ind w:right="-1"/>
              <w:rPr>
                <w:rFonts w:cs="Arial"/>
                <w:szCs w:val="18"/>
                <w:lang w:val="en-GB"/>
              </w:rPr>
            </w:pPr>
            <w:r w:rsidRPr="00BD189B">
              <w:t>24144.27</w:t>
            </w:r>
          </w:p>
        </w:tc>
      </w:tr>
      <w:tr w:rsidR="008308BE" w14:paraId="3FDC3C71" w14:textId="77777777" w:rsidTr="00B9538A">
        <w:tc>
          <w:tcPr>
            <w:tcW w:w="1134" w:type="dxa"/>
            <w:shd w:val="clear" w:color="auto" w:fill="FFFFFF"/>
          </w:tcPr>
          <w:p w14:paraId="0553F612" w14:textId="3FC8877B" w:rsidR="00C626E4" w:rsidRPr="00B57B36" w:rsidRDefault="008E0FBA" w:rsidP="00C626E4">
            <w:pPr>
              <w:pStyle w:val="CETBodytext"/>
              <w:ind w:right="-1"/>
              <w:rPr>
                <w:rFonts w:cs="Arial"/>
                <w:szCs w:val="18"/>
                <w:lang w:val="en-GB"/>
              </w:rPr>
            </w:pPr>
            <w:r w:rsidRPr="00BD189B">
              <w:t>C</w:t>
            </w:r>
            <w:r w:rsidRPr="00C626E4">
              <w:rPr>
                <w:vertAlign w:val="subscript"/>
              </w:rPr>
              <w:t>f</w:t>
            </w:r>
            <w:r w:rsidRPr="00BD189B">
              <w:t xml:space="preserve"> (</w:t>
            </w:r>
            <w:r w:rsidR="00CD70A5" w:rsidRPr="004A4687">
              <w:t>μg/m</w:t>
            </w:r>
            <w:r w:rsidR="00CD70A5" w:rsidRPr="00BD1EDD">
              <w:rPr>
                <w:vertAlign w:val="superscript"/>
              </w:rPr>
              <w:t>3</w:t>
            </w:r>
            <w:r w:rsidRPr="00BD189B">
              <w:t>)</w:t>
            </w:r>
          </w:p>
        </w:tc>
        <w:tc>
          <w:tcPr>
            <w:tcW w:w="1275" w:type="dxa"/>
            <w:shd w:val="clear" w:color="auto" w:fill="FFFFFF"/>
          </w:tcPr>
          <w:p w14:paraId="0113CC30" w14:textId="77777777" w:rsidR="00C626E4" w:rsidRPr="00B57B36" w:rsidRDefault="008E0FBA" w:rsidP="00C626E4">
            <w:pPr>
              <w:pStyle w:val="CETBodytext"/>
              <w:ind w:right="-1"/>
              <w:rPr>
                <w:rFonts w:cs="Arial"/>
                <w:szCs w:val="18"/>
                <w:lang w:val="en-GB"/>
              </w:rPr>
            </w:pPr>
            <w:r w:rsidRPr="00BD189B">
              <w:t>346.01</w:t>
            </w:r>
          </w:p>
        </w:tc>
        <w:tc>
          <w:tcPr>
            <w:tcW w:w="1276" w:type="dxa"/>
            <w:shd w:val="clear" w:color="auto" w:fill="FFFFFF"/>
          </w:tcPr>
          <w:p w14:paraId="6F8CF107" w14:textId="77777777" w:rsidR="00C626E4" w:rsidRPr="00B57B36" w:rsidRDefault="008E0FBA" w:rsidP="00C626E4">
            <w:pPr>
              <w:pStyle w:val="CETBodytext"/>
              <w:ind w:right="-1"/>
              <w:rPr>
                <w:rFonts w:cs="Arial"/>
                <w:szCs w:val="18"/>
                <w:lang w:val="en-GB"/>
              </w:rPr>
            </w:pPr>
            <w:r w:rsidRPr="00BD189B">
              <w:t>271.87</w:t>
            </w:r>
          </w:p>
        </w:tc>
        <w:tc>
          <w:tcPr>
            <w:tcW w:w="1276" w:type="dxa"/>
            <w:shd w:val="clear" w:color="auto" w:fill="FFFFFF"/>
          </w:tcPr>
          <w:p w14:paraId="0D077E1A" w14:textId="77777777" w:rsidR="00C626E4" w:rsidRPr="00B57B36" w:rsidRDefault="008E0FBA" w:rsidP="00C626E4">
            <w:pPr>
              <w:pStyle w:val="CETBodytext"/>
              <w:ind w:right="-1"/>
              <w:rPr>
                <w:rFonts w:cs="Arial"/>
                <w:szCs w:val="18"/>
                <w:lang w:val="en-GB"/>
              </w:rPr>
            </w:pPr>
            <w:r w:rsidRPr="00BD189B">
              <w:t>4856.1</w:t>
            </w:r>
          </w:p>
        </w:tc>
        <w:tc>
          <w:tcPr>
            <w:tcW w:w="1276" w:type="dxa"/>
            <w:shd w:val="clear" w:color="auto" w:fill="FFFFFF"/>
          </w:tcPr>
          <w:p w14:paraId="737D6151" w14:textId="77777777" w:rsidR="00C626E4" w:rsidRPr="00B57B36" w:rsidRDefault="008E0FBA" w:rsidP="00C626E4">
            <w:pPr>
              <w:pStyle w:val="CETBodytext"/>
              <w:ind w:right="-1"/>
              <w:rPr>
                <w:rFonts w:cs="Arial"/>
                <w:szCs w:val="18"/>
                <w:lang w:val="en-GB"/>
              </w:rPr>
            </w:pPr>
            <w:r w:rsidRPr="00BD189B">
              <w:t>2185.24</w:t>
            </w:r>
          </w:p>
        </w:tc>
        <w:tc>
          <w:tcPr>
            <w:tcW w:w="1418" w:type="dxa"/>
            <w:shd w:val="clear" w:color="auto" w:fill="FFFFFF"/>
          </w:tcPr>
          <w:p w14:paraId="2C0B5145" w14:textId="77777777" w:rsidR="00C626E4" w:rsidRPr="00B57B36" w:rsidRDefault="008E0FBA" w:rsidP="00C626E4">
            <w:pPr>
              <w:pStyle w:val="CETBodytext"/>
              <w:ind w:right="-1"/>
              <w:rPr>
                <w:rFonts w:cs="Arial"/>
                <w:szCs w:val="18"/>
                <w:lang w:val="en-GB"/>
              </w:rPr>
            </w:pPr>
            <w:r w:rsidRPr="00BD189B">
              <w:t>2464.86</w:t>
            </w:r>
          </w:p>
        </w:tc>
        <w:tc>
          <w:tcPr>
            <w:tcW w:w="1134" w:type="dxa"/>
            <w:shd w:val="clear" w:color="auto" w:fill="FFFFFF"/>
          </w:tcPr>
          <w:p w14:paraId="49398CD2" w14:textId="77777777" w:rsidR="00C626E4" w:rsidRPr="00B57B36" w:rsidRDefault="008E0FBA" w:rsidP="00C626E4">
            <w:pPr>
              <w:pStyle w:val="CETBodytext"/>
              <w:ind w:right="-1"/>
              <w:rPr>
                <w:rFonts w:cs="Arial"/>
                <w:szCs w:val="18"/>
                <w:lang w:val="en-GB"/>
              </w:rPr>
            </w:pPr>
            <w:r w:rsidRPr="00BD189B">
              <w:t>7243.28</w:t>
            </w:r>
          </w:p>
        </w:tc>
      </w:tr>
      <w:tr w:rsidR="008308BE" w14:paraId="14381291" w14:textId="77777777" w:rsidTr="00B9538A">
        <w:tc>
          <w:tcPr>
            <w:tcW w:w="1134" w:type="dxa"/>
            <w:shd w:val="clear" w:color="auto" w:fill="FFFFFF"/>
          </w:tcPr>
          <w:p w14:paraId="7F0780F5" w14:textId="77777777" w:rsidR="00C626E4" w:rsidRPr="00B57B36" w:rsidRDefault="008E0FBA" w:rsidP="00C626E4">
            <w:pPr>
              <w:pStyle w:val="CETBodytext"/>
              <w:ind w:right="-1"/>
              <w:rPr>
                <w:rFonts w:cs="Arial"/>
                <w:szCs w:val="18"/>
                <w:lang w:val="en-GB"/>
              </w:rPr>
            </w:pPr>
            <w:r w:rsidRPr="00BD189B">
              <w:t>t (h)</w:t>
            </w:r>
          </w:p>
        </w:tc>
        <w:tc>
          <w:tcPr>
            <w:tcW w:w="1275" w:type="dxa"/>
            <w:shd w:val="clear" w:color="auto" w:fill="FFFFFF"/>
          </w:tcPr>
          <w:p w14:paraId="5DEB22E6" w14:textId="77777777" w:rsidR="00C626E4" w:rsidRPr="00B57B36" w:rsidRDefault="008E0FBA" w:rsidP="00C626E4">
            <w:pPr>
              <w:pStyle w:val="CETBodytext"/>
              <w:ind w:right="-1"/>
              <w:rPr>
                <w:rFonts w:cs="Arial"/>
                <w:szCs w:val="18"/>
                <w:lang w:val="en-GB"/>
              </w:rPr>
            </w:pPr>
            <w:r w:rsidRPr="00BD189B">
              <w:t>5</w:t>
            </w:r>
          </w:p>
        </w:tc>
        <w:tc>
          <w:tcPr>
            <w:tcW w:w="1276" w:type="dxa"/>
            <w:shd w:val="clear" w:color="auto" w:fill="FFFFFF"/>
          </w:tcPr>
          <w:p w14:paraId="20A6C0FA" w14:textId="77777777" w:rsidR="00C626E4" w:rsidRPr="00B57B36" w:rsidRDefault="008E0FBA" w:rsidP="00C626E4">
            <w:pPr>
              <w:pStyle w:val="CETBodytext"/>
              <w:ind w:right="-1"/>
              <w:rPr>
                <w:rFonts w:cs="Arial"/>
                <w:szCs w:val="18"/>
                <w:lang w:val="en-GB"/>
              </w:rPr>
            </w:pPr>
            <w:r w:rsidRPr="00BD189B">
              <w:t>5</w:t>
            </w:r>
          </w:p>
        </w:tc>
        <w:tc>
          <w:tcPr>
            <w:tcW w:w="1276" w:type="dxa"/>
            <w:shd w:val="clear" w:color="auto" w:fill="FFFFFF"/>
          </w:tcPr>
          <w:p w14:paraId="3845EE1E" w14:textId="77777777" w:rsidR="00C626E4" w:rsidRPr="00B57B36" w:rsidRDefault="008E0FBA" w:rsidP="00C626E4">
            <w:pPr>
              <w:pStyle w:val="CETBodytext"/>
              <w:ind w:right="-1"/>
              <w:rPr>
                <w:rFonts w:cs="Arial"/>
                <w:szCs w:val="18"/>
                <w:lang w:val="en-GB"/>
              </w:rPr>
            </w:pPr>
            <w:r w:rsidRPr="00BD189B">
              <w:t>24</w:t>
            </w:r>
          </w:p>
        </w:tc>
        <w:tc>
          <w:tcPr>
            <w:tcW w:w="1276" w:type="dxa"/>
            <w:shd w:val="clear" w:color="auto" w:fill="FFFFFF"/>
          </w:tcPr>
          <w:p w14:paraId="6DCCD0AF" w14:textId="77777777" w:rsidR="00C626E4" w:rsidRPr="00B57B36" w:rsidRDefault="008E0FBA" w:rsidP="00C626E4">
            <w:pPr>
              <w:pStyle w:val="CETBodytext"/>
              <w:ind w:right="-1"/>
              <w:rPr>
                <w:rFonts w:cs="Arial"/>
                <w:szCs w:val="18"/>
                <w:lang w:val="en-GB"/>
              </w:rPr>
            </w:pPr>
            <w:r w:rsidRPr="00BD189B">
              <w:t>24</w:t>
            </w:r>
          </w:p>
        </w:tc>
        <w:tc>
          <w:tcPr>
            <w:tcW w:w="1418" w:type="dxa"/>
            <w:shd w:val="clear" w:color="auto" w:fill="FFFFFF"/>
          </w:tcPr>
          <w:p w14:paraId="656EB6F8" w14:textId="77777777" w:rsidR="00C626E4" w:rsidRPr="00B57B36" w:rsidRDefault="008E0FBA" w:rsidP="00C626E4">
            <w:pPr>
              <w:pStyle w:val="CETBodytext"/>
              <w:ind w:right="-1"/>
              <w:rPr>
                <w:rFonts w:cs="Arial"/>
                <w:szCs w:val="18"/>
                <w:lang w:val="en-GB"/>
              </w:rPr>
            </w:pPr>
            <w:r w:rsidRPr="00BD189B">
              <w:t>6</w:t>
            </w:r>
          </w:p>
        </w:tc>
        <w:tc>
          <w:tcPr>
            <w:tcW w:w="1134" w:type="dxa"/>
            <w:shd w:val="clear" w:color="auto" w:fill="FFFFFF"/>
          </w:tcPr>
          <w:p w14:paraId="636E296C" w14:textId="77777777" w:rsidR="00C626E4" w:rsidRPr="00B57B36" w:rsidRDefault="008E0FBA" w:rsidP="00C626E4">
            <w:pPr>
              <w:pStyle w:val="CETBodytext"/>
              <w:ind w:right="-1"/>
              <w:rPr>
                <w:rFonts w:cs="Arial"/>
                <w:szCs w:val="18"/>
                <w:lang w:val="en-GB"/>
              </w:rPr>
            </w:pPr>
            <w:r w:rsidRPr="00BD189B">
              <w:t>24</w:t>
            </w:r>
          </w:p>
        </w:tc>
      </w:tr>
      <w:bookmarkEnd w:id="1"/>
      <w:tr w:rsidR="008308BE" w14:paraId="406BADEB" w14:textId="77777777" w:rsidTr="00B9538A">
        <w:tc>
          <w:tcPr>
            <w:tcW w:w="1134" w:type="dxa"/>
            <w:shd w:val="clear" w:color="auto" w:fill="FFFFFF"/>
          </w:tcPr>
          <w:p w14:paraId="462D0198" w14:textId="5F5911C9" w:rsidR="00C626E4" w:rsidRPr="00BD189B" w:rsidRDefault="008E0FBA" w:rsidP="00C626E4">
            <w:pPr>
              <w:pStyle w:val="CETBodytext"/>
              <w:ind w:right="-1"/>
            </w:pPr>
            <w:r w:rsidRPr="004A4687">
              <w:t>A (m</w:t>
            </w:r>
            <w:r w:rsidRPr="00BD1EDD">
              <w:rPr>
                <w:vertAlign w:val="superscript"/>
              </w:rPr>
              <w:t>2</w:t>
            </w:r>
            <w:r w:rsidRPr="004A4687">
              <w:t>)</w:t>
            </w:r>
          </w:p>
        </w:tc>
        <w:tc>
          <w:tcPr>
            <w:tcW w:w="1275" w:type="dxa"/>
            <w:shd w:val="clear" w:color="auto" w:fill="FFFFFF"/>
          </w:tcPr>
          <w:p w14:paraId="47A2F18B" w14:textId="77777777" w:rsidR="00C626E4" w:rsidRPr="00BD189B" w:rsidRDefault="008E0FBA" w:rsidP="00C626E4">
            <w:pPr>
              <w:pStyle w:val="CETBodytext"/>
              <w:ind w:right="-1"/>
            </w:pPr>
            <w:r w:rsidRPr="004A4687">
              <w:t>0.35</w:t>
            </w:r>
          </w:p>
        </w:tc>
        <w:tc>
          <w:tcPr>
            <w:tcW w:w="1276" w:type="dxa"/>
            <w:shd w:val="clear" w:color="auto" w:fill="FFFFFF"/>
          </w:tcPr>
          <w:p w14:paraId="51194CB8" w14:textId="77777777" w:rsidR="00C626E4" w:rsidRPr="00BD189B" w:rsidRDefault="008E0FBA" w:rsidP="00C626E4">
            <w:pPr>
              <w:pStyle w:val="CETBodytext"/>
              <w:ind w:right="-1"/>
            </w:pPr>
            <w:r w:rsidRPr="004A4687">
              <w:t>0.42</w:t>
            </w:r>
          </w:p>
        </w:tc>
        <w:tc>
          <w:tcPr>
            <w:tcW w:w="1276" w:type="dxa"/>
            <w:shd w:val="clear" w:color="auto" w:fill="FFFFFF"/>
          </w:tcPr>
          <w:p w14:paraId="52A105E9" w14:textId="77777777" w:rsidR="00C626E4" w:rsidRPr="00BD189B" w:rsidRDefault="008E0FBA" w:rsidP="00C626E4">
            <w:pPr>
              <w:pStyle w:val="CETBodytext"/>
              <w:ind w:right="-1"/>
            </w:pPr>
            <w:r w:rsidRPr="004A4687">
              <w:t>0.64</w:t>
            </w:r>
          </w:p>
        </w:tc>
        <w:tc>
          <w:tcPr>
            <w:tcW w:w="1276" w:type="dxa"/>
            <w:shd w:val="clear" w:color="auto" w:fill="FFFFFF"/>
          </w:tcPr>
          <w:p w14:paraId="066C9809" w14:textId="77777777" w:rsidR="00C626E4" w:rsidRPr="00BD189B" w:rsidRDefault="008E0FBA" w:rsidP="00C626E4">
            <w:pPr>
              <w:pStyle w:val="CETBodytext"/>
              <w:ind w:right="-1"/>
            </w:pPr>
            <w:r w:rsidRPr="004A4687">
              <w:t>0.64</w:t>
            </w:r>
          </w:p>
        </w:tc>
        <w:tc>
          <w:tcPr>
            <w:tcW w:w="1418" w:type="dxa"/>
            <w:shd w:val="clear" w:color="auto" w:fill="FFFFFF"/>
          </w:tcPr>
          <w:p w14:paraId="0F114353" w14:textId="77777777" w:rsidR="00C626E4" w:rsidRPr="00BD189B" w:rsidRDefault="008E0FBA" w:rsidP="00C626E4">
            <w:pPr>
              <w:pStyle w:val="CETBodytext"/>
              <w:ind w:right="-1"/>
            </w:pPr>
            <w:r w:rsidRPr="004A4687">
              <w:t>0.71</w:t>
            </w:r>
          </w:p>
        </w:tc>
        <w:tc>
          <w:tcPr>
            <w:tcW w:w="1134" w:type="dxa"/>
            <w:shd w:val="clear" w:color="auto" w:fill="FFFFFF"/>
          </w:tcPr>
          <w:p w14:paraId="24508785" w14:textId="77777777" w:rsidR="00C626E4" w:rsidRPr="00BD189B" w:rsidRDefault="008E0FBA" w:rsidP="00C626E4">
            <w:pPr>
              <w:pStyle w:val="CETBodytext"/>
              <w:ind w:right="-1"/>
            </w:pPr>
            <w:r w:rsidRPr="004A4687">
              <w:t>0.72</w:t>
            </w:r>
          </w:p>
        </w:tc>
      </w:tr>
      <w:tr w:rsidR="008308BE" w14:paraId="4ED898F3" w14:textId="77777777" w:rsidTr="00B9538A">
        <w:tc>
          <w:tcPr>
            <w:tcW w:w="1134" w:type="dxa"/>
            <w:shd w:val="clear" w:color="auto" w:fill="FFFFFF"/>
          </w:tcPr>
          <w:p w14:paraId="7DFBD779" w14:textId="77777777" w:rsidR="00C626E4" w:rsidRPr="00BD189B" w:rsidRDefault="008E0FBA" w:rsidP="00C626E4">
            <w:pPr>
              <w:pStyle w:val="CETBodytext"/>
              <w:ind w:right="-1"/>
            </w:pPr>
            <w:r w:rsidRPr="004A4687">
              <w:t>V (m</w:t>
            </w:r>
            <w:r w:rsidRPr="00BD1EDD">
              <w:rPr>
                <w:vertAlign w:val="superscript"/>
              </w:rPr>
              <w:t>3</w:t>
            </w:r>
            <w:r w:rsidRPr="004A4687">
              <w:t>)</w:t>
            </w:r>
          </w:p>
        </w:tc>
        <w:tc>
          <w:tcPr>
            <w:tcW w:w="1275" w:type="dxa"/>
            <w:shd w:val="clear" w:color="auto" w:fill="FFFFFF"/>
          </w:tcPr>
          <w:p w14:paraId="41864B9F" w14:textId="77777777" w:rsidR="00C626E4" w:rsidRPr="00BD189B" w:rsidRDefault="008E0FBA" w:rsidP="00C626E4">
            <w:pPr>
              <w:pStyle w:val="CETBodytext"/>
              <w:ind w:right="-1"/>
            </w:pPr>
            <w:r w:rsidRPr="004A4687">
              <w:t>1</w:t>
            </w:r>
          </w:p>
        </w:tc>
        <w:tc>
          <w:tcPr>
            <w:tcW w:w="1276" w:type="dxa"/>
            <w:shd w:val="clear" w:color="auto" w:fill="FFFFFF"/>
          </w:tcPr>
          <w:p w14:paraId="580FE69B" w14:textId="77777777" w:rsidR="00C626E4" w:rsidRPr="00BD189B" w:rsidRDefault="008E0FBA" w:rsidP="00C626E4">
            <w:pPr>
              <w:pStyle w:val="CETBodytext"/>
              <w:ind w:right="-1"/>
            </w:pPr>
            <w:r w:rsidRPr="004A4687">
              <w:t>1</w:t>
            </w:r>
          </w:p>
        </w:tc>
        <w:tc>
          <w:tcPr>
            <w:tcW w:w="1276" w:type="dxa"/>
            <w:shd w:val="clear" w:color="auto" w:fill="FFFFFF"/>
          </w:tcPr>
          <w:p w14:paraId="750EABF6" w14:textId="77777777" w:rsidR="00C626E4" w:rsidRPr="00BD189B" w:rsidRDefault="008E0FBA" w:rsidP="00C626E4">
            <w:pPr>
              <w:pStyle w:val="CETBodytext"/>
              <w:ind w:right="-1"/>
            </w:pPr>
            <w:r w:rsidRPr="004A4687">
              <w:t>0.39</w:t>
            </w:r>
          </w:p>
        </w:tc>
        <w:tc>
          <w:tcPr>
            <w:tcW w:w="1276" w:type="dxa"/>
            <w:shd w:val="clear" w:color="auto" w:fill="FFFFFF"/>
          </w:tcPr>
          <w:p w14:paraId="4EE7EC89" w14:textId="77777777" w:rsidR="00C626E4" w:rsidRPr="00BD189B" w:rsidRDefault="008E0FBA" w:rsidP="00C626E4">
            <w:pPr>
              <w:pStyle w:val="CETBodytext"/>
              <w:ind w:right="-1"/>
            </w:pPr>
            <w:r w:rsidRPr="004A4687">
              <w:t>0.39</w:t>
            </w:r>
          </w:p>
        </w:tc>
        <w:tc>
          <w:tcPr>
            <w:tcW w:w="1418" w:type="dxa"/>
            <w:shd w:val="clear" w:color="auto" w:fill="FFFFFF"/>
          </w:tcPr>
          <w:p w14:paraId="326A1A76" w14:textId="77777777" w:rsidR="00C626E4" w:rsidRPr="00BD189B" w:rsidRDefault="008E0FBA" w:rsidP="00C626E4">
            <w:pPr>
              <w:pStyle w:val="CETBodytext"/>
              <w:ind w:right="-1"/>
            </w:pPr>
            <w:r w:rsidRPr="004A4687">
              <w:t>0.4</w:t>
            </w:r>
          </w:p>
        </w:tc>
        <w:tc>
          <w:tcPr>
            <w:tcW w:w="1134" w:type="dxa"/>
            <w:shd w:val="clear" w:color="auto" w:fill="FFFFFF"/>
          </w:tcPr>
          <w:p w14:paraId="2B8600C7" w14:textId="77777777" w:rsidR="00C626E4" w:rsidRPr="00BD189B" w:rsidRDefault="008E0FBA" w:rsidP="00C626E4">
            <w:pPr>
              <w:pStyle w:val="CETBodytext"/>
              <w:ind w:right="-1"/>
            </w:pPr>
            <w:r w:rsidRPr="004A4687">
              <w:t>0.88</w:t>
            </w:r>
          </w:p>
        </w:tc>
      </w:tr>
      <w:tr w:rsidR="008308BE" w14:paraId="6E77E98F" w14:textId="77777777" w:rsidTr="00B9538A">
        <w:tc>
          <w:tcPr>
            <w:tcW w:w="1134" w:type="dxa"/>
            <w:shd w:val="clear" w:color="auto" w:fill="FFFFFF"/>
          </w:tcPr>
          <w:p w14:paraId="66708721" w14:textId="77777777" w:rsidR="00C626E4" w:rsidRPr="00BD189B" w:rsidRDefault="008E0FBA" w:rsidP="00C626E4">
            <w:pPr>
              <w:pStyle w:val="CETBodytext"/>
              <w:ind w:right="-1"/>
            </w:pPr>
            <w:r w:rsidRPr="004A4687">
              <w:t>k</w:t>
            </w:r>
            <w:r w:rsidRPr="00C626E4">
              <w:rPr>
                <w:vertAlign w:val="subscript"/>
              </w:rPr>
              <w:t>1</w:t>
            </w:r>
            <w:r w:rsidRPr="004A4687">
              <w:t xml:space="preserve"> (1/h)</w:t>
            </w:r>
          </w:p>
        </w:tc>
        <w:tc>
          <w:tcPr>
            <w:tcW w:w="1275" w:type="dxa"/>
            <w:shd w:val="clear" w:color="auto" w:fill="FFFFFF"/>
          </w:tcPr>
          <w:p w14:paraId="05FCE990" w14:textId="77777777" w:rsidR="00C626E4" w:rsidRPr="00BD189B" w:rsidRDefault="008E0FBA" w:rsidP="00C626E4">
            <w:pPr>
              <w:pStyle w:val="CETBodytext"/>
              <w:ind w:right="-1"/>
            </w:pPr>
            <w:r w:rsidRPr="004A4687">
              <w:t>0.39</w:t>
            </w:r>
          </w:p>
        </w:tc>
        <w:tc>
          <w:tcPr>
            <w:tcW w:w="1276" w:type="dxa"/>
            <w:shd w:val="clear" w:color="auto" w:fill="FFFFFF"/>
          </w:tcPr>
          <w:p w14:paraId="5298F45B" w14:textId="77777777" w:rsidR="00C626E4" w:rsidRPr="00BD189B" w:rsidRDefault="008E0FBA" w:rsidP="00C626E4">
            <w:pPr>
              <w:pStyle w:val="CETBodytext"/>
              <w:ind w:right="-1"/>
            </w:pPr>
            <w:r w:rsidRPr="004A4687">
              <w:t>0.44</w:t>
            </w:r>
          </w:p>
        </w:tc>
        <w:tc>
          <w:tcPr>
            <w:tcW w:w="1276" w:type="dxa"/>
            <w:shd w:val="clear" w:color="auto" w:fill="FFFFFF"/>
          </w:tcPr>
          <w:p w14:paraId="50E325FE" w14:textId="77777777" w:rsidR="00C626E4" w:rsidRPr="00BD189B" w:rsidRDefault="008E0FBA" w:rsidP="00C626E4">
            <w:pPr>
              <w:pStyle w:val="CETBodytext"/>
              <w:ind w:right="-1"/>
            </w:pPr>
            <w:r w:rsidRPr="004A4687">
              <w:t>0.06</w:t>
            </w:r>
          </w:p>
        </w:tc>
        <w:tc>
          <w:tcPr>
            <w:tcW w:w="1276" w:type="dxa"/>
            <w:shd w:val="clear" w:color="auto" w:fill="FFFFFF"/>
          </w:tcPr>
          <w:p w14:paraId="3535606F" w14:textId="77777777" w:rsidR="00C626E4" w:rsidRPr="00BD189B" w:rsidRDefault="008E0FBA" w:rsidP="00C626E4">
            <w:pPr>
              <w:pStyle w:val="CETBodytext"/>
              <w:ind w:right="-1"/>
            </w:pPr>
            <w:r w:rsidRPr="004A4687">
              <w:t>0.09</w:t>
            </w:r>
          </w:p>
        </w:tc>
        <w:tc>
          <w:tcPr>
            <w:tcW w:w="1418" w:type="dxa"/>
            <w:shd w:val="clear" w:color="auto" w:fill="FFFFFF"/>
          </w:tcPr>
          <w:p w14:paraId="5BC15006" w14:textId="77777777" w:rsidR="00C626E4" w:rsidRPr="00BD189B" w:rsidRDefault="008E0FBA" w:rsidP="00C626E4">
            <w:pPr>
              <w:pStyle w:val="CETBodytext"/>
              <w:ind w:right="-1"/>
            </w:pPr>
            <w:r w:rsidRPr="004A4687">
              <w:t>0.32</w:t>
            </w:r>
          </w:p>
        </w:tc>
        <w:tc>
          <w:tcPr>
            <w:tcW w:w="1134" w:type="dxa"/>
            <w:shd w:val="clear" w:color="auto" w:fill="FFFFFF"/>
          </w:tcPr>
          <w:p w14:paraId="2227DDE2" w14:textId="77777777" w:rsidR="00C626E4" w:rsidRPr="00BD189B" w:rsidRDefault="008E0FBA" w:rsidP="00C626E4">
            <w:pPr>
              <w:pStyle w:val="CETBodytext"/>
              <w:ind w:right="-1"/>
            </w:pPr>
            <w:r w:rsidRPr="004A4687">
              <w:t>0.05</w:t>
            </w:r>
          </w:p>
        </w:tc>
      </w:tr>
      <w:tr w:rsidR="008308BE" w14:paraId="70092360" w14:textId="77777777" w:rsidTr="00B9538A">
        <w:tc>
          <w:tcPr>
            <w:tcW w:w="1134" w:type="dxa"/>
            <w:shd w:val="clear" w:color="auto" w:fill="FFFFFF"/>
          </w:tcPr>
          <w:p w14:paraId="09481793" w14:textId="77777777" w:rsidR="00C626E4" w:rsidRPr="00BD189B" w:rsidRDefault="008E0FBA" w:rsidP="00C626E4">
            <w:pPr>
              <w:pStyle w:val="CETBodytext"/>
              <w:ind w:right="-1"/>
            </w:pPr>
            <w:r w:rsidRPr="004A4687">
              <w:t>k</w:t>
            </w:r>
            <w:r w:rsidRPr="00BD1EDD">
              <w:rPr>
                <w:vertAlign w:val="subscript"/>
              </w:rPr>
              <w:t>0</w:t>
            </w:r>
            <w:r w:rsidRPr="004A4687">
              <w:t xml:space="preserve"> (μg/m</w:t>
            </w:r>
            <w:r w:rsidRPr="00BD1EDD">
              <w:rPr>
                <w:vertAlign w:val="superscript"/>
              </w:rPr>
              <w:t>3</w:t>
            </w:r>
            <w:r w:rsidRPr="004A4687">
              <w:t>h)</w:t>
            </w:r>
          </w:p>
        </w:tc>
        <w:tc>
          <w:tcPr>
            <w:tcW w:w="1275" w:type="dxa"/>
            <w:shd w:val="clear" w:color="auto" w:fill="FFFFFF"/>
          </w:tcPr>
          <w:p w14:paraId="2DBD295C" w14:textId="77777777" w:rsidR="00C626E4" w:rsidRPr="00BD189B" w:rsidRDefault="008E0FBA" w:rsidP="00C626E4">
            <w:pPr>
              <w:pStyle w:val="CETBodytext"/>
              <w:ind w:right="-1"/>
            </w:pPr>
            <w:r w:rsidRPr="004A4687">
              <w:t>425.1</w:t>
            </w:r>
          </w:p>
        </w:tc>
        <w:tc>
          <w:tcPr>
            <w:tcW w:w="1276" w:type="dxa"/>
            <w:shd w:val="clear" w:color="auto" w:fill="FFFFFF"/>
          </w:tcPr>
          <w:p w14:paraId="4CE888C9" w14:textId="77777777" w:rsidR="00C626E4" w:rsidRPr="00BD189B" w:rsidRDefault="008E0FBA" w:rsidP="00C626E4">
            <w:pPr>
              <w:pStyle w:val="CETBodytext"/>
              <w:ind w:right="-1"/>
            </w:pPr>
            <w:r w:rsidRPr="004A4687">
              <w:t>439.93</w:t>
            </w:r>
          </w:p>
        </w:tc>
        <w:tc>
          <w:tcPr>
            <w:tcW w:w="1276" w:type="dxa"/>
            <w:shd w:val="clear" w:color="auto" w:fill="FFFFFF"/>
          </w:tcPr>
          <w:p w14:paraId="0FD4631C" w14:textId="77777777" w:rsidR="00C626E4" w:rsidRPr="00BD189B" w:rsidRDefault="008E0FBA" w:rsidP="00C626E4">
            <w:pPr>
              <w:pStyle w:val="CETBodytext"/>
              <w:ind w:right="-1"/>
            </w:pPr>
            <w:r w:rsidRPr="004A4687">
              <w:t>758.77</w:t>
            </w:r>
          </w:p>
        </w:tc>
        <w:tc>
          <w:tcPr>
            <w:tcW w:w="1276" w:type="dxa"/>
            <w:shd w:val="clear" w:color="auto" w:fill="FFFFFF"/>
          </w:tcPr>
          <w:p w14:paraId="61EAE5B6" w14:textId="77777777" w:rsidR="00C626E4" w:rsidRPr="00BD189B" w:rsidRDefault="008E0FBA" w:rsidP="00C626E4">
            <w:pPr>
              <w:pStyle w:val="CETBodytext"/>
              <w:ind w:right="-1"/>
            </w:pPr>
            <w:r w:rsidRPr="004A4687">
              <w:t>768.88</w:t>
            </w:r>
          </w:p>
        </w:tc>
        <w:tc>
          <w:tcPr>
            <w:tcW w:w="1418" w:type="dxa"/>
            <w:shd w:val="clear" w:color="auto" w:fill="FFFFFF"/>
          </w:tcPr>
          <w:p w14:paraId="0B7B6E55" w14:textId="77777777" w:rsidR="00C626E4" w:rsidRPr="00BD189B" w:rsidRDefault="008E0FBA" w:rsidP="00C626E4">
            <w:pPr>
              <w:pStyle w:val="CETBodytext"/>
              <w:ind w:right="-1"/>
            </w:pPr>
            <w:r w:rsidRPr="004A4687">
              <w:t>2464.86</w:t>
            </w:r>
          </w:p>
        </w:tc>
        <w:tc>
          <w:tcPr>
            <w:tcW w:w="1134" w:type="dxa"/>
            <w:shd w:val="clear" w:color="auto" w:fill="FFFFFF"/>
          </w:tcPr>
          <w:p w14:paraId="194465FC" w14:textId="77777777" w:rsidR="00C626E4" w:rsidRPr="00BD189B" w:rsidRDefault="008E0FBA" w:rsidP="00C626E4">
            <w:pPr>
              <w:pStyle w:val="CETBodytext"/>
              <w:ind w:right="-1"/>
            </w:pPr>
            <w:r w:rsidRPr="004A4687">
              <w:t>704.21</w:t>
            </w:r>
          </w:p>
        </w:tc>
      </w:tr>
      <w:tr w:rsidR="008308BE" w14:paraId="5B286432" w14:textId="77777777" w:rsidTr="00B9538A">
        <w:tc>
          <w:tcPr>
            <w:tcW w:w="1134" w:type="dxa"/>
            <w:shd w:val="clear" w:color="auto" w:fill="FFFFFF"/>
          </w:tcPr>
          <w:p w14:paraId="299F07DF" w14:textId="77777777" w:rsidR="00C626E4" w:rsidRPr="004A4687" w:rsidRDefault="008E0FBA" w:rsidP="00C626E4">
            <w:pPr>
              <w:pStyle w:val="CETBodytext"/>
              <w:ind w:right="-1"/>
            </w:pPr>
            <w:r w:rsidRPr="00135FA4">
              <w:t>η</w:t>
            </w:r>
            <w:r w:rsidRPr="00BD1EDD">
              <w:rPr>
                <w:vertAlign w:val="subscript"/>
              </w:rPr>
              <w:t>1</w:t>
            </w:r>
            <w:r w:rsidRPr="00135FA4">
              <w:t xml:space="preserve"> (m/h)</w:t>
            </w:r>
          </w:p>
        </w:tc>
        <w:tc>
          <w:tcPr>
            <w:tcW w:w="1275" w:type="dxa"/>
            <w:shd w:val="clear" w:color="auto" w:fill="FFFFFF"/>
          </w:tcPr>
          <w:p w14:paraId="54FDC25D" w14:textId="77777777" w:rsidR="00C626E4" w:rsidRPr="004A4687" w:rsidRDefault="008E0FBA" w:rsidP="00C626E4">
            <w:pPr>
              <w:pStyle w:val="CETBodytext"/>
              <w:ind w:right="-1"/>
            </w:pPr>
            <w:r w:rsidRPr="00135FA4">
              <w:t>1.13</w:t>
            </w:r>
          </w:p>
        </w:tc>
        <w:tc>
          <w:tcPr>
            <w:tcW w:w="1276" w:type="dxa"/>
            <w:shd w:val="clear" w:color="auto" w:fill="FFFFFF"/>
          </w:tcPr>
          <w:p w14:paraId="26164726" w14:textId="77777777" w:rsidR="00C626E4" w:rsidRPr="004A4687" w:rsidRDefault="008E0FBA" w:rsidP="00C626E4">
            <w:pPr>
              <w:pStyle w:val="CETBodytext"/>
              <w:ind w:right="-1"/>
            </w:pPr>
            <w:r w:rsidRPr="00135FA4">
              <w:t>1.06</w:t>
            </w:r>
          </w:p>
        </w:tc>
        <w:tc>
          <w:tcPr>
            <w:tcW w:w="1276" w:type="dxa"/>
            <w:shd w:val="clear" w:color="auto" w:fill="FFFFFF"/>
          </w:tcPr>
          <w:p w14:paraId="3FB43CB8" w14:textId="77777777" w:rsidR="00C626E4" w:rsidRPr="004A4687" w:rsidRDefault="008E0FBA" w:rsidP="00C626E4">
            <w:pPr>
              <w:pStyle w:val="CETBodytext"/>
              <w:ind w:right="-1"/>
            </w:pPr>
            <w:r w:rsidRPr="00135FA4">
              <w:t>0.04</w:t>
            </w:r>
          </w:p>
        </w:tc>
        <w:tc>
          <w:tcPr>
            <w:tcW w:w="1276" w:type="dxa"/>
            <w:shd w:val="clear" w:color="auto" w:fill="FFFFFF"/>
          </w:tcPr>
          <w:p w14:paraId="008A365D" w14:textId="77777777" w:rsidR="00C626E4" w:rsidRPr="004A4687" w:rsidRDefault="008E0FBA" w:rsidP="00C626E4">
            <w:pPr>
              <w:pStyle w:val="CETBodytext"/>
              <w:ind w:right="-1"/>
            </w:pPr>
            <w:r w:rsidRPr="00135FA4">
              <w:t>0.06</w:t>
            </w:r>
          </w:p>
        </w:tc>
        <w:tc>
          <w:tcPr>
            <w:tcW w:w="1418" w:type="dxa"/>
            <w:shd w:val="clear" w:color="auto" w:fill="FFFFFF"/>
          </w:tcPr>
          <w:p w14:paraId="51544741" w14:textId="77777777" w:rsidR="00C626E4" w:rsidRPr="004A4687" w:rsidRDefault="008E0FBA" w:rsidP="00C626E4">
            <w:pPr>
              <w:pStyle w:val="CETBodytext"/>
              <w:ind w:right="-1"/>
            </w:pPr>
            <w:r w:rsidRPr="00135FA4">
              <w:t>0.18</w:t>
            </w:r>
          </w:p>
        </w:tc>
        <w:tc>
          <w:tcPr>
            <w:tcW w:w="1134" w:type="dxa"/>
            <w:shd w:val="clear" w:color="auto" w:fill="FFFFFF"/>
          </w:tcPr>
          <w:p w14:paraId="293E6EAB" w14:textId="77777777" w:rsidR="00C626E4" w:rsidRPr="004A4687" w:rsidRDefault="008E0FBA" w:rsidP="00C626E4">
            <w:pPr>
              <w:pStyle w:val="CETBodytext"/>
              <w:ind w:right="-1"/>
            </w:pPr>
            <w:r w:rsidRPr="00135FA4">
              <w:t>0.06</w:t>
            </w:r>
          </w:p>
        </w:tc>
      </w:tr>
      <w:tr w:rsidR="008308BE" w14:paraId="306AF773" w14:textId="77777777" w:rsidTr="00B9538A">
        <w:tc>
          <w:tcPr>
            <w:tcW w:w="1134" w:type="dxa"/>
            <w:shd w:val="clear" w:color="auto" w:fill="FFFFFF"/>
          </w:tcPr>
          <w:p w14:paraId="3798B658" w14:textId="77777777" w:rsidR="00C626E4" w:rsidRPr="004A4687" w:rsidRDefault="008E0FBA" w:rsidP="00C626E4">
            <w:pPr>
              <w:pStyle w:val="CETBodytext"/>
              <w:ind w:right="-1"/>
            </w:pPr>
            <w:r w:rsidRPr="00135FA4">
              <w:t>η</w:t>
            </w:r>
            <w:r w:rsidRPr="00BD1EDD">
              <w:rPr>
                <w:vertAlign w:val="subscript"/>
              </w:rPr>
              <w:t>0</w:t>
            </w:r>
            <w:r w:rsidRPr="00135FA4">
              <w:t xml:space="preserve"> (μg/m</w:t>
            </w:r>
            <w:r w:rsidRPr="00BD1EDD">
              <w:rPr>
                <w:vertAlign w:val="superscript"/>
              </w:rPr>
              <w:t>2</w:t>
            </w:r>
            <w:r w:rsidRPr="00135FA4">
              <w:t>h)</w:t>
            </w:r>
          </w:p>
        </w:tc>
        <w:tc>
          <w:tcPr>
            <w:tcW w:w="1275" w:type="dxa"/>
            <w:shd w:val="clear" w:color="auto" w:fill="FFFFFF"/>
          </w:tcPr>
          <w:p w14:paraId="7898222F" w14:textId="77777777" w:rsidR="00C626E4" w:rsidRPr="004A4687" w:rsidRDefault="008E0FBA" w:rsidP="00C626E4">
            <w:pPr>
              <w:pStyle w:val="CETBodytext"/>
              <w:ind w:right="-1"/>
            </w:pPr>
            <w:r w:rsidRPr="00135FA4">
              <w:t>1222.71</w:t>
            </w:r>
          </w:p>
        </w:tc>
        <w:tc>
          <w:tcPr>
            <w:tcW w:w="1276" w:type="dxa"/>
            <w:shd w:val="clear" w:color="auto" w:fill="FFFFFF"/>
          </w:tcPr>
          <w:p w14:paraId="7F646B91" w14:textId="77777777" w:rsidR="00C626E4" w:rsidRPr="004A4687" w:rsidRDefault="008E0FBA" w:rsidP="00C626E4">
            <w:pPr>
              <w:pStyle w:val="CETBodytext"/>
              <w:ind w:right="-1"/>
            </w:pPr>
            <w:r w:rsidRPr="00135FA4">
              <w:t>1051.58</w:t>
            </w:r>
          </w:p>
        </w:tc>
        <w:tc>
          <w:tcPr>
            <w:tcW w:w="1276" w:type="dxa"/>
            <w:shd w:val="clear" w:color="auto" w:fill="FFFFFF"/>
          </w:tcPr>
          <w:p w14:paraId="4A7F9BAD" w14:textId="77777777" w:rsidR="00C626E4" w:rsidRPr="004A4687" w:rsidRDefault="008E0FBA" w:rsidP="00C626E4">
            <w:pPr>
              <w:pStyle w:val="CETBodytext"/>
              <w:ind w:right="-1"/>
            </w:pPr>
            <w:r w:rsidRPr="00135FA4">
              <w:t>458.34</w:t>
            </w:r>
          </w:p>
        </w:tc>
        <w:tc>
          <w:tcPr>
            <w:tcW w:w="1276" w:type="dxa"/>
            <w:shd w:val="clear" w:color="auto" w:fill="FFFFFF"/>
          </w:tcPr>
          <w:p w14:paraId="1C841B62" w14:textId="77777777" w:rsidR="00C626E4" w:rsidRPr="004A4687" w:rsidRDefault="008E0FBA" w:rsidP="00C626E4">
            <w:pPr>
              <w:pStyle w:val="CETBodytext"/>
              <w:ind w:right="-1"/>
            </w:pPr>
            <w:r w:rsidRPr="00135FA4">
              <w:t>464.31</w:t>
            </w:r>
          </w:p>
        </w:tc>
        <w:tc>
          <w:tcPr>
            <w:tcW w:w="1418" w:type="dxa"/>
            <w:shd w:val="clear" w:color="auto" w:fill="FFFFFF"/>
          </w:tcPr>
          <w:p w14:paraId="131B48C9" w14:textId="77777777" w:rsidR="00C626E4" w:rsidRPr="004A4687" w:rsidRDefault="008E0FBA" w:rsidP="00C626E4">
            <w:pPr>
              <w:pStyle w:val="CETBodytext"/>
              <w:ind w:right="-1"/>
            </w:pPr>
            <w:r w:rsidRPr="00135FA4">
              <w:t>1392.5</w:t>
            </w:r>
          </w:p>
        </w:tc>
        <w:tc>
          <w:tcPr>
            <w:tcW w:w="1134" w:type="dxa"/>
            <w:shd w:val="clear" w:color="auto" w:fill="FFFFFF"/>
          </w:tcPr>
          <w:p w14:paraId="18C3F3C1" w14:textId="77777777" w:rsidR="00C626E4" w:rsidRPr="004A4687" w:rsidRDefault="008E0FBA" w:rsidP="00C626E4">
            <w:pPr>
              <w:pStyle w:val="CETBodytext"/>
              <w:ind w:right="-1"/>
            </w:pPr>
            <w:r w:rsidRPr="00135FA4">
              <w:t>862.55</w:t>
            </w:r>
          </w:p>
        </w:tc>
      </w:tr>
      <w:tr w:rsidR="008308BE" w14:paraId="70FA29E6" w14:textId="77777777" w:rsidTr="00B9538A">
        <w:tc>
          <w:tcPr>
            <w:tcW w:w="1134" w:type="dxa"/>
            <w:shd w:val="clear" w:color="auto" w:fill="FFFFFF"/>
          </w:tcPr>
          <w:p w14:paraId="12A3C36F" w14:textId="77777777" w:rsidR="00BD1EDD" w:rsidRPr="00135FA4" w:rsidRDefault="008E0FBA" w:rsidP="00BD1EDD">
            <w:pPr>
              <w:pStyle w:val="CETBodytext"/>
              <w:ind w:right="-1"/>
            </w:pPr>
            <w:r>
              <w:t>T (C°)</w:t>
            </w:r>
          </w:p>
        </w:tc>
        <w:tc>
          <w:tcPr>
            <w:tcW w:w="1275" w:type="dxa"/>
            <w:shd w:val="clear" w:color="auto" w:fill="FFFFFF"/>
          </w:tcPr>
          <w:p w14:paraId="2F8D25D5" w14:textId="77777777" w:rsidR="00BD1EDD" w:rsidRPr="00135FA4" w:rsidRDefault="008E0FBA" w:rsidP="00BD1EDD">
            <w:pPr>
              <w:pStyle w:val="CETBodytext"/>
              <w:ind w:right="-1"/>
            </w:pPr>
            <w:r w:rsidRPr="007D6B05">
              <w:t>23 ± 2</w:t>
            </w:r>
          </w:p>
        </w:tc>
        <w:tc>
          <w:tcPr>
            <w:tcW w:w="1276" w:type="dxa"/>
            <w:shd w:val="clear" w:color="auto" w:fill="FFFFFF"/>
          </w:tcPr>
          <w:p w14:paraId="54F1322C" w14:textId="77777777" w:rsidR="00BD1EDD" w:rsidRPr="00135FA4" w:rsidRDefault="008E0FBA" w:rsidP="00BD1EDD">
            <w:pPr>
              <w:pStyle w:val="CETBodytext"/>
              <w:ind w:right="-1"/>
            </w:pPr>
            <w:r w:rsidRPr="007D6B05">
              <w:t>23 ± 2</w:t>
            </w:r>
          </w:p>
        </w:tc>
        <w:tc>
          <w:tcPr>
            <w:tcW w:w="1276" w:type="dxa"/>
            <w:shd w:val="clear" w:color="auto" w:fill="FFFFFF"/>
          </w:tcPr>
          <w:p w14:paraId="441E9B00" w14:textId="77777777" w:rsidR="00BD1EDD" w:rsidRPr="00135FA4" w:rsidRDefault="008E0FBA" w:rsidP="00BD1EDD">
            <w:pPr>
              <w:pStyle w:val="CETBodytext"/>
              <w:ind w:right="-1"/>
            </w:pPr>
            <w:r w:rsidRPr="0052612E">
              <w:t>28.3</w:t>
            </w:r>
          </w:p>
        </w:tc>
        <w:tc>
          <w:tcPr>
            <w:tcW w:w="1276" w:type="dxa"/>
            <w:shd w:val="clear" w:color="auto" w:fill="FFFFFF"/>
          </w:tcPr>
          <w:p w14:paraId="652D20BF" w14:textId="77777777" w:rsidR="00BD1EDD" w:rsidRPr="00135FA4" w:rsidRDefault="008E0FBA" w:rsidP="00BD1EDD">
            <w:pPr>
              <w:pStyle w:val="CETBodytext"/>
              <w:ind w:right="-1"/>
            </w:pPr>
            <w:r w:rsidRPr="0052612E">
              <w:t>28.3</w:t>
            </w:r>
          </w:p>
        </w:tc>
        <w:tc>
          <w:tcPr>
            <w:tcW w:w="1418" w:type="dxa"/>
            <w:shd w:val="clear" w:color="auto" w:fill="FFFFFF"/>
          </w:tcPr>
          <w:p w14:paraId="0F4E1FBF" w14:textId="77777777" w:rsidR="00BD1EDD" w:rsidRPr="00135FA4" w:rsidRDefault="008E0FBA" w:rsidP="00BD1EDD">
            <w:pPr>
              <w:pStyle w:val="CETBodytext"/>
              <w:ind w:right="-1"/>
            </w:pPr>
            <w:r w:rsidRPr="0052612E">
              <w:t>28.3</w:t>
            </w:r>
          </w:p>
        </w:tc>
        <w:tc>
          <w:tcPr>
            <w:tcW w:w="1134" w:type="dxa"/>
            <w:shd w:val="clear" w:color="auto" w:fill="FFFFFF"/>
          </w:tcPr>
          <w:p w14:paraId="4324AC7E" w14:textId="77777777" w:rsidR="00BD1EDD" w:rsidRPr="00135FA4" w:rsidRDefault="008E0FBA" w:rsidP="00BD1EDD">
            <w:pPr>
              <w:pStyle w:val="CETBodytext"/>
              <w:ind w:right="-1"/>
            </w:pPr>
            <w:r w:rsidRPr="00BD1EDD">
              <w:t>30 ± 1</w:t>
            </w:r>
          </w:p>
        </w:tc>
      </w:tr>
    </w:tbl>
    <w:p w14:paraId="48264B60" w14:textId="77777777" w:rsidR="00031EF0" w:rsidRDefault="00031EF0" w:rsidP="003E096C">
      <w:pPr>
        <w:pStyle w:val="CETBodytext"/>
        <w:rPr>
          <w:lang w:val="en-GB"/>
        </w:rPr>
      </w:pPr>
    </w:p>
    <w:p w14:paraId="00266E3B" w14:textId="37C029BE" w:rsidR="00031EF0" w:rsidRDefault="008E0FBA" w:rsidP="003E096C">
      <w:pPr>
        <w:pStyle w:val="CETBodytext"/>
        <w:rPr>
          <w:lang w:val="en-GB"/>
        </w:rPr>
      </w:pPr>
      <w:r>
        <w:rPr>
          <w:lang w:val="en-GB"/>
        </w:rPr>
        <w:t xml:space="preserve">It can be </w:t>
      </w:r>
      <w:r w:rsidR="00BA35B4">
        <w:rPr>
          <w:lang w:val="en-GB"/>
        </w:rPr>
        <w:t>seen</w:t>
      </w:r>
      <w:r>
        <w:rPr>
          <w:lang w:val="en-GB"/>
        </w:rPr>
        <w:t xml:space="preserve">, analysing the results obtained, that the removal rates per unit leaf area values can give a first indication of the different performances of the species in removing the contaminant of interest from indoor air. </w:t>
      </w:r>
      <w:r w:rsidR="00B9538A">
        <w:rPr>
          <w:lang w:val="en-GB"/>
        </w:rPr>
        <w:t xml:space="preserve">It can be moreover </w:t>
      </w:r>
      <w:r w:rsidR="00BA35B4">
        <w:rPr>
          <w:lang w:val="en-GB"/>
        </w:rPr>
        <w:t>proven</w:t>
      </w:r>
      <w:r w:rsidR="00B9538A">
        <w:rPr>
          <w:lang w:val="en-GB"/>
        </w:rPr>
        <w:t xml:space="preserve"> that</w:t>
      </w:r>
      <w:r>
        <w:rPr>
          <w:lang w:val="en-GB"/>
        </w:rPr>
        <w:t xml:space="preserve"> this ext</w:t>
      </w:r>
      <w:r w:rsidR="00BD1EDD">
        <w:rPr>
          <w:lang w:val="en-GB"/>
        </w:rPr>
        <w:t>ract</w:t>
      </w:r>
      <w:r>
        <w:rPr>
          <w:lang w:val="en-GB"/>
        </w:rPr>
        <w:t xml:space="preserve"> </w:t>
      </w:r>
      <w:r w:rsidR="00B9538A">
        <w:rPr>
          <w:lang w:val="en-GB"/>
        </w:rPr>
        <w:t>gives an idea of the differences between the experiments analysed, proving the necessity to define an appropriate approach for their evaluation</w:t>
      </w:r>
      <w:r w:rsidR="00BD1EDD">
        <w:rPr>
          <w:lang w:val="en-GB"/>
        </w:rPr>
        <w:t>.</w:t>
      </w:r>
    </w:p>
    <w:p w14:paraId="5D5F846E" w14:textId="5839A9FA" w:rsidR="00C33565" w:rsidRDefault="008E0FBA" w:rsidP="00600535">
      <w:pPr>
        <w:pStyle w:val="CETBodytext"/>
        <w:rPr>
          <w:lang w:val="en-GB"/>
        </w:rPr>
      </w:pPr>
      <w:r>
        <w:rPr>
          <w:lang w:val="en-GB"/>
        </w:rPr>
        <w:t>I</w:t>
      </w:r>
      <w:r w:rsidR="00FA6B8F">
        <w:rPr>
          <w:lang w:val="en-GB"/>
        </w:rPr>
        <w:t>n order to select the best performing species in removing indoor formaldehyde</w:t>
      </w:r>
      <w:r w:rsidR="00BE7B33">
        <w:rPr>
          <w:lang w:val="en-GB"/>
        </w:rPr>
        <w:t>, the overall abatement velocit</w:t>
      </w:r>
      <w:r w:rsidR="0046636C">
        <w:rPr>
          <w:lang w:val="en-GB"/>
        </w:rPr>
        <w:t>ies</w:t>
      </w:r>
      <w:r w:rsidR="00BE7B33">
        <w:rPr>
          <w:lang w:val="en-GB"/>
        </w:rPr>
        <w:t xml:space="preserve"> </w:t>
      </w:r>
      <w:r w:rsidR="00FA6B8F">
        <w:rPr>
          <w:lang w:val="en-GB"/>
        </w:rPr>
        <w:t>(</w:t>
      </w:r>
      <w:r w:rsidR="0046636C">
        <w:rPr>
          <w:lang w:val="en-GB"/>
        </w:rPr>
        <w:t>as defined in Eq(4)</w:t>
      </w:r>
      <w:r w:rsidR="00FA6B8F">
        <w:rPr>
          <w:lang w:val="en-GB"/>
        </w:rPr>
        <w:t>)</w:t>
      </w:r>
      <w:r w:rsidR="00BE7B33">
        <w:rPr>
          <w:lang w:val="en-GB"/>
        </w:rPr>
        <w:t xml:space="preserve"> </w:t>
      </w:r>
      <w:r w:rsidR="00FA6B8F">
        <w:rPr>
          <w:lang w:val="en-GB"/>
        </w:rPr>
        <w:t xml:space="preserve">regarding the revised studies </w:t>
      </w:r>
      <w:r w:rsidR="00BE7B33">
        <w:rPr>
          <w:lang w:val="en-GB"/>
        </w:rPr>
        <w:t xml:space="preserve">have been </w:t>
      </w:r>
      <w:r>
        <w:rPr>
          <w:lang w:val="en-GB"/>
        </w:rPr>
        <w:t>calculated for</w:t>
      </w:r>
      <w:r w:rsidR="00FA6B8F">
        <w:rPr>
          <w:lang w:val="en-GB"/>
        </w:rPr>
        <w:t xml:space="preserve"> a reasonable</w:t>
      </w:r>
      <w:r w:rsidR="00BE7B33">
        <w:rPr>
          <w:lang w:val="en-GB"/>
        </w:rPr>
        <w:t xml:space="preserve"> interval </w:t>
      </w:r>
      <w:r w:rsidR="00FA6B8F">
        <w:rPr>
          <w:lang w:val="en-GB"/>
        </w:rPr>
        <w:t xml:space="preserve">of </w:t>
      </w:r>
      <w:r w:rsidR="00BE7B33">
        <w:rPr>
          <w:lang w:val="en-GB"/>
        </w:rPr>
        <w:t>concentration</w:t>
      </w:r>
      <w:r w:rsidR="00FA6B8F">
        <w:rPr>
          <w:lang w:val="en-GB"/>
        </w:rPr>
        <w:t>s</w:t>
      </w:r>
      <w:r w:rsidR="00842EAF">
        <w:rPr>
          <w:lang w:val="en-GB"/>
        </w:rPr>
        <w:t xml:space="preserve"> using the data </w:t>
      </w:r>
      <w:r w:rsidR="00B9538A">
        <w:rPr>
          <w:lang w:val="en-GB"/>
        </w:rPr>
        <w:t>presented</w:t>
      </w:r>
      <w:r w:rsidR="00F74D65">
        <w:rPr>
          <w:lang w:val="en-GB"/>
        </w:rPr>
        <w:t xml:space="preserve"> in Table 1. The</w:t>
      </w:r>
      <w:r w:rsidR="00472A35">
        <w:rPr>
          <w:lang w:val="en-GB"/>
        </w:rPr>
        <w:t xml:space="preserve"> </w:t>
      </w:r>
      <w:r w:rsidR="00485085">
        <w:rPr>
          <w:lang w:val="en-GB"/>
        </w:rPr>
        <w:t>entire plant area and chamber volume ratio</w:t>
      </w:r>
      <w:r w:rsidR="00BA35B4">
        <w:rPr>
          <w:lang w:val="en-GB"/>
        </w:rPr>
        <w:t xml:space="preserve"> A/V (1/m)</w:t>
      </w:r>
      <w:r w:rsidR="00485085">
        <w:rPr>
          <w:lang w:val="en-GB"/>
        </w:rPr>
        <w:t xml:space="preserve"> is</w:t>
      </w:r>
      <w:r w:rsidR="00F74D65">
        <w:rPr>
          <w:lang w:val="en-GB"/>
        </w:rPr>
        <w:t xml:space="preserve"> considered </w:t>
      </w:r>
      <w:r w:rsidR="00842EAF">
        <w:rPr>
          <w:lang w:val="en-GB"/>
        </w:rPr>
        <w:t>equal to one</w:t>
      </w:r>
      <w:r>
        <w:rPr>
          <w:lang w:val="en-GB"/>
        </w:rPr>
        <w:t xml:space="preserve"> to allow an adequate comparison</w:t>
      </w:r>
      <w:r w:rsidR="00842EAF">
        <w:rPr>
          <w:lang w:val="en-GB"/>
        </w:rPr>
        <w:t xml:space="preserve">. The </w:t>
      </w:r>
      <w:r w:rsidR="00F74D65">
        <w:rPr>
          <w:lang w:val="en-GB"/>
        </w:rPr>
        <w:t>curves obtained</w:t>
      </w:r>
      <w:r w:rsidR="00842EAF">
        <w:rPr>
          <w:lang w:val="en-GB"/>
        </w:rPr>
        <w:t xml:space="preserve"> </w:t>
      </w:r>
      <w:r w:rsidR="00485085">
        <w:rPr>
          <w:lang w:val="en-GB"/>
        </w:rPr>
        <w:t xml:space="preserve">for the six species </w:t>
      </w:r>
      <w:r>
        <w:rPr>
          <w:lang w:val="en-GB"/>
        </w:rPr>
        <w:t>revised</w:t>
      </w:r>
      <w:r w:rsidR="00485085">
        <w:rPr>
          <w:lang w:val="en-GB"/>
        </w:rPr>
        <w:t xml:space="preserve"> </w:t>
      </w:r>
      <w:r w:rsidR="00842EAF">
        <w:rPr>
          <w:lang w:val="en-GB"/>
        </w:rPr>
        <w:t>are</w:t>
      </w:r>
      <w:r w:rsidR="00FA6B8F">
        <w:rPr>
          <w:lang w:val="en-GB"/>
        </w:rPr>
        <w:t xml:space="preserve"> </w:t>
      </w:r>
      <w:r w:rsidR="00BE7B33">
        <w:rPr>
          <w:lang w:val="en-GB"/>
        </w:rPr>
        <w:t>reported in Figure 2</w:t>
      </w:r>
      <w:r w:rsidR="00FA6B8F">
        <w:rPr>
          <w:lang w:val="en-GB"/>
        </w:rPr>
        <w:t xml:space="preserve">. </w:t>
      </w:r>
    </w:p>
    <w:p w14:paraId="3468563E" w14:textId="39A9E455" w:rsidR="00714970" w:rsidRDefault="008E0FBA" w:rsidP="00600535">
      <w:pPr>
        <w:pStyle w:val="CETBodytext"/>
        <w:rPr>
          <w:lang w:val="en-GB"/>
        </w:rPr>
      </w:pPr>
      <w:r w:rsidRPr="00714970">
        <w:rPr>
          <w:lang w:val="en-GB"/>
        </w:rPr>
        <w:lastRenderedPageBreak/>
        <w:t>It can be noticed that the curves offer a clear indication of the abatement performance of each species</w:t>
      </w:r>
      <w:r w:rsidR="001743E4">
        <w:rPr>
          <w:lang w:val="en-GB"/>
        </w:rPr>
        <w:t xml:space="preserve"> at</w:t>
      </w:r>
      <w:r w:rsidRPr="00714970">
        <w:rPr>
          <w:lang w:val="en-GB"/>
        </w:rPr>
        <w:t xml:space="preserve"> different concentrations and that they can be considered a practical tool to select the best species knowing the average initial VOC concentration in a specific indoor environment.</w:t>
      </w:r>
      <w:r w:rsidR="001743E4">
        <w:rPr>
          <w:lang w:val="en-GB"/>
        </w:rPr>
        <w:t xml:space="preserve"> </w:t>
      </w:r>
      <w:r w:rsidRPr="00714970">
        <w:rPr>
          <w:lang w:val="en-GB"/>
        </w:rPr>
        <w:t xml:space="preserve"> From the results presented</w:t>
      </w:r>
      <w:r w:rsidR="001743E4">
        <w:rPr>
          <w:lang w:val="en-GB"/>
        </w:rPr>
        <w:t xml:space="preserve"> below</w:t>
      </w:r>
      <w:r w:rsidRPr="00714970">
        <w:rPr>
          <w:lang w:val="en-GB"/>
        </w:rPr>
        <w:t>, it is clear that Fatsia japonica is, on the whole, the best performing plant species in remediating the pollutant of interest. Clorophytum elatum vittatum and Ficus benjamina are</w:t>
      </w:r>
      <w:r w:rsidR="001743E4">
        <w:rPr>
          <w:lang w:val="en-GB"/>
        </w:rPr>
        <w:t xml:space="preserve"> likewise interesting species </w:t>
      </w:r>
      <w:r w:rsidRPr="00714970">
        <w:rPr>
          <w:lang w:val="en-GB"/>
        </w:rPr>
        <w:t xml:space="preserve">to </w:t>
      </w:r>
      <w:r w:rsidR="001743E4" w:rsidRPr="00714970">
        <w:rPr>
          <w:lang w:val="en-GB"/>
        </w:rPr>
        <w:t>conside</w:t>
      </w:r>
      <w:r w:rsidRPr="00714970">
        <w:rPr>
          <w:lang w:val="en-GB"/>
        </w:rPr>
        <w:t xml:space="preserve">r, but the dissimilarities in their performances have to be taken into account. </w:t>
      </w:r>
      <w:r w:rsidR="002661D7">
        <w:rPr>
          <w:lang w:val="en-GB"/>
        </w:rPr>
        <w:t>Considering</w:t>
      </w:r>
      <w:r w:rsidR="002661D7" w:rsidRPr="00714970">
        <w:rPr>
          <w:lang w:val="en-GB"/>
        </w:rPr>
        <w:t xml:space="preserve"> </w:t>
      </w:r>
      <w:r w:rsidRPr="00714970">
        <w:rPr>
          <w:lang w:val="en-GB"/>
        </w:rPr>
        <w:t xml:space="preserve">that the average VOC concentrations detected indoors </w:t>
      </w:r>
      <w:r>
        <w:rPr>
          <w:lang w:val="en-GB"/>
        </w:rPr>
        <w:t xml:space="preserve">are usually low, </w:t>
      </w:r>
      <w:r w:rsidRPr="00714970">
        <w:rPr>
          <w:lang w:val="en-GB"/>
        </w:rPr>
        <w:t>Ficus benjamina should be more suitable for designing plant-based remediation interventions in indoor environments</w:t>
      </w:r>
      <w:r>
        <w:rPr>
          <w:lang w:val="en-GB"/>
        </w:rPr>
        <w:t xml:space="preserve"> than Clorophytum. It is evident,</w:t>
      </w:r>
      <w:r w:rsidR="001743E4">
        <w:rPr>
          <w:lang w:val="en-GB"/>
        </w:rPr>
        <w:t xml:space="preserve"> </w:t>
      </w:r>
      <w:r>
        <w:rPr>
          <w:lang w:val="en-GB"/>
        </w:rPr>
        <w:t xml:space="preserve">in fact, that this last species performs better at concentrations that are not typical in indoor environments. </w:t>
      </w:r>
    </w:p>
    <w:p w14:paraId="21C14811" w14:textId="77777777" w:rsidR="001572F6" w:rsidRDefault="001572F6" w:rsidP="00600535">
      <w:pPr>
        <w:pStyle w:val="CETBodytext"/>
        <w:rPr>
          <w:lang w:val="en-GB"/>
        </w:rPr>
      </w:pPr>
    </w:p>
    <w:p w14:paraId="0EF668DB" w14:textId="77777777" w:rsidR="00FA6B8F" w:rsidRDefault="008E0FBA" w:rsidP="00FA6B8F">
      <w:pPr>
        <w:pStyle w:val="CETBodytext"/>
        <w:rPr>
          <w:lang w:val="en-GB"/>
        </w:rPr>
      </w:pPr>
      <w:r>
        <w:rPr>
          <w:noProof/>
          <w:lang w:val="en-GB"/>
        </w:rPr>
        <w:drawing>
          <wp:inline distT="0" distB="0" distL="0" distR="0" wp14:anchorId="178B1E6F" wp14:editId="15AD0318">
            <wp:extent cx="4954091" cy="3991970"/>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036496" cy="4058371"/>
                    </a:xfrm>
                    <a:prstGeom prst="rect">
                      <a:avLst/>
                    </a:prstGeom>
                    <a:noFill/>
                  </pic:spPr>
                </pic:pic>
              </a:graphicData>
            </a:graphic>
          </wp:inline>
        </w:drawing>
      </w:r>
    </w:p>
    <w:p w14:paraId="1E214146" w14:textId="77777777" w:rsidR="00BE7B33" w:rsidRDefault="008E0FBA" w:rsidP="00FA6B8F">
      <w:pPr>
        <w:pStyle w:val="CETCaption"/>
      </w:pPr>
      <w:r>
        <w:t>Figure 2: Formaldehyde abatement velocity curves for the studies revised</w:t>
      </w:r>
      <w:r w:rsidR="001743E4">
        <w:t xml:space="preserve"> in the methodology application</w:t>
      </w:r>
      <w:r>
        <w:t>.</w:t>
      </w:r>
    </w:p>
    <w:p w14:paraId="7CD1D83E" w14:textId="77777777" w:rsidR="00472A35" w:rsidRDefault="008E0FBA" w:rsidP="00600535">
      <w:pPr>
        <w:pStyle w:val="CETHeading1"/>
        <w:rPr>
          <w:lang w:val="en-GB"/>
        </w:rPr>
      </w:pPr>
      <w:r w:rsidRPr="00B57B36">
        <w:rPr>
          <w:lang w:val="en-GB"/>
        </w:rPr>
        <w:t>Conclusions</w:t>
      </w:r>
    </w:p>
    <w:p w14:paraId="1961BD1C" w14:textId="77777777" w:rsidR="00111EE2" w:rsidRDefault="008E0FBA" w:rsidP="00AD1FEA">
      <w:pPr>
        <w:pStyle w:val="CETBodytext"/>
        <w:rPr>
          <w:lang w:val="en-GB"/>
        </w:rPr>
      </w:pPr>
      <w:r>
        <w:rPr>
          <w:lang w:val="en-GB"/>
        </w:rPr>
        <w:t>Even though</w:t>
      </w:r>
      <w:r w:rsidR="00241FA6">
        <w:rPr>
          <w:lang w:val="en-GB"/>
        </w:rPr>
        <w:t xml:space="preserve"> the attention concerning </w:t>
      </w:r>
      <w:r w:rsidR="00AA44B8">
        <w:rPr>
          <w:lang w:val="en-GB"/>
        </w:rPr>
        <w:t xml:space="preserve">indoor air phytoremediation </w:t>
      </w:r>
      <w:r w:rsidR="00241FA6">
        <w:rPr>
          <w:lang w:val="en-GB"/>
        </w:rPr>
        <w:t>is rising, to date</w:t>
      </w:r>
      <w:r>
        <w:rPr>
          <w:lang w:val="en-GB"/>
        </w:rPr>
        <w:t>,</w:t>
      </w:r>
      <w:r w:rsidR="00241FA6">
        <w:rPr>
          <w:lang w:val="en-GB"/>
        </w:rPr>
        <w:t xml:space="preserve"> the experimentations in controlled </w:t>
      </w:r>
      <w:r w:rsidR="00AA44B8">
        <w:rPr>
          <w:lang w:val="en-GB"/>
        </w:rPr>
        <w:t xml:space="preserve">chambers to define the VOC abatement capacity of different species and the reviews available do not </w:t>
      </w:r>
      <w:r w:rsidR="005F43B9">
        <w:rPr>
          <w:lang w:val="en-GB"/>
        </w:rPr>
        <w:t xml:space="preserve">often </w:t>
      </w:r>
      <w:r w:rsidR="00AA44B8">
        <w:rPr>
          <w:lang w:val="en-GB"/>
        </w:rPr>
        <w:t xml:space="preserve">provide comparable and usable results to design plant-based mitigation interventions in real environments. </w:t>
      </w:r>
    </w:p>
    <w:p w14:paraId="55A094F1" w14:textId="77777777" w:rsidR="00111EE2" w:rsidRDefault="008E0FBA" w:rsidP="00AD1FEA">
      <w:pPr>
        <w:pStyle w:val="CETBodytext"/>
        <w:rPr>
          <w:lang w:val="en-GB"/>
        </w:rPr>
      </w:pPr>
      <w:r w:rsidRPr="00111EE2">
        <w:rPr>
          <w:lang w:val="en-GB"/>
        </w:rPr>
        <w:t xml:space="preserve">For this purpose, a new methodology has been proposed in this work. </w:t>
      </w:r>
      <w:r w:rsidR="00AF1800" w:rsidRPr="00111EE2">
        <w:rPr>
          <w:lang w:val="en-GB"/>
        </w:rPr>
        <w:t xml:space="preserve">Considering that the </w:t>
      </w:r>
      <w:r w:rsidRPr="00111EE2">
        <w:rPr>
          <w:lang w:val="en-GB"/>
        </w:rPr>
        <w:t xml:space="preserve">overall </w:t>
      </w:r>
      <w:r w:rsidR="00AF1800" w:rsidRPr="00111EE2">
        <w:rPr>
          <w:lang w:val="en-GB"/>
        </w:rPr>
        <w:t>VOC plant abatement is ne</w:t>
      </w:r>
      <w:r w:rsidR="00C127FE" w:rsidRPr="00111EE2">
        <w:rPr>
          <w:lang w:val="en-GB"/>
        </w:rPr>
        <w:t>i</w:t>
      </w:r>
      <w:r w:rsidR="00AF1800" w:rsidRPr="00111EE2">
        <w:rPr>
          <w:lang w:val="en-GB"/>
        </w:rPr>
        <w:t xml:space="preserve">ther </w:t>
      </w:r>
      <w:r w:rsidRPr="00111EE2">
        <w:rPr>
          <w:lang w:val="en-GB"/>
        </w:rPr>
        <w:t xml:space="preserve">a </w:t>
      </w:r>
      <w:r w:rsidR="00AF1800" w:rsidRPr="00111EE2">
        <w:rPr>
          <w:lang w:val="en-GB"/>
        </w:rPr>
        <w:t xml:space="preserve">zero </w:t>
      </w:r>
      <w:r w:rsidRPr="00111EE2">
        <w:rPr>
          <w:lang w:val="en-GB"/>
        </w:rPr>
        <w:t>n</w:t>
      </w:r>
      <w:r w:rsidR="00AF1800" w:rsidRPr="00111EE2">
        <w:rPr>
          <w:lang w:val="en-GB"/>
        </w:rPr>
        <w:t xml:space="preserve">or </w:t>
      </w:r>
      <w:r w:rsidRPr="00111EE2">
        <w:rPr>
          <w:lang w:val="en-GB"/>
        </w:rPr>
        <w:t xml:space="preserve">a </w:t>
      </w:r>
      <w:r w:rsidR="00AF1800" w:rsidRPr="00111EE2">
        <w:rPr>
          <w:lang w:val="en-GB"/>
        </w:rPr>
        <w:t>fi</w:t>
      </w:r>
      <w:r w:rsidRPr="00111EE2">
        <w:rPr>
          <w:lang w:val="en-GB"/>
        </w:rPr>
        <w:t>r</w:t>
      </w:r>
      <w:r w:rsidR="00AF1800" w:rsidRPr="00111EE2">
        <w:rPr>
          <w:lang w:val="en-GB"/>
        </w:rPr>
        <w:t>st-order</w:t>
      </w:r>
      <w:r w:rsidRPr="00111EE2">
        <w:rPr>
          <w:lang w:val="en-GB"/>
        </w:rPr>
        <w:t xml:space="preserve"> process</w:t>
      </w:r>
      <w:r w:rsidR="00AF1800" w:rsidRPr="00111EE2">
        <w:rPr>
          <w:lang w:val="en-GB"/>
        </w:rPr>
        <w:t xml:space="preserve">, but </w:t>
      </w:r>
      <w:r w:rsidR="005F43B9" w:rsidRPr="00111EE2">
        <w:rPr>
          <w:lang w:val="en-GB"/>
        </w:rPr>
        <w:t>rather a hybrid of the two, an abatement remediation velocity</w:t>
      </w:r>
      <w:r w:rsidRPr="00111EE2">
        <w:rPr>
          <w:lang w:val="en-GB"/>
        </w:rPr>
        <w:t xml:space="preserve"> (expressed in </w:t>
      </w:r>
      <w:r w:rsidRPr="00111EE2">
        <w:rPr>
          <w:rFonts w:cs="Arial"/>
          <w:lang w:val="en-GB"/>
        </w:rPr>
        <w:t>μg/m</w:t>
      </w:r>
      <w:r w:rsidRPr="00111EE2">
        <w:rPr>
          <w:rFonts w:cs="Arial"/>
          <w:vertAlign w:val="superscript"/>
          <w:lang w:val="en-GB"/>
        </w:rPr>
        <w:t>3</w:t>
      </w:r>
      <w:r w:rsidRPr="00111EE2">
        <w:rPr>
          <w:rFonts w:cs="Arial"/>
          <w:lang w:val="en-GB"/>
        </w:rPr>
        <w:t>h)</w:t>
      </w:r>
      <w:r w:rsidR="005F43B9" w:rsidRPr="00111EE2">
        <w:rPr>
          <w:lang w:val="en-GB"/>
        </w:rPr>
        <w:t xml:space="preserve"> ha</w:t>
      </w:r>
      <w:r w:rsidR="00C127FE" w:rsidRPr="00111EE2">
        <w:rPr>
          <w:lang w:val="en-GB"/>
        </w:rPr>
        <w:t>s</w:t>
      </w:r>
      <w:r w:rsidR="005F43B9" w:rsidRPr="00111EE2">
        <w:rPr>
          <w:lang w:val="en-GB"/>
        </w:rPr>
        <w:t xml:space="preserve"> been defined</w:t>
      </w:r>
      <w:r>
        <w:rPr>
          <w:lang w:val="en-GB"/>
        </w:rPr>
        <w:t>, approaching the abatement</w:t>
      </w:r>
      <w:r w:rsidR="005F43B9" w:rsidRPr="00111EE2">
        <w:rPr>
          <w:lang w:val="en-GB"/>
        </w:rPr>
        <w:t xml:space="preserve"> analogously to a biological process.</w:t>
      </w:r>
      <w:r w:rsidR="005F43B9">
        <w:rPr>
          <w:lang w:val="en-GB"/>
        </w:rPr>
        <w:t xml:space="preserve"> </w:t>
      </w:r>
      <w:r w:rsidR="00AD1FEA">
        <w:rPr>
          <w:lang w:val="en-GB"/>
        </w:rPr>
        <w:t>This parameter</w:t>
      </w:r>
      <w:r w:rsidR="00C127FE">
        <w:rPr>
          <w:lang w:val="en-GB"/>
        </w:rPr>
        <w:t xml:space="preserve"> provide</w:t>
      </w:r>
      <w:r w:rsidR="00AD1FEA">
        <w:rPr>
          <w:lang w:val="en-GB"/>
        </w:rPr>
        <w:t>s</w:t>
      </w:r>
      <w:r w:rsidR="00C127FE">
        <w:rPr>
          <w:lang w:val="en-GB"/>
        </w:rPr>
        <w:t xml:space="preserve"> a </w:t>
      </w:r>
      <w:r w:rsidR="00AD1FEA">
        <w:rPr>
          <w:lang w:val="en-GB"/>
        </w:rPr>
        <w:t>clear</w:t>
      </w:r>
      <w:r w:rsidR="00C127FE">
        <w:rPr>
          <w:lang w:val="en-GB"/>
        </w:rPr>
        <w:t xml:space="preserve"> indication of the actual performance of </w:t>
      </w:r>
      <w:r w:rsidR="00AD1FEA">
        <w:rPr>
          <w:lang w:val="en-GB"/>
        </w:rPr>
        <w:t>the</w:t>
      </w:r>
      <w:r w:rsidR="00C127FE">
        <w:rPr>
          <w:lang w:val="en-GB"/>
        </w:rPr>
        <w:t xml:space="preserve"> species to remediate a specific contaminant at different concentrations</w:t>
      </w:r>
      <w:r w:rsidR="00AD1FEA">
        <w:rPr>
          <w:lang w:val="en-GB"/>
        </w:rPr>
        <w:t xml:space="preserve">. </w:t>
      </w:r>
    </w:p>
    <w:p w14:paraId="7529DA06" w14:textId="61D914FC" w:rsidR="00AD1FEA" w:rsidRDefault="008E0FBA" w:rsidP="00472A35">
      <w:pPr>
        <w:pStyle w:val="CETBodytext"/>
        <w:rPr>
          <w:lang w:val="en-GB"/>
        </w:rPr>
      </w:pPr>
      <w:r>
        <w:rPr>
          <w:lang w:val="en-GB"/>
        </w:rPr>
        <w:t xml:space="preserve">The methodology has been applied to a group of experimental studies identified as concerning the species with superior VOC purifying ability (it is to stress that this selection does not provide harmonisation of the abatement but individuates only the best removal obtained per test). This application led to the </w:t>
      </w:r>
      <w:r w:rsidR="00B92734">
        <w:rPr>
          <w:lang w:val="en-GB"/>
        </w:rPr>
        <w:t xml:space="preserve">construction </w:t>
      </w:r>
      <w:r>
        <w:rPr>
          <w:lang w:val="en-GB"/>
        </w:rPr>
        <w:t>of a database, that can be considered a first tool to help a robust quantitative design of plant-based mitigation interventions in real</w:t>
      </w:r>
      <w:r w:rsidR="00BA35B4">
        <w:rPr>
          <w:lang w:val="en-GB"/>
        </w:rPr>
        <w:t xml:space="preserve"> </w:t>
      </w:r>
      <w:r>
        <w:rPr>
          <w:lang w:val="en-GB"/>
        </w:rPr>
        <w:t>environments.</w:t>
      </w:r>
      <w:r w:rsidR="00622E16">
        <w:rPr>
          <w:lang w:val="en-GB"/>
        </w:rPr>
        <w:t xml:space="preserve"> </w:t>
      </w:r>
      <w:r>
        <w:rPr>
          <w:lang w:val="en-GB"/>
        </w:rPr>
        <w:t xml:space="preserve">As a case study, an example of the usage of this database </w:t>
      </w:r>
      <w:r w:rsidR="00622E16">
        <w:rPr>
          <w:lang w:val="en-GB"/>
        </w:rPr>
        <w:t xml:space="preserve">(for which only relevant fields have been shown) </w:t>
      </w:r>
      <w:r>
        <w:rPr>
          <w:lang w:val="en-GB"/>
        </w:rPr>
        <w:t xml:space="preserve">has been provided. </w:t>
      </w:r>
    </w:p>
    <w:p w14:paraId="6823E0D3" w14:textId="5F768C08" w:rsidR="00714970" w:rsidRPr="00E63954" w:rsidRDefault="008E0FBA" w:rsidP="00E63954">
      <w:pPr>
        <w:pStyle w:val="CETBodytext"/>
        <w:rPr>
          <w:lang w:val="en-GB"/>
        </w:rPr>
      </w:pPr>
      <w:r>
        <w:rPr>
          <w:lang w:val="en-GB"/>
        </w:rPr>
        <w:lastRenderedPageBreak/>
        <w:t xml:space="preserve">The methodology and the review of previous studies want to provide a robust basis </w:t>
      </w:r>
      <w:r w:rsidR="00BA35B4">
        <w:rPr>
          <w:lang w:val="en-GB"/>
        </w:rPr>
        <w:t>to design plant-based mitigation interventions in real indoor settings</w:t>
      </w:r>
      <w:r>
        <w:rPr>
          <w:lang w:val="en-GB"/>
        </w:rPr>
        <w:t>.</w:t>
      </w:r>
      <w:r w:rsidR="00BA35B4">
        <w:rPr>
          <w:lang w:val="en-GB"/>
        </w:rPr>
        <w:t xml:space="preserve"> </w:t>
      </w:r>
      <w:r>
        <w:rPr>
          <w:lang w:val="en-GB"/>
        </w:rPr>
        <w:t xml:space="preserve">The proposed approach allows the assessment and the comparison of the plant abatement performances </w:t>
      </w:r>
      <w:r w:rsidR="00DF5E07">
        <w:rPr>
          <w:lang w:val="en-GB"/>
        </w:rPr>
        <w:t xml:space="preserve">obtained </w:t>
      </w:r>
      <w:r>
        <w:rPr>
          <w:lang w:val="en-GB"/>
        </w:rPr>
        <w:t xml:space="preserve">using different experimental protocols, and the review provides a structure that can be considered a step ahead </w:t>
      </w:r>
      <w:r w:rsidR="00DF5E07">
        <w:rPr>
          <w:lang w:val="en-GB"/>
        </w:rPr>
        <w:t xml:space="preserve">for </w:t>
      </w:r>
      <w:r>
        <w:rPr>
          <w:lang w:val="en-GB"/>
        </w:rPr>
        <w:t xml:space="preserve">the definition of standardised protocols for the experimental tests as it includes all the essential elements required to calculate the VOC removal in a harmonised way. Evidently, further studies concerning the VOC removal mechanisms of different plant species could help refine the methodology, and the database produced can be extended, including more studies and fields. </w:t>
      </w:r>
    </w:p>
    <w:p w14:paraId="4374E36E" w14:textId="77777777" w:rsidR="006B4888" w:rsidRPr="000D56D6" w:rsidRDefault="008E0FBA" w:rsidP="00EF06EA">
      <w:pPr>
        <w:pStyle w:val="CETReference"/>
      </w:pPr>
      <w:r w:rsidRPr="00B57B36">
        <w:t>References</w:t>
      </w:r>
    </w:p>
    <w:p w14:paraId="7645D890" w14:textId="77777777" w:rsidR="00A4244C" w:rsidRPr="00BC7A7A" w:rsidRDefault="008E0FBA" w:rsidP="00A4244C">
      <w:pPr>
        <w:pStyle w:val="CETReferencetext"/>
        <w:rPr>
          <w:u w:val="single"/>
        </w:rPr>
      </w:pPr>
      <w:r w:rsidRPr="00BC7A7A">
        <w:t>Bernstein J.A., Alexis N., Bacchus H., Bernstein I.L., Fritz P., Horner E., Li N., Mason S.I., Nel A., Oulette J., Reijula K., Reponen T., Seltzer J.M., Smith A., Tarlo S.M., 2008, The health effects of nonindustrial Indoor Air Pollution, American Academy of Allergy, Asthma &amp; Immunology, 121(3), 585-591.</w:t>
      </w:r>
    </w:p>
    <w:p w14:paraId="7091F1D6" w14:textId="22821AEE" w:rsidR="00A4244C" w:rsidRPr="00345B03" w:rsidRDefault="008E0FBA" w:rsidP="00A4244C">
      <w:pPr>
        <w:pStyle w:val="CETReferencetext"/>
      </w:pPr>
      <w:r w:rsidRPr="00BC7A7A">
        <w:t xml:space="preserve">Dela Cruz M., Christensen J.H., Dyrauge Thomsen, Muller R., 2014, Can ornamental potted plants remove volatile organic compounds from indoor air? – </w:t>
      </w:r>
      <w:r w:rsidR="002E6FBE">
        <w:t>A</w:t>
      </w:r>
      <w:r w:rsidRPr="00BC7A7A">
        <w:t xml:space="preserve"> review, Environmental Science and Pollution Research, 21(24), 13909-13928.</w:t>
      </w:r>
    </w:p>
    <w:p w14:paraId="29F7A3BE" w14:textId="391EEB5D" w:rsidR="00BC7A7A" w:rsidRDefault="008E0FBA" w:rsidP="00A4244C">
      <w:pPr>
        <w:pStyle w:val="CETReferencetext"/>
        <w:rPr>
          <w:highlight w:val="yellow"/>
        </w:rPr>
      </w:pPr>
      <w:r w:rsidRPr="00BC7A7A">
        <w:t>Di Talia V., Antonioni G., 2021</w:t>
      </w:r>
      <w:r>
        <w:t>,</w:t>
      </w:r>
      <w:r w:rsidRPr="00BC7A7A">
        <w:t xml:space="preserve"> A Model for the Evaluation of VOCs Abatement by Potted Plants in Indoor Environments</w:t>
      </w:r>
      <w:r>
        <w:t>,</w:t>
      </w:r>
      <w:r w:rsidRPr="00BC7A7A">
        <w:t xml:space="preserve"> Chemical Engineering transactions CEt, 86, 415</w:t>
      </w:r>
      <w:r w:rsidR="002E6FBE">
        <w:t>-</w:t>
      </w:r>
      <w:r w:rsidRPr="00BC7A7A">
        <w:t>420.</w:t>
      </w:r>
    </w:p>
    <w:p w14:paraId="1C517363" w14:textId="77777777" w:rsidR="00BC7A7A" w:rsidRDefault="008E0FBA" w:rsidP="00A4244C">
      <w:pPr>
        <w:pStyle w:val="CETReferencetext"/>
      </w:pPr>
      <w:r w:rsidRPr="00BC7A7A">
        <w:t>Gong Y, Zhou T, Wang P, Lin Y, Zheng R, Zhao Y, Xu B</w:t>
      </w:r>
      <w:r>
        <w:t>, 2019,</w:t>
      </w:r>
      <w:r w:rsidRPr="00BC7A7A">
        <w:t xml:space="preserve"> Fundamentals of Ornamental Plants in Removing Benzene in Indoor Air</w:t>
      </w:r>
      <w:r>
        <w:t>,</w:t>
      </w:r>
      <w:r w:rsidRPr="00BC7A7A">
        <w:t xml:space="preserve"> Atmosphere</w:t>
      </w:r>
      <w:r>
        <w:t>,</w:t>
      </w:r>
      <w:r w:rsidRPr="00BC7A7A">
        <w:t xml:space="preserve"> 10(4)</w:t>
      </w:r>
      <w:r>
        <w:t xml:space="preserve">, </w:t>
      </w:r>
      <w:r w:rsidRPr="00BC7A7A">
        <w:t>221</w:t>
      </w:r>
      <w:r>
        <w:t>.</w:t>
      </w:r>
    </w:p>
    <w:p w14:paraId="7BC45BC0" w14:textId="07CCCD6B" w:rsidR="00A4244C" w:rsidRPr="00BC7A7A" w:rsidRDefault="00A4244C" w:rsidP="00A4244C">
      <w:pPr>
        <w:pStyle w:val="CETReferencetext"/>
      </w:pPr>
    </w:p>
    <w:p w14:paraId="3700DD32" w14:textId="140CDA76" w:rsidR="007226E8" w:rsidRPr="00BC7A7A" w:rsidRDefault="008E0FBA" w:rsidP="00A4244C">
      <w:pPr>
        <w:pStyle w:val="CETReferencetext"/>
      </w:pPr>
      <w:r w:rsidRPr="00BC7A7A">
        <w:t>Han</w:t>
      </w:r>
      <w:r w:rsidR="00BC7A7A" w:rsidRPr="00BC7A7A">
        <w:t xml:space="preserve"> K.,</w:t>
      </w:r>
      <w:r w:rsidRPr="00BC7A7A">
        <w:t xml:space="preserve"> Ruan</w:t>
      </w:r>
      <w:r w:rsidR="00BC7A7A" w:rsidRPr="00BC7A7A">
        <w:t xml:space="preserve"> L., 2020, Effects of indoor plants on air quality: a systematic review, Environmental Science and Pollution Research, 26, 16019–16051</w:t>
      </w:r>
      <w:r w:rsidR="00023307">
        <w:t>.</w:t>
      </w:r>
      <w:r w:rsidR="00BC7A7A" w:rsidRPr="00BC7A7A">
        <w:t xml:space="preserve"> </w:t>
      </w:r>
    </w:p>
    <w:p w14:paraId="3732982A" w14:textId="77777777" w:rsidR="00BC7A7A" w:rsidRDefault="008E0FBA" w:rsidP="00A4244C">
      <w:pPr>
        <w:pStyle w:val="CETReferencetext"/>
      </w:pPr>
      <w:r w:rsidRPr="00BC7A7A">
        <w:t>Kim K</w:t>
      </w:r>
      <w:r>
        <w:t>.</w:t>
      </w:r>
      <w:r w:rsidRPr="00BC7A7A">
        <w:t>J</w:t>
      </w:r>
      <w:r>
        <w:t xml:space="preserve">., </w:t>
      </w:r>
      <w:r w:rsidRPr="00BC7A7A">
        <w:t>Mi J.K.</w:t>
      </w:r>
      <w:r>
        <w:t xml:space="preserve">, </w:t>
      </w:r>
      <w:r w:rsidRPr="00BC7A7A">
        <w:t>Jeong S.S.</w:t>
      </w:r>
      <w:r>
        <w:t xml:space="preserve">, </w:t>
      </w:r>
      <w:r w:rsidRPr="00BC7A7A">
        <w:t>Eun H.Y.</w:t>
      </w:r>
      <w:r>
        <w:t>,</w:t>
      </w:r>
      <w:r w:rsidRPr="00BC7A7A">
        <w:t xml:space="preserve"> Son K</w:t>
      </w:r>
      <w:r>
        <w:t>.,</w:t>
      </w:r>
      <w:r w:rsidRPr="00BC7A7A">
        <w:t xml:space="preserve"> Kays S</w:t>
      </w:r>
      <w:r>
        <w:t xml:space="preserve">., </w:t>
      </w:r>
      <w:r w:rsidRPr="00BC7A7A">
        <w:t>2008</w:t>
      </w:r>
      <w:r>
        <w:t>,</w:t>
      </w:r>
      <w:r w:rsidRPr="00BC7A7A">
        <w:t xml:space="preserve"> Efficiency of Volatile Formaldehyde Removal by Indoor Plants: Contribution of Aerial Plant Parts versus the Root Zone</w:t>
      </w:r>
      <w:r>
        <w:t>,</w:t>
      </w:r>
      <w:r w:rsidRPr="00BC7A7A">
        <w:t xml:space="preserve"> Journal of the American Society for Horticultural Science</w:t>
      </w:r>
      <w:r>
        <w:t>,</w:t>
      </w:r>
      <w:r w:rsidRPr="00BC7A7A">
        <w:t xml:space="preserve"> 133</w:t>
      </w:r>
      <w:r>
        <w:t xml:space="preserve">, </w:t>
      </w:r>
      <w:r w:rsidRPr="00BC7A7A">
        <w:t xml:space="preserve">521-526. </w:t>
      </w:r>
    </w:p>
    <w:p w14:paraId="2B04444C" w14:textId="77777777" w:rsidR="00A4244C" w:rsidRDefault="008E0FBA" w:rsidP="00A4244C">
      <w:pPr>
        <w:pStyle w:val="CETReferencetext"/>
      </w:pPr>
      <w:r w:rsidRPr="00BC7A7A">
        <w:t>Kim K.W., Khalekuzzaman M.D., Suh J.N., Hyeon J.K., Shagol C., Kim H.H., Kim H.J., 2018, Phytoremediation of volatile organic compounds by indoor plants: a review, Horticulture, Environment, and Biotechnology, 59(10)</w:t>
      </w:r>
      <w:r w:rsidR="00BC7A7A">
        <w:t>,</w:t>
      </w:r>
      <w:r w:rsidR="00BC7A7A" w:rsidRPr="00BC7A7A">
        <w:t>143</w:t>
      </w:r>
      <w:r w:rsidR="00BC7A7A">
        <w:t>-</w:t>
      </w:r>
      <w:r w:rsidR="00BC7A7A" w:rsidRPr="00BC7A7A">
        <w:t>157</w:t>
      </w:r>
      <w:r w:rsidRPr="00BC7A7A">
        <w:t>.</w:t>
      </w:r>
    </w:p>
    <w:p w14:paraId="5DBCE48F" w14:textId="77777777" w:rsidR="00EF06EA" w:rsidRPr="00345B03" w:rsidRDefault="008E0FBA" w:rsidP="00A4244C">
      <w:pPr>
        <w:pStyle w:val="CETReferencetext"/>
      </w:pPr>
      <w:r w:rsidRPr="00EF06EA">
        <w:t>Moschandreas D.</w:t>
      </w:r>
      <w:r>
        <w:t xml:space="preserve">, </w:t>
      </w:r>
      <w:r w:rsidRPr="00EF06EA">
        <w:t xml:space="preserve">Stark J., 1978, </w:t>
      </w:r>
      <w:r>
        <w:t>T</w:t>
      </w:r>
      <w:r w:rsidRPr="00EF06EA">
        <w:t>he GEOMET indoor-outdoor air pollution model, U.S. Environmental Protection Agency, Washington, D.C., EPA/600/7-78/106.</w:t>
      </w:r>
    </w:p>
    <w:p w14:paraId="329930B2" w14:textId="77777777" w:rsidR="00BC7A7A" w:rsidRDefault="008E0FBA" w:rsidP="00A4244C">
      <w:pPr>
        <w:pStyle w:val="CETReferencetext"/>
        <w:rPr>
          <w:bCs/>
          <w:highlight w:val="yellow"/>
        </w:rPr>
      </w:pPr>
      <w:r w:rsidRPr="00BC7A7A">
        <w:rPr>
          <w:bCs/>
        </w:rPr>
        <w:t>Soreanu G., Dixon M.A., Darlington A.B.</w:t>
      </w:r>
      <w:r>
        <w:rPr>
          <w:bCs/>
        </w:rPr>
        <w:t xml:space="preserve">, </w:t>
      </w:r>
      <w:r w:rsidRPr="00BC7A7A">
        <w:rPr>
          <w:bCs/>
        </w:rPr>
        <w:t>2013</w:t>
      </w:r>
      <w:r>
        <w:rPr>
          <w:bCs/>
        </w:rPr>
        <w:t xml:space="preserve">, </w:t>
      </w:r>
      <w:r w:rsidRPr="00BC7A7A">
        <w:rPr>
          <w:bCs/>
        </w:rPr>
        <w:t>Botanical biofiltration of indoor gaseous pollutants</w:t>
      </w:r>
      <w:r>
        <w:rPr>
          <w:bCs/>
        </w:rPr>
        <w:t xml:space="preserve"> - </w:t>
      </w:r>
      <w:r w:rsidRPr="00BC7A7A">
        <w:rPr>
          <w:bCs/>
        </w:rPr>
        <w:t>A mini-review</w:t>
      </w:r>
      <w:r>
        <w:rPr>
          <w:bCs/>
        </w:rPr>
        <w:t>,</w:t>
      </w:r>
      <w:r w:rsidRPr="00BC7A7A">
        <w:rPr>
          <w:bCs/>
        </w:rPr>
        <w:t xml:space="preserve"> Chemical Engineering Journal, 229, 585-594.</w:t>
      </w:r>
    </w:p>
    <w:p w14:paraId="39EDE1F9" w14:textId="74460223" w:rsidR="00A4244C" w:rsidRDefault="008E0FBA" w:rsidP="00A4244C">
      <w:pPr>
        <w:pStyle w:val="CETReferencetext"/>
        <w:rPr>
          <w:bCs/>
        </w:rPr>
      </w:pPr>
      <w:r w:rsidRPr="00BC7A7A">
        <w:rPr>
          <w:bCs/>
        </w:rPr>
        <w:t>Sriprapat W., Thiravetyan P.,</w:t>
      </w:r>
      <w:r w:rsidRPr="00BC7A7A">
        <w:t xml:space="preserve"> </w:t>
      </w:r>
      <w:r w:rsidRPr="00BC7A7A">
        <w:rPr>
          <w:bCs/>
        </w:rPr>
        <w:t>2013, Phytoremediation of BTEX from Indoor Air by Zamioculcas zamiifolia, Water, Air, &amp; Soil Pollution, 224, article number: 1482.</w:t>
      </w:r>
    </w:p>
    <w:p w14:paraId="3CCD0176" w14:textId="5B562584" w:rsidR="00D474BD" w:rsidRPr="00345B03" w:rsidRDefault="00D474BD" w:rsidP="00A4244C">
      <w:pPr>
        <w:pStyle w:val="CETReferencetext"/>
      </w:pPr>
      <w:r w:rsidRPr="00D474BD">
        <w:t>Suárez-Cáceres G. P., Fernández-Cañero R., Fernández-Espinosa A.J., Rossini-Oliva S., Franco-Salas A., Pérez-Urrestarazu L., 2021, Volatile Organic Compounds Removal by Means of a Felt-Based Living Wall to Improve Indoor Air Quality, Atmospheric Pollution Research, 12(3), 224–229.</w:t>
      </w:r>
    </w:p>
    <w:p w14:paraId="7602E7F8" w14:textId="77777777" w:rsidR="00A4244C" w:rsidRDefault="008E0FBA" w:rsidP="00A4244C">
      <w:pPr>
        <w:pStyle w:val="CETReferencetext"/>
      </w:pPr>
      <w:r w:rsidRPr="00345B03">
        <w:t xml:space="preserve">Sundell J., </w:t>
      </w:r>
      <w:r w:rsidRPr="0042778F">
        <w:t xml:space="preserve">2004, </w:t>
      </w:r>
      <w:r w:rsidRPr="00345B03">
        <w:t>On the history of indoor air quality and health, Indoor Air, 14 (Suppl 7)</w:t>
      </w:r>
      <w:r>
        <w:t>,</w:t>
      </w:r>
      <w:r w:rsidRPr="00345B03">
        <w:t xml:space="preserve"> 51-58</w:t>
      </w:r>
      <w:r>
        <w:t>.</w:t>
      </w:r>
    </w:p>
    <w:p w14:paraId="6889FF1D" w14:textId="34C9859A" w:rsidR="00F05411" w:rsidRDefault="008E0FBA" w:rsidP="00A4244C">
      <w:pPr>
        <w:pStyle w:val="CETReferencetext"/>
      </w:pPr>
      <w:r w:rsidRPr="00BC7A7A">
        <w:t>Wolverton B.C., Mcdonald R.C,</w:t>
      </w:r>
      <w:r>
        <w:t xml:space="preserve"> Watkins E.A.,</w:t>
      </w:r>
      <w:r w:rsidRPr="00BC7A7A">
        <w:t xml:space="preserve"> </w:t>
      </w:r>
      <w:r>
        <w:t xml:space="preserve">1984, </w:t>
      </w:r>
      <w:r w:rsidRPr="00BC7A7A">
        <w:t>Foliage Plants for Removing Indoor Air Pollutants from Energy-Efficient Homes</w:t>
      </w:r>
      <w:r>
        <w:t>,</w:t>
      </w:r>
      <w:r w:rsidRPr="00BC7A7A">
        <w:t xml:space="preserve"> Economic Botany</w:t>
      </w:r>
      <w:r>
        <w:t>, 38(2), 224-228</w:t>
      </w:r>
      <w:r w:rsidR="00023307">
        <w:t>.</w:t>
      </w:r>
    </w:p>
    <w:p w14:paraId="110CFCA4" w14:textId="77777777" w:rsidR="00BC7A7A" w:rsidRDefault="008E0FBA" w:rsidP="00BC7A7A">
      <w:pPr>
        <w:pStyle w:val="CETReferencetext"/>
      </w:pPr>
      <w:r w:rsidRPr="00BC7A7A">
        <w:t>Wolverton B.C., Mcdonald R.C</w:t>
      </w:r>
      <w:r>
        <w:t xml:space="preserve">, </w:t>
      </w:r>
      <w:r w:rsidRPr="00BC7A7A">
        <w:t>198</w:t>
      </w:r>
      <w:r>
        <w:t xml:space="preserve">2, </w:t>
      </w:r>
      <w:r w:rsidRPr="00BC7A7A">
        <w:t>Foliage Plants for Removing Formaldehyde from Contaminated Air Inside Energy-Efficient Homes and Future Space Stations</w:t>
      </w:r>
      <w:r>
        <w:t>, NASA TM-84674</w:t>
      </w:r>
    </w:p>
    <w:p w14:paraId="3A44D1C8" w14:textId="77777777" w:rsidR="00A4244C" w:rsidRPr="00345B03" w:rsidRDefault="008E0FBA" w:rsidP="00A4244C">
      <w:pPr>
        <w:pStyle w:val="CETReferencetext"/>
      </w:pPr>
      <w:r w:rsidRPr="00BC7A7A">
        <w:t>Wolverton B.C., Johnson A., Bounds K., 1989, Interior landscape plants for indoor air pollution abatement, final report, Document</w:t>
      </w:r>
      <w:r w:rsidRPr="00776F63">
        <w:t xml:space="preserve"> ID: 19930073077.</w:t>
      </w:r>
    </w:p>
    <w:p w14:paraId="7D30B3F4" w14:textId="77777777" w:rsidR="00A4244C" w:rsidRDefault="008E0FBA" w:rsidP="00A4244C">
      <w:pPr>
        <w:pStyle w:val="CETReferencetext"/>
      </w:pPr>
      <w:r w:rsidRPr="00345B03">
        <w:t>Wood R.A., Burchett M.D., Alquezar R., Orwell R.L., Tarran J., Torpy F.,</w:t>
      </w:r>
      <w:r w:rsidRPr="0042778F">
        <w:t xml:space="preserve"> 2006, </w:t>
      </w:r>
      <w:r w:rsidRPr="00345B03">
        <w:t>The potted-plant microcosm substantially reduces indoor air VOC pollution:1.office field study, Water, Air and Soil Pollution</w:t>
      </w:r>
      <w:r>
        <w:t>,</w:t>
      </w:r>
      <w:r w:rsidRPr="00345B03">
        <w:t xml:space="preserve"> 175(1)</w:t>
      </w:r>
      <w:r>
        <w:t>,</w:t>
      </w:r>
      <w:r w:rsidRPr="00345B03">
        <w:t xml:space="preserve"> 163-18</w:t>
      </w:r>
      <w:r>
        <w:t>0.</w:t>
      </w:r>
    </w:p>
    <w:p w14:paraId="507490B9" w14:textId="77777777" w:rsidR="004628D2" w:rsidRPr="00A4244C" w:rsidRDefault="004628D2" w:rsidP="00FA5F5F">
      <w:pPr>
        <w:pStyle w:val="CETHeading1"/>
        <w:numPr>
          <w:ilvl w:val="0"/>
          <w:numId w:val="0"/>
        </w:numPr>
        <w:rPr>
          <w:lang w:val="en-GB"/>
        </w:rPr>
      </w:pPr>
    </w:p>
    <w:sectPr w:rsidR="004628D2" w:rsidRPr="00A4244C" w:rsidSect="0077098D">
      <w:type w:val="continuous"/>
      <w:pgSz w:w="11906" w:h="16838" w:code="9"/>
      <w:pgMar w:top="1701" w:right="1418" w:bottom="1701" w:left="1701" w:header="1701" w:footer="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2C3EAAE2">
      <w:start w:val="1"/>
      <w:numFmt w:val="bullet"/>
      <w:lvlText w:val=""/>
      <w:lvlJc w:val="left"/>
      <w:pPr>
        <w:ind w:left="720" w:hanging="360"/>
      </w:pPr>
      <w:rPr>
        <w:rFonts w:ascii="Symbol" w:hAnsi="Symbol" w:hint="default"/>
      </w:rPr>
    </w:lvl>
    <w:lvl w:ilvl="1" w:tplc="179E5D08" w:tentative="1">
      <w:start w:val="1"/>
      <w:numFmt w:val="bullet"/>
      <w:lvlText w:val="o"/>
      <w:lvlJc w:val="left"/>
      <w:pPr>
        <w:ind w:left="1440" w:hanging="360"/>
      </w:pPr>
      <w:rPr>
        <w:rFonts w:ascii="Courier New" w:hAnsi="Courier New" w:cs="Courier New" w:hint="default"/>
      </w:rPr>
    </w:lvl>
    <w:lvl w:ilvl="2" w:tplc="8B8CFF44" w:tentative="1">
      <w:start w:val="1"/>
      <w:numFmt w:val="bullet"/>
      <w:lvlText w:val=""/>
      <w:lvlJc w:val="left"/>
      <w:pPr>
        <w:ind w:left="2160" w:hanging="360"/>
      </w:pPr>
      <w:rPr>
        <w:rFonts w:ascii="Wingdings" w:hAnsi="Wingdings" w:hint="default"/>
      </w:rPr>
    </w:lvl>
    <w:lvl w:ilvl="3" w:tplc="9F20154E" w:tentative="1">
      <w:start w:val="1"/>
      <w:numFmt w:val="bullet"/>
      <w:lvlText w:val=""/>
      <w:lvlJc w:val="left"/>
      <w:pPr>
        <w:ind w:left="2880" w:hanging="360"/>
      </w:pPr>
      <w:rPr>
        <w:rFonts w:ascii="Symbol" w:hAnsi="Symbol" w:hint="default"/>
      </w:rPr>
    </w:lvl>
    <w:lvl w:ilvl="4" w:tplc="A2702C64" w:tentative="1">
      <w:start w:val="1"/>
      <w:numFmt w:val="bullet"/>
      <w:lvlText w:val="o"/>
      <w:lvlJc w:val="left"/>
      <w:pPr>
        <w:ind w:left="3600" w:hanging="360"/>
      </w:pPr>
      <w:rPr>
        <w:rFonts w:ascii="Courier New" w:hAnsi="Courier New" w:cs="Courier New" w:hint="default"/>
      </w:rPr>
    </w:lvl>
    <w:lvl w:ilvl="5" w:tplc="46C69816" w:tentative="1">
      <w:start w:val="1"/>
      <w:numFmt w:val="bullet"/>
      <w:lvlText w:val=""/>
      <w:lvlJc w:val="left"/>
      <w:pPr>
        <w:ind w:left="4320" w:hanging="360"/>
      </w:pPr>
      <w:rPr>
        <w:rFonts w:ascii="Wingdings" w:hAnsi="Wingdings" w:hint="default"/>
      </w:rPr>
    </w:lvl>
    <w:lvl w:ilvl="6" w:tplc="1382AB3E" w:tentative="1">
      <w:start w:val="1"/>
      <w:numFmt w:val="bullet"/>
      <w:lvlText w:val=""/>
      <w:lvlJc w:val="left"/>
      <w:pPr>
        <w:ind w:left="5040" w:hanging="360"/>
      </w:pPr>
      <w:rPr>
        <w:rFonts w:ascii="Symbol" w:hAnsi="Symbol" w:hint="default"/>
      </w:rPr>
    </w:lvl>
    <w:lvl w:ilvl="7" w:tplc="030A18D2" w:tentative="1">
      <w:start w:val="1"/>
      <w:numFmt w:val="bullet"/>
      <w:lvlText w:val="o"/>
      <w:lvlJc w:val="left"/>
      <w:pPr>
        <w:ind w:left="5760" w:hanging="360"/>
      </w:pPr>
      <w:rPr>
        <w:rFonts w:ascii="Courier New" w:hAnsi="Courier New" w:cs="Courier New" w:hint="default"/>
      </w:rPr>
    </w:lvl>
    <w:lvl w:ilvl="8" w:tplc="8BA84654"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E132F348">
      <w:start w:val="1"/>
      <w:numFmt w:val="bullet"/>
      <w:pStyle w:val="CETnumberingbullets"/>
      <w:lvlText w:val=""/>
      <w:lvlJc w:val="left"/>
      <w:pPr>
        <w:ind w:left="340" w:hanging="227"/>
      </w:pPr>
      <w:rPr>
        <w:rFonts w:ascii="Symbol" w:hAnsi="Symbol" w:hint="default"/>
      </w:rPr>
    </w:lvl>
    <w:lvl w:ilvl="1" w:tplc="BF12B754" w:tentative="1">
      <w:start w:val="1"/>
      <w:numFmt w:val="bullet"/>
      <w:lvlText w:val="o"/>
      <w:lvlJc w:val="left"/>
      <w:pPr>
        <w:ind w:left="1440" w:hanging="360"/>
      </w:pPr>
      <w:rPr>
        <w:rFonts w:ascii="Courier New" w:hAnsi="Courier New" w:cs="Courier New" w:hint="default"/>
      </w:rPr>
    </w:lvl>
    <w:lvl w:ilvl="2" w:tplc="AD60A800" w:tentative="1">
      <w:start w:val="1"/>
      <w:numFmt w:val="bullet"/>
      <w:lvlText w:val=""/>
      <w:lvlJc w:val="left"/>
      <w:pPr>
        <w:ind w:left="2160" w:hanging="360"/>
      </w:pPr>
      <w:rPr>
        <w:rFonts w:ascii="Wingdings" w:hAnsi="Wingdings" w:hint="default"/>
      </w:rPr>
    </w:lvl>
    <w:lvl w:ilvl="3" w:tplc="AC12BB6E" w:tentative="1">
      <w:start w:val="1"/>
      <w:numFmt w:val="bullet"/>
      <w:lvlText w:val=""/>
      <w:lvlJc w:val="left"/>
      <w:pPr>
        <w:ind w:left="2880" w:hanging="360"/>
      </w:pPr>
      <w:rPr>
        <w:rFonts w:ascii="Symbol" w:hAnsi="Symbol" w:hint="default"/>
      </w:rPr>
    </w:lvl>
    <w:lvl w:ilvl="4" w:tplc="0E6A340E" w:tentative="1">
      <w:start w:val="1"/>
      <w:numFmt w:val="bullet"/>
      <w:lvlText w:val="o"/>
      <w:lvlJc w:val="left"/>
      <w:pPr>
        <w:ind w:left="3600" w:hanging="360"/>
      </w:pPr>
      <w:rPr>
        <w:rFonts w:ascii="Courier New" w:hAnsi="Courier New" w:cs="Courier New" w:hint="default"/>
      </w:rPr>
    </w:lvl>
    <w:lvl w:ilvl="5" w:tplc="4EB8568A" w:tentative="1">
      <w:start w:val="1"/>
      <w:numFmt w:val="bullet"/>
      <w:lvlText w:val=""/>
      <w:lvlJc w:val="left"/>
      <w:pPr>
        <w:ind w:left="4320" w:hanging="360"/>
      </w:pPr>
      <w:rPr>
        <w:rFonts w:ascii="Wingdings" w:hAnsi="Wingdings" w:hint="default"/>
      </w:rPr>
    </w:lvl>
    <w:lvl w:ilvl="6" w:tplc="883E1960" w:tentative="1">
      <w:start w:val="1"/>
      <w:numFmt w:val="bullet"/>
      <w:lvlText w:val=""/>
      <w:lvlJc w:val="left"/>
      <w:pPr>
        <w:ind w:left="5040" w:hanging="360"/>
      </w:pPr>
      <w:rPr>
        <w:rFonts w:ascii="Symbol" w:hAnsi="Symbol" w:hint="default"/>
      </w:rPr>
    </w:lvl>
    <w:lvl w:ilvl="7" w:tplc="C68C734A" w:tentative="1">
      <w:start w:val="1"/>
      <w:numFmt w:val="bullet"/>
      <w:lvlText w:val="o"/>
      <w:lvlJc w:val="left"/>
      <w:pPr>
        <w:ind w:left="5760" w:hanging="360"/>
      </w:pPr>
      <w:rPr>
        <w:rFonts w:ascii="Courier New" w:hAnsi="Courier New" w:cs="Courier New" w:hint="default"/>
      </w:rPr>
    </w:lvl>
    <w:lvl w:ilvl="8" w:tplc="7A7096F4"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F7061BA">
      <w:start w:val="1"/>
      <w:numFmt w:val="decimal"/>
      <w:lvlText w:val="%1)"/>
      <w:lvlJc w:val="left"/>
      <w:pPr>
        <w:ind w:left="720" w:hanging="360"/>
      </w:pPr>
      <w:rPr>
        <w:rFonts w:hint="default"/>
      </w:rPr>
    </w:lvl>
    <w:lvl w:ilvl="1" w:tplc="8FA05300" w:tentative="1">
      <w:start w:val="1"/>
      <w:numFmt w:val="lowerLetter"/>
      <w:lvlText w:val="%2."/>
      <w:lvlJc w:val="left"/>
      <w:pPr>
        <w:ind w:left="1440" w:hanging="360"/>
      </w:pPr>
    </w:lvl>
    <w:lvl w:ilvl="2" w:tplc="B8FAD820" w:tentative="1">
      <w:start w:val="1"/>
      <w:numFmt w:val="lowerRoman"/>
      <w:lvlText w:val="%3."/>
      <w:lvlJc w:val="right"/>
      <w:pPr>
        <w:ind w:left="2160" w:hanging="180"/>
      </w:pPr>
    </w:lvl>
    <w:lvl w:ilvl="3" w:tplc="F92827EA" w:tentative="1">
      <w:start w:val="1"/>
      <w:numFmt w:val="decimal"/>
      <w:lvlText w:val="%4."/>
      <w:lvlJc w:val="left"/>
      <w:pPr>
        <w:ind w:left="2880" w:hanging="360"/>
      </w:pPr>
    </w:lvl>
    <w:lvl w:ilvl="4" w:tplc="93AA7FF4" w:tentative="1">
      <w:start w:val="1"/>
      <w:numFmt w:val="lowerLetter"/>
      <w:lvlText w:val="%5."/>
      <w:lvlJc w:val="left"/>
      <w:pPr>
        <w:ind w:left="3600" w:hanging="360"/>
      </w:pPr>
    </w:lvl>
    <w:lvl w:ilvl="5" w:tplc="3E0A4F1C" w:tentative="1">
      <w:start w:val="1"/>
      <w:numFmt w:val="lowerRoman"/>
      <w:lvlText w:val="%6."/>
      <w:lvlJc w:val="right"/>
      <w:pPr>
        <w:ind w:left="4320" w:hanging="180"/>
      </w:pPr>
    </w:lvl>
    <w:lvl w:ilvl="6" w:tplc="3CD64E7C" w:tentative="1">
      <w:start w:val="1"/>
      <w:numFmt w:val="decimal"/>
      <w:lvlText w:val="%7."/>
      <w:lvlJc w:val="left"/>
      <w:pPr>
        <w:ind w:left="5040" w:hanging="360"/>
      </w:pPr>
    </w:lvl>
    <w:lvl w:ilvl="7" w:tplc="678E289A" w:tentative="1">
      <w:start w:val="1"/>
      <w:numFmt w:val="lowerLetter"/>
      <w:lvlText w:val="%8."/>
      <w:lvlJc w:val="left"/>
      <w:pPr>
        <w:ind w:left="5760" w:hanging="360"/>
      </w:pPr>
    </w:lvl>
    <w:lvl w:ilvl="8" w:tplc="0BFC3750"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71BA6392">
      <w:start w:val="1"/>
      <w:numFmt w:val="bullet"/>
      <w:lvlText w:val=""/>
      <w:lvlJc w:val="left"/>
      <w:pPr>
        <w:ind w:left="340" w:hanging="227"/>
      </w:pPr>
      <w:rPr>
        <w:rFonts w:ascii="Symbol" w:hAnsi="Symbol" w:hint="default"/>
      </w:rPr>
    </w:lvl>
    <w:lvl w:ilvl="1" w:tplc="542A6A96" w:tentative="1">
      <w:start w:val="1"/>
      <w:numFmt w:val="bullet"/>
      <w:lvlText w:val="o"/>
      <w:lvlJc w:val="left"/>
      <w:pPr>
        <w:ind w:left="1440" w:hanging="360"/>
      </w:pPr>
      <w:rPr>
        <w:rFonts w:ascii="Courier New" w:hAnsi="Courier New" w:cs="Courier New" w:hint="default"/>
      </w:rPr>
    </w:lvl>
    <w:lvl w:ilvl="2" w:tplc="58287352" w:tentative="1">
      <w:start w:val="1"/>
      <w:numFmt w:val="bullet"/>
      <w:lvlText w:val=""/>
      <w:lvlJc w:val="left"/>
      <w:pPr>
        <w:ind w:left="2160" w:hanging="360"/>
      </w:pPr>
      <w:rPr>
        <w:rFonts w:ascii="Wingdings" w:hAnsi="Wingdings" w:hint="default"/>
      </w:rPr>
    </w:lvl>
    <w:lvl w:ilvl="3" w:tplc="B524A536" w:tentative="1">
      <w:start w:val="1"/>
      <w:numFmt w:val="bullet"/>
      <w:lvlText w:val=""/>
      <w:lvlJc w:val="left"/>
      <w:pPr>
        <w:ind w:left="2880" w:hanging="360"/>
      </w:pPr>
      <w:rPr>
        <w:rFonts w:ascii="Symbol" w:hAnsi="Symbol" w:hint="default"/>
      </w:rPr>
    </w:lvl>
    <w:lvl w:ilvl="4" w:tplc="AFCC9BA2" w:tentative="1">
      <w:start w:val="1"/>
      <w:numFmt w:val="bullet"/>
      <w:lvlText w:val="o"/>
      <w:lvlJc w:val="left"/>
      <w:pPr>
        <w:ind w:left="3600" w:hanging="360"/>
      </w:pPr>
      <w:rPr>
        <w:rFonts w:ascii="Courier New" w:hAnsi="Courier New" w:cs="Courier New" w:hint="default"/>
      </w:rPr>
    </w:lvl>
    <w:lvl w:ilvl="5" w:tplc="474450FC" w:tentative="1">
      <w:start w:val="1"/>
      <w:numFmt w:val="bullet"/>
      <w:lvlText w:val=""/>
      <w:lvlJc w:val="left"/>
      <w:pPr>
        <w:ind w:left="4320" w:hanging="360"/>
      </w:pPr>
      <w:rPr>
        <w:rFonts w:ascii="Wingdings" w:hAnsi="Wingdings" w:hint="default"/>
      </w:rPr>
    </w:lvl>
    <w:lvl w:ilvl="6" w:tplc="5A4CA9C8" w:tentative="1">
      <w:start w:val="1"/>
      <w:numFmt w:val="bullet"/>
      <w:lvlText w:val=""/>
      <w:lvlJc w:val="left"/>
      <w:pPr>
        <w:ind w:left="5040" w:hanging="360"/>
      </w:pPr>
      <w:rPr>
        <w:rFonts w:ascii="Symbol" w:hAnsi="Symbol" w:hint="default"/>
      </w:rPr>
    </w:lvl>
    <w:lvl w:ilvl="7" w:tplc="E41240B4" w:tentative="1">
      <w:start w:val="1"/>
      <w:numFmt w:val="bullet"/>
      <w:lvlText w:val="o"/>
      <w:lvlJc w:val="left"/>
      <w:pPr>
        <w:ind w:left="5760" w:hanging="360"/>
      </w:pPr>
      <w:rPr>
        <w:rFonts w:ascii="Courier New" w:hAnsi="Courier New" w:cs="Courier New" w:hint="default"/>
      </w:rPr>
    </w:lvl>
    <w:lvl w:ilvl="8" w:tplc="C87CFA3E"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B5982A26">
      <w:start w:val="1"/>
      <w:numFmt w:val="decimal"/>
      <w:lvlText w:val="%1)"/>
      <w:lvlJc w:val="left"/>
      <w:pPr>
        <w:ind w:left="340" w:hanging="227"/>
      </w:pPr>
      <w:rPr>
        <w:rFonts w:hint="default"/>
      </w:rPr>
    </w:lvl>
    <w:lvl w:ilvl="1" w:tplc="630C2A90" w:tentative="1">
      <w:start w:val="1"/>
      <w:numFmt w:val="bullet"/>
      <w:lvlText w:val="o"/>
      <w:lvlJc w:val="left"/>
      <w:pPr>
        <w:ind w:left="1440" w:hanging="360"/>
      </w:pPr>
      <w:rPr>
        <w:rFonts w:ascii="Courier New" w:hAnsi="Courier New" w:cs="Courier New" w:hint="default"/>
      </w:rPr>
    </w:lvl>
    <w:lvl w:ilvl="2" w:tplc="42621AA2" w:tentative="1">
      <w:start w:val="1"/>
      <w:numFmt w:val="bullet"/>
      <w:lvlText w:val=""/>
      <w:lvlJc w:val="left"/>
      <w:pPr>
        <w:ind w:left="2160" w:hanging="360"/>
      </w:pPr>
      <w:rPr>
        <w:rFonts w:ascii="Wingdings" w:hAnsi="Wingdings" w:hint="default"/>
      </w:rPr>
    </w:lvl>
    <w:lvl w:ilvl="3" w:tplc="3AA2C6C6" w:tentative="1">
      <w:start w:val="1"/>
      <w:numFmt w:val="bullet"/>
      <w:lvlText w:val=""/>
      <w:lvlJc w:val="left"/>
      <w:pPr>
        <w:ind w:left="2880" w:hanging="360"/>
      </w:pPr>
      <w:rPr>
        <w:rFonts w:ascii="Symbol" w:hAnsi="Symbol" w:hint="default"/>
      </w:rPr>
    </w:lvl>
    <w:lvl w:ilvl="4" w:tplc="311C7D92" w:tentative="1">
      <w:start w:val="1"/>
      <w:numFmt w:val="bullet"/>
      <w:lvlText w:val="o"/>
      <w:lvlJc w:val="left"/>
      <w:pPr>
        <w:ind w:left="3600" w:hanging="360"/>
      </w:pPr>
      <w:rPr>
        <w:rFonts w:ascii="Courier New" w:hAnsi="Courier New" w:cs="Courier New" w:hint="default"/>
      </w:rPr>
    </w:lvl>
    <w:lvl w:ilvl="5" w:tplc="D7DE1E34" w:tentative="1">
      <w:start w:val="1"/>
      <w:numFmt w:val="bullet"/>
      <w:lvlText w:val=""/>
      <w:lvlJc w:val="left"/>
      <w:pPr>
        <w:ind w:left="4320" w:hanging="360"/>
      </w:pPr>
      <w:rPr>
        <w:rFonts w:ascii="Wingdings" w:hAnsi="Wingdings" w:hint="default"/>
      </w:rPr>
    </w:lvl>
    <w:lvl w:ilvl="6" w:tplc="0ACEF618" w:tentative="1">
      <w:start w:val="1"/>
      <w:numFmt w:val="bullet"/>
      <w:lvlText w:val=""/>
      <w:lvlJc w:val="left"/>
      <w:pPr>
        <w:ind w:left="5040" w:hanging="360"/>
      </w:pPr>
      <w:rPr>
        <w:rFonts w:ascii="Symbol" w:hAnsi="Symbol" w:hint="default"/>
      </w:rPr>
    </w:lvl>
    <w:lvl w:ilvl="7" w:tplc="77F6B622" w:tentative="1">
      <w:start w:val="1"/>
      <w:numFmt w:val="bullet"/>
      <w:lvlText w:val="o"/>
      <w:lvlJc w:val="left"/>
      <w:pPr>
        <w:ind w:left="5760" w:hanging="360"/>
      </w:pPr>
      <w:rPr>
        <w:rFonts w:ascii="Courier New" w:hAnsi="Courier New" w:cs="Courier New" w:hint="default"/>
      </w:rPr>
    </w:lvl>
    <w:lvl w:ilvl="8" w:tplc="C54C94C2"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4D1C7E52">
      <w:start w:val="1"/>
      <w:numFmt w:val="decimal"/>
      <w:pStyle w:val="CETnumbering1"/>
      <w:lvlText w:val="%1."/>
      <w:lvlJc w:val="left"/>
      <w:pPr>
        <w:ind w:left="720" w:hanging="360"/>
      </w:pPr>
    </w:lvl>
    <w:lvl w:ilvl="1" w:tplc="81806998" w:tentative="1">
      <w:start w:val="1"/>
      <w:numFmt w:val="lowerLetter"/>
      <w:lvlText w:val="%2."/>
      <w:lvlJc w:val="left"/>
      <w:pPr>
        <w:ind w:left="1440" w:hanging="360"/>
      </w:pPr>
    </w:lvl>
    <w:lvl w:ilvl="2" w:tplc="4836A6D8" w:tentative="1">
      <w:start w:val="1"/>
      <w:numFmt w:val="lowerRoman"/>
      <w:lvlText w:val="%3."/>
      <w:lvlJc w:val="right"/>
      <w:pPr>
        <w:ind w:left="2160" w:hanging="180"/>
      </w:pPr>
    </w:lvl>
    <w:lvl w:ilvl="3" w:tplc="46B84E10" w:tentative="1">
      <w:start w:val="1"/>
      <w:numFmt w:val="decimal"/>
      <w:lvlText w:val="%4."/>
      <w:lvlJc w:val="left"/>
      <w:pPr>
        <w:ind w:left="2880" w:hanging="360"/>
      </w:pPr>
    </w:lvl>
    <w:lvl w:ilvl="4" w:tplc="4CBA060C" w:tentative="1">
      <w:start w:val="1"/>
      <w:numFmt w:val="lowerLetter"/>
      <w:lvlText w:val="%5."/>
      <w:lvlJc w:val="left"/>
      <w:pPr>
        <w:ind w:left="3600" w:hanging="360"/>
      </w:pPr>
    </w:lvl>
    <w:lvl w:ilvl="5" w:tplc="39AE56FE" w:tentative="1">
      <w:start w:val="1"/>
      <w:numFmt w:val="lowerRoman"/>
      <w:lvlText w:val="%6."/>
      <w:lvlJc w:val="right"/>
      <w:pPr>
        <w:ind w:left="4320" w:hanging="180"/>
      </w:pPr>
    </w:lvl>
    <w:lvl w:ilvl="6" w:tplc="D6563DD8" w:tentative="1">
      <w:start w:val="1"/>
      <w:numFmt w:val="decimal"/>
      <w:lvlText w:val="%7."/>
      <w:lvlJc w:val="left"/>
      <w:pPr>
        <w:ind w:left="5040" w:hanging="360"/>
      </w:pPr>
    </w:lvl>
    <w:lvl w:ilvl="7" w:tplc="DB8040D2" w:tentative="1">
      <w:start w:val="1"/>
      <w:numFmt w:val="lowerLetter"/>
      <w:lvlText w:val="%8."/>
      <w:lvlJc w:val="left"/>
      <w:pPr>
        <w:ind w:left="5760" w:hanging="360"/>
      </w:pPr>
    </w:lvl>
    <w:lvl w:ilvl="8" w:tplc="1B7A72BE"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6F744D40">
      <w:start w:val="1"/>
      <w:numFmt w:val="bullet"/>
      <w:lvlText w:val=""/>
      <w:lvlJc w:val="left"/>
      <w:pPr>
        <w:ind w:left="720" w:hanging="360"/>
      </w:pPr>
      <w:rPr>
        <w:rFonts w:ascii="Symbol" w:hAnsi="Symbol" w:hint="default"/>
      </w:rPr>
    </w:lvl>
    <w:lvl w:ilvl="1" w:tplc="1ECA925C" w:tentative="1">
      <w:start w:val="1"/>
      <w:numFmt w:val="bullet"/>
      <w:lvlText w:val="o"/>
      <w:lvlJc w:val="left"/>
      <w:pPr>
        <w:ind w:left="1440" w:hanging="360"/>
      </w:pPr>
      <w:rPr>
        <w:rFonts w:ascii="Courier New" w:hAnsi="Courier New" w:cs="Courier New" w:hint="default"/>
      </w:rPr>
    </w:lvl>
    <w:lvl w:ilvl="2" w:tplc="55F6165A" w:tentative="1">
      <w:start w:val="1"/>
      <w:numFmt w:val="bullet"/>
      <w:lvlText w:val=""/>
      <w:lvlJc w:val="left"/>
      <w:pPr>
        <w:ind w:left="2160" w:hanging="360"/>
      </w:pPr>
      <w:rPr>
        <w:rFonts w:ascii="Wingdings" w:hAnsi="Wingdings" w:hint="default"/>
      </w:rPr>
    </w:lvl>
    <w:lvl w:ilvl="3" w:tplc="C11623CA" w:tentative="1">
      <w:start w:val="1"/>
      <w:numFmt w:val="bullet"/>
      <w:lvlText w:val=""/>
      <w:lvlJc w:val="left"/>
      <w:pPr>
        <w:ind w:left="2880" w:hanging="360"/>
      </w:pPr>
      <w:rPr>
        <w:rFonts w:ascii="Symbol" w:hAnsi="Symbol" w:hint="default"/>
      </w:rPr>
    </w:lvl>
    <w:lvl w:ilvl="4" w:tplc="401AB3D8" w:tentative="1">
      <w:start w:val="1"/>
      <w:numFmt w:val="bullet"/>
      <w:lvlText w:val="o"/>
      <w:lvlJc w:val="left"/>
      <w:pPr>
        <w:ind w:left="3600" w:hanging="360"/>
      </w:pPr>
      <w:rPr>
        <w:rFonts w:ascii="Courier New" w:hAnsi="Courier New" w:cs="Courier New" w:hint="default"/>
      </w:rPr>
    </w:lvl>
    <w:lvl w:ilvl="5" w:tplc="F8E65A6C" w:tentative="1">
      <w:start w:val="1"/>
      <w:numFmt w:val="bullet"/>
      <w:lvlText w:val=""/>
      <w:lvlJc w:val="left"/>
      <w:pPr>
        <w:ind w:left="4320" w:hanging="360"/>
      </w:pPr>
      <w:rPr>
        <w:rFonts w:ascii="Wingdings" w:hAnsi="Wingdings" w:hint="default"/>
      </w:rPr>
    </w:lvl>
    <w:lvl w:ilvl="6" w:tplc="793C92F8" w:tentative="1">
      <w:start w:val="1"/>
      <w:numFmt w:val="bullet"/>
      <w:lvlText w:val=""/>
      <w:lvlJc w:val="left"/>
      <w:pPr>
        <w:ind w:left="5040" w:hanging="360"/>
      </w:pPr>
      <w:rPr>
        <w:rFonts w:ascii="Symbol" w:hAnsi="Symbol" w:hint="default"/>
      </w:rPr>
    </w:lvl>
    <w:lvl w:ilvl="7" w:tplc="CC56B71E" w:tentative="1">
      <w:start w:val="1"/>
      <w:numFmt w:val="bullet"/>
      <w:lvlText w:val="o"/>
      <w:lvlJc w:val="left"/>
      <w:pPr>
        <w:ind w:left="5760" w:hanging="360"/>
      </w:pPr>
      <w:rPr>
        <w:rFonts w:ascii="Courier New" w:hAnsi="Courier New" w:cs="Courier New" w:hint="default"/>
      </w:rPr>
    </w:lvl>
    <w:lvl w:ilvl="8" w:tplc="7BF870AC"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FDF8C292">
      <w:start w:val="1"/>
      <w:numFmt w:val="lowerLetter"/>
      <w:pStyle w:val="CETnumberinga"/>
      <w:lvlText w:val="%1."/>
      <w:lvlJc w:val="left"/>
      <w:pPr>
        <w:ind w:left="340" w:hanging="227"/>
      </w:pPr>
      <w:rPr>
        <w:rFonts w:hint="default"/>
      </w:rPr>
    </w:lvl>
    <w:lvl w:ilvl="1" w:tplc="DD30FA86" w:tentative="1">
      <w:start w:val="1"/>
      <w:numFmt w:val="bullet"/>
      <w:lvlText w:val="o"/>
      <w:lvlJc w:val="left"/>
      <w:pPr>
        <w:ind w:left="1440" w:hanging="360"/>
      </w:pPr>
      <w:rPr>
        <w:rFonts w:ascii="Courier New" w:hAnsi="Courier New" w:cs="Courier New" w:hint="default"/>
      </w:rPr>
    </w:lvl>
    <w:lvl w:ilvl="2" w:tplc="71F0924A" w:tentative="1">
      <w:start w:val="1"/>
      <w:numFmt w:val="bullet"/>
      <w:lvlText w:val=""/>
      <w:lvlJc w:val="left"/>
      <w:pPr>
        <w:ind w:left="2160" w:hanging="360"/>
      </w:pPr>
      <w:rPr>
        <w:rFonts w:ascii="Wingdings" w:hAnsi="Wingdings" w:hint="default"/>
      </w:rPr>
    </w:lvl>
    <w:lvl w:ilvl="3" w:tplc="932C66C4" w:tentative="1">
      <w:start w:val="1"/>
      <w:numFmt w:val="bullet"/>
      <w:lvlText w:val=""/>
      <w:lvlJc w:val="left"/>
      <w:pPr>
        <w:ind w:left="2880" w:hanging="360"/>
      </w:pPr>
      <w:rPr>
        <w:rFonts w:ascii="Symbol" w:hAnsi="Symbol" w:hint="default"/>
      </w:rPr>
    </w:lvl>
    <w:lvl w:ilvl="4" w:tplc="F4065552" w:tentative="1">
      <w:start w:val="1"/>
      <w:numFmt w:val="bullet"/>
      <w:lvlText w:val="o"/>
      <w:lvlJc w:val="left"/>
      <w:pPr>
        <w:ind w:left="3600" w:hanging="360"/>
      </w:pPr>
      <w:rPr>
        <w:rFonts w:ascii="Courier New" w:hAnsi="Courier New" w:cs="Courier New" w:hint="default"/>
      </w:rPr>
    </w:lvl>
    <w:lvl w:ilvl="5" w:tplc="92DEDEFA" w:tentative="1">
      <w:start w:val="1"/>
      <w:numFmt w:val="bullet"/>
      <w:lvlText w:val=""/>
      <w:lvlJc w:val="left"/>
      <w:pPr>
        <w:ind w:left="4320" w:hanging="360"/>
      </w:pPr>
      <w:rPr>
        <w:rFonts w:ascii="Wingdings" w:hAnsi="Wingdings" w:hint="default"/>
      </w:rPr>
    </w:lvl>
    <w:lvl w:ilvl="6" w:tplc="BDA28B04" w:tentative="1">
      <w:start w:val="1"/>
      <w:numFmt w:val="bullet"/>
      <w:lvlText w:val=""/>
      <w:lvlJc w:val="left"/>
      <w:pPr>
        <w:ind w:left="5040" w:hanging="360"/>
      </w:pPr>
      <w:rPr>
        <w:rFonts w:ascii="Symbol" w:hAnsi="Symbol" w:hint="default"/>
      </w:rPr>
    </w:lvl>
    <w:lvl w:ilvl="7" w:tplc="85C2F174" w:tentative="1">
      <w:start w:val="1"/>
      <w:numFmt w:val="bullet"/>
      <w:lvlText w:val="o"/>
      <w:lvlJc w:val="left"/>
      <w:pPr>
        <w:ind w:left="5760" w:hanging="360"/>
      </w:pPr>
      <w:rPr>
        <w:rFonts w:ascii="Courier New" w:hAnsi="Courier New" w:cs="Courier New" w:hint="default"/>
      </w:rPr>
    </w:lvl>
    <w:lvl w:ilvl="8" w:tplc="A224B326" w:tentative="1">
      <w:start w:val="1"/>
      <w:numFmt w:val="bullet"/>
      <w:lvlText w:val=""/>
      <w:lvlJc w:val="left"/>
      <w:pPr>
        <w:ind w:left="6480" w:hanging="360"/>
      </w:pPr>
      <w:rPr>
        <w:rFonts w:ascii="Wingdings" w:hAnsi="Wingdings" w:hint="default"/>
      </w:rPr>
    </w:lvl>
  </w:abstractNum>
  <w:num w:numId="1" w16cid:durableId="1942450857">
    <w:abstractNumId w:val="10"/>
  </w:num>
  <w:num w:numId="2" w16cid:durableId="963727630">
    <w:abstractNumId w:val="8"/>
  </w:num>
  <w:num w:numId="3" w16cid:durableId="1374840887">
    <w:abstractNumId w:val="3"/>
  </w:num>
  <w:num w:numId="4" w16cid:durableId="274680692">
    <w:abstractNumId w:val="2"/>
  </w:num>
  <w:num w:numId="5" w16cid:durableId="1073158401">
    <w:abstractNumId w:val="1"/>
  </w:num>
  <w:num w:numId="6" w16cid:durableId="1454059424">
    <w:abstractNumId w:val="0"/>
  </w:num>
  <w:num w:numId="7" w16cid:durableId="2022119493">
    <w:abstractNumId w:val="9"/>
  </w:num>
  <w:num w:numId="8" w16cid:durableId="183327393">
    <w:abstractNumId w:val="7"/>
  </w:num>
  <w:num w:numId="9" w16cid:durableId="956183736">
    <w:abstractNumId w:val="6"/>
  </w:num>
  <w:num w:numId="10" w16cid:durableId="546332515">
    <w:abstractNumId w:val="5"/>
  </w:num>
  <w:num w:numId="11" w16cid:durableId="830603545">
    <w:abstractNumId w:val="4"/>
  </w:num>
  <w:num w:numId="12" w16cid:durableId="605498860">
    <w:abstractNumId w:val="16"/>
  </w:num>
  <w:num w:numId="13" w16cid:durableId="361441689">
    <w:abstractNumId w:val="12"/>
  </w:num>
  <w:num w:numId="14" w16cid:durableId="561714866">
    <w:abstractNumId w:val="17"/>
  </w:num>
  <w:num w:numId="15" w16cid:durableId="1615476827">
    <w:abstractNumId w:val="19"/>
  </w:num>
  <w:num w:numId="16" w16cid:durableId="657805632">
    <w:abstractNumId w:val="18"/>
  </w:num>
  <w:num w:numId="17" w16cid:durableId="1574241620">
    <w:abstractNumId w:val="11"/>
  </w:num>
  <w:num w:numId="18" w16cid:durableId="1994213687">
    <w:abstractNumId w:val="12"/>
    <w:lvlOverride w:ilvl="0">
      <w:startOverride w:val="1"/>
    </w:lvlOverride>
  </w:num>
  <w:num w:numId="19" w16cid:durableId="2118015395">
    <w:abstractNumId w:val="15"/>
  </w:num>
  <w:num w:numId="20" w16cid:durableId="1527139441">
    <w:abstractNumId w:val="14"/>
  </w:num>
  <w:num w:numId="21" w16cid:durableId="20933090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kwMakFAIVoQv4tAAAA"/>
  </w:docVars>
  <w:rsids>
    <w:rsidRoot w:val="000E414A"/>
    <w:rsid w:val="00001209"/>
    <w:rsid w:val="000027C0"/>
    <w:rsid w:val="000052FB"/>
    <w:rsid w:val="000117CB"/>
    <w:rsid w:val="00023307"/>
    <w:rsid w:val="0002707D"/>
    <w:rsid w:val="0003148D"/>
    <w:rsid w:val="00031EF0"/>
    <w:rsid w:val="0003343A"/>
    <w:rsid w:val="00047B5D"/>
    <w:rsid w:val="000502C5"/>
    <w:rsid w:val="00051566"/>
    <w:rsid w:val="00062A9A"/>
    <w:rsid w:val="00065058"/>
    <w:rsid w:val="00080524"/>
    <w:rsid w:val="000820C0"/>
    <w:rsid w:val="00083732"/>
    <w:rsid w:val="00086C39"/>
    <w:rsid w:val="00090FE5"/>
    <w:rsid w:val="000A03B2"/>
    <w:rsid w:val="000B262D"/>
    <w:rsid w:val="000B47D3"/>
    <w:rsid w:val="000C28EA"/>
    <w:rsid w:val="000C7D46"/>
    <w:rsid w:val="000D0268"/>
    <w:rsid w:val="000D34BE"/>
    <w:rsid w:val="000D56D6"/>
    <w:rsid w:val="000E102F"/>
    <w:rsid w:val="000E104D"/>
    <w:rsid w:val="000E36F1"/>
    <w:rsid w:val="000E3A73"/>
    <w:rsid w:val="000E414A"/>
    <w:rsid w:val="000E577A"/>
    <w:rsid w:val="000E6408"/>
    <w:rsid w:val="000F093C"/>
    <w:rsid w:val="000F787B"/>
    <w:rsid w:val="0010705B"/>
    <w:rsid w:val="00111EE2"/>
    <w:rsid w:val="0012091F"/>
    <w:rsid w:val="001253D8"/>
    <w:rsid w:val="00126BC2"/>
    <w:rsid w:val="001308B6"/>
    <w:rsid w:val="0013121F"/>
    <w:rsid w:val="00131FE6"/>
    <w:rsid w:val="0013263F"/>
    <w:rsid w:val="00134DE4"/>
    <w:rsid w:val="00135FA4"/>
    <w:rsid w:val="0014034D"/>
    <w:rsid w:val="001432E5"/>
    <w:rsid w:val="0014464F"/>
    <w:rsid w:val="00144DD0"/>
    <w:rsid w:val="00150E59"/>
    <w:rsid w:val="00152DE3"/>
    <w:rsid w:val="001572F6"/>
    <w:rsid w:val="00157C13"/>
    <w:rsid w:val="001606AB"/>
    <w:rsid w:val="00164CF9"/>
    <w:rsid w:val="00174392"/>
    <w:rsid w:val="001743E4"/>
    <w:rsid w:val="00180860"/>
    <w:rsid w:val="00184AD6"/>
    <w:rsid w:val="001A5B78"/>
    <w:rsid w:val="001A6A9F"/>
    <w:rsid w:val="001B0349"/>
    <w:rsid w:val="001B65C1"/>
    <w:rsid w:val="001C3B36"/>
    <w:rsid w:val="001C684B"/>
    <w:rsid w:val="001D53FC"/>
    <w:rsid w:val="001D582B"/>
    <w:rsid w:val="001F3FB5"/>
    <w:rsid w:val="001F42A5"/>
    <w:rsid w:val="001F7B9D"/>
    <w:rsid w:val="00206704"/>
    <w:rsid w:val="002224B4"/>
    <w:rsid w:val="00226D81"/>
    <w:rsid w:val="00230E93"/>
    <w:rsid w:val="00230F2F"/>
    <w:rsid w:val="00241FA6"/>
    <w:rsid w:val="002447EF"/>
    <w:rsid w:val="00246E1C"/>
    <w:rsid w:val="00246E94"/>
    <w:rsid w:val="00251550"/>
    <w:rsid w:val="002630CF"/>
    <w:rsid w:val="00263B05"/>
    <w:rsid w:val="002661D7"/>
    <w:rsid w:val="0027221A"/>
    <w:rsid w:val="00275B61"/>
    <w:rsid w:val="00282656"/>
    <w:rsid w:val="00296B83"/>
    <w:rsid w:val="002A0F9B"/>
    <w:rsid w:val="002B6F69"/>
    <w:rsid w:val="002B78CE"/>
    <w:rsid w:val="002C2E62"/>
    <w:rsid w:val="002C2FB6"/>
    <w:rsid w:val="002D7152"/>
    <w:rsid w:val="002E4011"/>
    <w:rsid w:val="002E4724"/>
    <w:rsid w:val="002E54C5"/>
    <w:rsid w:val="002E6FBE"/>
    <w:rsid w:val="002F13DB"/>
    <w:rsid w:val="003009B7"/>
    <w:rsid w:val="00300E56"/>
    <w:rsid w:val="0030469C"/>
    <w:rsid w:val="00305D60"/>
    <w:rsid w:val="00321CA6"/>
    <w:rsid w:val="00322587"/>
    <w:rsid w:val="00333FB1"/>
    <w:rsid w:val="00334035"/>
    <w:rsid w:val="00334C09"/>
    <w:rsid w:val="00336BD9"/>
    <w:rsid w:val="003439E7"/>
    <w:rsid w:val="00345B03"/>
    <w:rsid w:val="00362E2A"/>
    <w:rsid w:val="00366D24"/>
    <w:rsid w:val="003722F3"/>
    <w:rsid w:val="003723D4"/>
    <w:rsid w:val="00383F4B"/>
    <w:rsid w:val="00384CC8"/>
    <w:rsid w:val="003871FD"/>
    <w:rsid w:val="00397759"/>
    <w:rsid w:val="003A1E30"/>
    <w:rsid w:val="003A3B2E"/>
    <w:rsid w:val="003A7D1C"/>
    <w:rsid w:val="003B304B"/>
    <w:rsid w:val="003B3146"/>
    <w:rsid w:val="003B5649"/>
    <w:rsid w:val="003B7BDC"/>
    <w:rsid w:val="003D235B"/>
    <w:rsid w:val="003D489A"/>
    <w:rsid w:val="003E096C"/>
    <w:rsid w:val="003F015E"/>
    <w:rsid w:val="00400414"/>
    <w:rsid w:val="0041446B"/>
    <w:rsid w:val="0042778F"/>
    <w:rsid w:val="00430E45"/>
    <w:rsid w:val="0044329C"/>
    <w:rsid w:val="004577FE"/>
    <w:rsid w:val="00457B9C"/>
    <w:rsid w:val="0046164A"/>
    <w:rsid w:val="004628D2"/>
    <w:rsid w:val="00462DCD"/>
    <w:rsid w:val="004648AD"/>
    <w:rsid w:val="0046636C"/>
    <w:rsid w:val="004703A9"/>
    <w:rsid w:val="00472A35"/>
    <w:rsid w:val="004760DE"/>
    <w:rsid w:val="00485085"/>
    <w:rsid w:val="004A004E"/>
    <w:rsid w:val="004A190F"/>
    <w:rsid w:val="004A24CF"/>
    <w:rsid w:val="004A3477"/>
    <w:rsid w:val="004A4687"/>
    <w:rsid w:val="004B4E41"/>
    <w:rsid w:val="004B57E1"/>
    <w:rsid w:val="004C3D1D"/>
    <w:rsid w:val="004C7913"/>
    <w:rsid w:val="004E1842"/>
    <w:rsid w:val="004E36B2"/>
    <w:rsid w:val="004E4DD6"/>
    <w:rsid w:val="004E6D22"/>
    <w:rsid w:val="004F5E36"/>
    <w:rsid w:val="00507B47"/>
    <w:rsid w:val="00507CC9"/>
    <w:rsid w:val="005119A5"/>
    <w:rsid w:val="00516D93"/>
    <w:rsid w:val="0052612E"/>
    <w:rsid w:val="005278B7"/>
    <w:rsid w:val="00532016"/>
    <w:rsid w:val="005346C8"/>
    <w:rsid w:val="00543E7D"/>
    <w:rsid w:val="00547A68"/>
    <w:rsid w:val="005531C9"/>
    <w:rsid w:val="00584CD8"/>
    <w:rsid w:val="00586096"/>
    <w:rsid w:val="00595A2D"/>
    <w:rsid w:val="005A3E9C"/>
    <w:rsid w:val="005B2110"/>
    <w:rsid w:val="005B61E6"/>
    <w:rsid w:val="005C77E1"/>
    <w:rsid w:val="005D2ACC"/>
    <w:rsid w:val="005D6A2F"/>
    <w:rsid w:val="005E013E"/>
    <w:rsid w:val="005E1A82"/>
    <w:rsid w:val="005E794C"/>
    <w:rsid w:val="005F0A28"/>
    <w:rsid w:val="005F0E5E"/>
    <w:rsid w:val="005F43B9"/>
    <w:rsid w:val="00600535"/>
    <w:rsid w:val="0060204D"/>
    <w:rsid w:val="00610CD6"/>
    <w:rsid w:val="00620C11"/>
    <w:rsid w:val="00620DEE"/>
    <w:rsid w:val="00621F92"/>
    <w:rsid w:val="0062294D"/>
    <w:rsid w:val="00622E16"/>
    <w:rsid w:val="00625639"/>
    <w:rsid w:val="00631B33"/>
    <w:rsid w:val="00637BDA"/>
    <w:rsid w:val="0064184D"/>
    <w:rsid w:val="006506C2"/>
    <w:rsid w:val="00651B68"/>
    <w:rsid w:val="00660E3E"/>
    <w:rsid w:val="00662E74"/>
    <w:rsid w:val="00680C23"/>
    <w:rsid w:val="00693766"/>
    <w:rsid w:val="006A3281"/>
    <w:rsid w:val="006B4888"/>
    <w:rsid w:val="006B5C85"/>
    <w:rsid w:val="006C2E45"/>
    <w:rsid w:val="006C359C"/>
    <w:rsid w:val="006C5579"/>
    <w:rsid w:val="006C7F5C"/>
    <w:rsid w:val="006E1319"/>
    <w:rsid w:val="006E737D"/>
    <w:rsid w:val="00711D2D"/>
    <w:rsid w:val="00714970"/>
    <w:rsid w:val="00720A24"/>
    <w:rsid w:val="007226E8"/>
    <w:rsid w:val="00732386"/>
    <w:rsid w:val="00742E24"/>
    <w:rsid w:val="007447F3"/>
    <w:rsid w:val="007449A6"/>
    <w:rsid w:val="0075499F"/>
    <w:rsid w:val="007661C8"/>
    <w:rsid w:val="00767E72"/>
    <w:rsid w:val="0077098D"/>
    <w:rsid w:val="00776F63"/>
    <w:rsid w:val="0078578A"/>
    <w:rsid w:val="00796031"/>
    <w:rsid w:val="007A7BBA"/>
    <w:rsid w:val="007B0C50"/>
    <w:rsid w:val="007B4BD6"/>
    <w:rsid w:val="007C1A43"/>
    <w:rsid w:val="007D0B45"/>
    <w:rsid w:val="007D1FD1"/>
    <w:rsid w:val="007D2522"/>
    <w:rsid w:val="007D6B05"/>
    <w:rsid w:val="007E6503"/>
    <w:rsid w:val="008112E4"/>
    <w:rsid w:val="00813288"/>
    <w:rsid w:val="008168FC"/>
    <w:rsid w:val="008226D0"/>
    <w:rsid w:val="008308BE"/>
    <w:rsid w:val="00830996"/>
    <w:rsid w:val="008345F1"/>
    <w:rsid w:val="008427A2"/>
    <w:rsid w:val="00842EAF"/>
    <w:rsid w:val="00844402"/>
    <w:rsid w:val="00850B6F"/>
    <w:rsid w:val="0086197B"/>
    <w:rsid w:val="00865B07"/>
    <w:rsid w:val="008667EA"/>
    <w:rsid w:val="00873D70"/>
    <w:rsid w:val="0087637F"/>
    <w:rsid w:val="00886E6A"/>
    <w:rsid w:val="00892AD5"/>
    <w:rsid w:val="008A0DEE"/>
    <w:rsid w:val="008A1512"/>
    <w:rsid w:val="008B0081"/>
    <w:rsid w:val="008C05BD"/>
    <w:rsid w:val="008D433B"/>
    <w:rsid w:val="008E0FBA"/>
    <w:rsid w:val="008E566E"/>
    <w:rsid w:val="008F4C46"/>
    <w:rsid w:val="008F7AD5"/>
    <w:rsid w:val="0090161A"/>
    <w:rsid w:val="00901EB6"/>
    <w:rsid w:val="00904C62"/>
    <w:rsid w:val="00924DAC"/>
    <w:rsid w:val="00927058"/>
    <w:rsid w:val="009309C3"/>
    <w:rsid w:val="0093379A"/>
    <w:rsid w:val="009450CE"/>
    <w:rsid w:val="00947179"/>
    <w:rsid w:val="0095164B"/>
    <w:rsid w:val="00954090"/>
    <w:rsid w:val="009573E7"/>
    <w:rsid w:val="00963E05"/>
    <w:rsid w:val="00967D54"/>
    <w:rsid w:val="0098694F"/>
    <w:rsid w:val="00996483"/>
    <w:rsid w:val="00996F5A"/>
    <w:rsid w:val="009B041A"/>
    <w:rsid w:val="009C7C86"/>
    <w:rsid w:val="009D2FF7"/>
    <w:rsid w:val="009E7884"/>
    <w:rsid w:val="009E788A"/>
    <w:rsid w:val="009F0E08"/>
    <w:rsid w:val="009F7F64"/>
    <w:rsid w:val="00A13873"/>
    <w:rsid w:val="00A1763D"/>
    <w:rsid w:val="00A17CEC"/>
    <w:rsid w:val="00A22E57"/>
    <w:rsid w:val="00A27EF0"/>
    <w:rsid w:val="00A4244C"/>
    <w:rsid w:val="00A43C89"/>
    <w:rsid w:val="00A50B20"/>
    <w:rsid w:val="00A51390"/>
    <w:rsid w:val="00A60D13"/>
    <w:rsid w:val="00A625BA"/>
    <w:rsid w:val="00A7140B"/>
    <w:rsid w:val="00A72745"/>
    <w:rsid w:val="00A751F4"/>
    <w:rsid w:val="00A76EFC"/>
    <w:rsid w:val="00A90455"/>
    <w:rsid w:val="00A91010"/>
    <w:rsid w:val="00A967FF"/>
    <w:rsid w:val="00A97F29"/>
    <w:rsid w:val="00AA44B8"/>
    <w:rsid w:val="00AA6BDD"/>
    <w:rsid w:val="00AA702E"/>
    <w:rsid w:val="00AB0964"/>
    <w:rsid w:val="00AB0EE8"/>
    <w:rsid w:val="00AB352B"/>
    <w:rsid w:val="00AB5011"/>
    <w:rsid w:val="00AC012C"/>
    <w:rsid w:val="00AC7368"/>
    <w:rsid w:val="00AD16B9"/>
    <w:rsid w:val="00AD1FEA"/>
    <w:rsid w:val="00AE377D"/>
    <w:rsid w:val="00AF1800"/>
    <w:rsid w:val="00B107EA"/>
    <w:rsid w:val="00B13AAD"/>
    <w:rsid w:val="00B17FBD"/>
    <w:rsid w:val="00B24910"/>
    <w:rsid w:val="00B25FA5"/>
    <w:rsid w:val="00B315A6"/>
    <w:rsid w:val="00B31813"/>
    <w:rsid w:val="00B32C4B"/>
    <w:rsid w:val="00B33365"/>
    <w:rsid w:val="00B46B20"/>
    <w:rsid w:val="00B57B36"/>
    <w:rsid w:val="00B85594"/>
    <w:rsid w:val="00B8686D"/>
    <w:rsid w:val="00B86DCD"/>
    <w:rsid w:val="00B92734"/>
    <w:rsid w:val="00B9538A"/>
    <w:rsid w:val="00BA35B4"/>
    <w:rsid w:val="00BB0C7D"/>
    <w:rsid w:val="00BC1301"/>
    <w:rsid w:val="00BC30C9"/>
    <w:rsid w:val="00BC32A9"/>
    <w:rsid w:val="00BC7A7A"/>
    <w:rsid w:val="00BD189B"/>
    <w:rsid w:val="00BD1EDD"/>
    <w:rsid w:val="00BE09B2"/>
    <w:rsid w:val="00BE3E58"/>
    <w:rsid w:val="00BE7B33"/>
    <w:rsid w:val="00BF06E4"/>
    <w:rsid w:val="00BF2E07"/>
    <w:rsid w:val="00BF52FC"/>
    <w:rsid w:val="00C01616"/>
    <w:rsid w:val="00C0162B"/>
    <w:rsid w:val="00C0641E"/>
    <w:rsid w:val="00C127FE"/>
    <w:rsid w:val="00C22D3C"/>
    <w:rsid w:val="00C25362"/>
    <w:rsid w:val="00C33565"/>
    <w:rsid w:val="00C345B1"/>
    <w:rsid w:val="00C40142"/>
    <w:rsid w:val="00C431FF"/>
    <w:rsid w:val="00C50E22"/>
    <w:rsid w:val="00C53D67"/>
    <w:rsid w:val="00C57182"/>
    <w:rsid w:val="00C57863"/>
    <w:rsid w:val="00C60661"/>
    <w:rsid w:val="00C626E4"/>
    <w:rsid w:val="00C655FD"/>
    <w:rsid w:val="00C71FB5"/>
    <w:rsid w:val="00C7304C"/>
    <w:rsid w:val="00C870A8"/>
    <w:rsid w:val="00C94434"/>
    <w:rsid w:val="00CA0D75"/>
    <w:rsid w:val="00CA1C95"/>
    <w:rsid w:val="00CA325E"/>
    <w:rsid w:val="00CA5A9C"/>
    <w:rsid w:val="00CA65D8"/>
    <w:rsid w:val="00CC00D9"/>
    <w:rsid w:val="00CD55CA"/>
    <w:rsid w:val="00CD5FE2"/>
    <w:rsid w:val="00CD70A5"/>
    <w:rsid w:val="00CE7C68"/>
    <w:rsid w:val="00D02B4C"/>
    <w:rsid w:val="00D040C4"/>
    <w:rsid w:val="00D474BD"/>
    <w:rsid w:val="00D51B07"/>
    <w:rsid w:val="00D537AB"/>
    <w:rsid w:val="00D55B47"/>
    <w:rsid w:val="00D57C84"/>
    <w:rsid w:val="00D6057D"/>
    <w:rsid w:val="00D84576"/>
    <w:rsid w:val="00D92C1D"/>
    <w:rsid w:val="00DA1399"/>
    <w:rsid w:val="00DA24C6"/>
    <w:rsid w:val="00DA319E"/>
    <w:rsid w:val="00DA323A"/>
    <w:rsid w:val="00DA4D7B"/>
    <w:rsid w:val="00DA65A9"/>
    <w:rsid w:val="00DA71ED"/>
    <w:rsid w:val="00DC46D8"/>
    <w:rsid w:val="00DC7D2A"/>
    <w:rsid w:val="00DD3E81"/>
    <w:rsid w:val="00DE264A"/>
    <w:rsid w:val="00DF5A92"/>
    <w:rsid w:val="00DF5E07"/>
    <w:rsid w:val="00E02D18"/>
    <w:rsid w:val="00E041E7"/>
    <w:rsid w:val="00E23CA1"/>
    <w:rsid w:val="00E25336"/>
    <w:rsid w:val="00E310B5"/>
    <w:rsid w:val="00E409A8"/>
    <w:rsid w:val="00E5096E"/>
    <w:rsid w:val="00E50C12"/>
    <w:rsid w:val="00E61F91"/>
    <w:rsid w:val="00E63954"/>
    <w:rsid w:val="00E65B91"/>
    <w:rsid w:val="00E7209D"/>
    <w:rsid w:val="00E74B80"/>
    <w:rsid w:val="00E761AA"/>
    <w:rsid w:val="00E77223"/>
    <w:rsid w:val="00E8528B"/>
    <w:rsid w:val="00E85B94"/>
    <w:rsid w:val="00E87DB8"/>
    <w:rsid w:val="00E92FB5"/>
    <w:rsid w:val="00E978D0"/>
    <w:rsid w:val="00EA05A2"/>
    <w:rsid w:val="00EA4613"/>
    <w:rsid w:val="00EA7F91"/>
    <w:rsid w:val="00EB0391"/>
    <w:rsid w:val="00EB1523"/>
    <w:rsid w:val="00EB5C57"/>
    <w:rsid w:val="00EC0E49"/>
    <w:rsid w:val="00EC6199"/>
    <w:rsid w:val="00EE0131"/>
    <w:rsid w:val="00EF06EA"/>
    <w:rsid w:val="00EF2394"/>
    <w:rsid w:val="00F05411"/>
    <w:rsid w:val="00F22AEF"/>
    <w:rsid w:val="00F30C64"/>
    <w:rsid w:val="00F312F5"/>
    <w:rsid w:val="00F32CDB"/>
    <w:rsid w:val="00F43782"/>
    <w:rsid w:val="00F51CC0"/>
    <w:rsid w:val="00F6056B"/>
    <w:rsid w:val="00F63A70"/>
    <w:rsid w:val="00F740BC"/>
    <w:rsid w:val="00F74D65"/>
    <w:rsid w:val="00FA0333"/>
    <w:rsid w:val="00FA21D0"/>
    <w:rsid w:val="00FA5F5F"/>
    <w:rsid w:val="00FA6B8F"/>
    <w:rsid w:val="00FB730C"/>
    <w:rsid w:val="00FC0038"/>
    <w:rsid w:val="00FC2695"/>
    <w:rsid w:val="00FC313E"/>
    <w:rsid w:val="00FC3E03"/>
    <w:rsid w:val="00FC3FC1"/>
    <w:rsid w:val="00FC7845"/>
    <w:rsid w:val="00FD15F0"/>
    <w:rsid w:val="00FD5E5F"/>
    <w:rsid w:val="00FE14DF"/>
    <w:rsid w:val="00FE480D"/>
    <w:rsid w:val="00FF13A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C992DA"/>
  <w14:defaultImageDpi w14:val="330"/>
  <w15:docId w15:val="{31A1B11B-D9F6-46E9-9007-0C289484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e">
    <w:name w:val="Normal"/>
    <w:aliases w:val="CET Top_page"/>
    <w:rsid w:val="004B4E41"/>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Revisione">
    <w:name w:val="Revision"/>
    <w:hidden/>
    <w:uiPriority w:val="99"/>
    <w:semiHidden/>
    <w:rsid w:val="00E25336"/>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1F1A6-321D-423B-8FCE-6DFC2C49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3404</Words>
  <Characters>19404</Characters>
  <Application>Microsoft Office Word</Application>
  <DocSecurity>0</DocSecurity>
  <Lines>161</Lines>
  <Paragraphs>45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aidic@outlook.it</cp:lastModifiedBy>
  <cp:revision>9</cp:revision>
  <cp:lastPrinted>2021-12-25T15:18:00Z</cp:lastPrinted>
  <dcterms:created xsi:type="dcterms:W3CDTF">2022-03-01T15:11:00Z</dcterms:created>
  <dcterms:modified xsi:type="dcterms:W3CDTF">2022-04-22T07:14:00Z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