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C0121" w14:paraId="2A131A54" w14:textId="77777777" w:rsidTr="00DE264A">
        <w:trPr>
          <w:trHeight w:val="852"/>
          <w:jc w:val="center"/>
        </w:trPr>
        <w:tc>
          <w:tcPr>
            <w:tcW w:w="6946" w:type="dxa"/>
            <w:vMerge w:val="restart"/>
            <w:tcBorders>
              <w:right w:val="single" w:sz="4" w:space="0" w:color="auto"/>
            </w:tcBorders>
          </w:tcPr>
          <w:p w14:paraId="38C3D2BA" w14:textId="77777777" w:rsidR="000A03B2" w:rsidRPr="00BC0121" w:rsidRDefault="000A03B2" w:rsidP="00DE264A">
            <w:pPr>
              <w:tabs>
                <w:tab w:val="left" w:pos="-108"/>
              </w:tabs>
              <w:ind w:left="-108"/>
              <w:jc w:val="left"/>
              <w:rPr>
                <w:rFonts w:cs="Arial"/>
                <w:b/>
                <w:bCs/>
                <w:color w:val="000066"/>
                <w:sz w:val="12"/>
                <w:szCs w:val="12"/>
                <w:lang w:eastAsia="it-IT"/>
              </w:rPr>
            </w:pPr>
            <w:r w:rsidRPr="00BC0121">
              <w:rPr>
                <w:rFonts w:ascii="AdvP6960" w:hAnsi="AdvP6960" w:cs="AdvP6960"/>
                <w:noProof/>
                <w:color w:val="241F20"/>
                <w:szCs w:val="18"/>
                <w:lang w:val="it-IT" w:eastAsia="it-IT"/>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C0121">
              <w:rPr>
                <w:rFonts w:ascii="AdvP6960" w:hAnsi="AdvP6960" w:cs="AdvP6960"/>
                <w:color w:val="241F20"/>
                <w:szCs w:val="18"/>
                <w:lang w:eastAsia="it-IT"/>
              </w:rPr>
              <w:t xml:space="preserve"> </w:t>
            </w:r>
            <w:r w:rsidRPr="00BC0121">
              <w:rPr>
                <w:rFonts w:cs="Arial"/>
                <w:b/>
                <w:bCs/>
                <w:color w:val="000066"/>
                <w:sz w:val="24"/>
                <w:szCs w:val="24"/>
                <w:lang w:eastAsia="it-IT"/>
              </w:rPr>
              <w:t>CHEMICAL ENGINEERING</w:t>
            </w:r>
            <w:r w:rsidRPr="00BC0121">
              <w:rPr>
                <w:rFonts w:cs="Arial"/>
                <w:b/>
                <w:bCs/>
                <w:color w:val="0033FF"/>
                <w:sz w:val="24"/>
                <w:szCs w:val="24"/>
                <w:lang w:eastAsia="it-IT"/>
              </w:rPr>
              <w:t xml:space="preserve"> </w:t>
            </w:r>
            <w:r w:rsidRPr="00BC0121">
              <w:rPr>
                <w:rFonts w:cs="Arial"/>
                <w:b/>
                <w:bCs/>
                <w:color w:val="666666"/>
                <w:sz w:val="24"/>
                <w:szCs w:val="24"/>
                <w:lang w:eastAsia="it-IT"/>
              </w:rPr>
              <w:t>TRANSACTIONS</w:t>
            </w:r>
            <w:r w:rsidRPr="00BC0121">
              <w:rPr>
                <w:color w:val="333333"/>
                <w:sz w:val="24"/>
                <w:szCs w:val="24"/>
                <w:lang w:eastAsia="it-IT"/>
              </w:rPr>
              <w:t xml:space="preserve"> </w:t>
            </w:r>
            <w:r w:rsidRPr="00BC0121">
              <w:rPr>
                <w:rFonts w:cs="Arial"/>
                <w:b/>
                <w:bCs/>
                <w:color w:val="000066"/>
                <w:sz w:val="27"/>
                <w:szCs w:val="27"/>
                <w:lang w:eastAsia="it-IT"/>
              </w:rPr>
              <w:br/>
            </w:r>
          </w:p>
          <w:p w14:paraId="4B780582" w14:textId="740002EE" w:rsidR="000A03B2" w:rsidRPr="00BC0121" w:rsidRDefault="00A76EFC" w:rsidP="00B57E6F">
            <w:pPr>
              <w:tabs>
                <w:tab w:val="left" w:pos="-108"/>
              </w:tabs>
              <w:ind w:left="-108"/>
              <w:rPr>
                <w:rFonts w:cs="Arial"/>
                <w:b/>
                <w:bCs/>
                <w:color w:val="000066"/>
                <w:sz w:val="22"/>
                <w:szCs w:val="22"/>
                <w:lang w:eastAsia="it-IT"/>
              </w:rPr>
            </w:pPr>
            <w:r w:rsidRPr="00BC0121">
              <w:rPr>
                <w:rFonts w:cs="Arial"/>
                <w:b/>
                <w:bCs/>
                <w:color w:val="000066"/>
                <w:sz w:val="22"/>
                <w:szCs w:val="22"/>
                <w:lang w:eastAsia="it-IT"/>
              </w:rPr>
              <w:t xml:space="preserve">VOL. </w:t>
            </w:r>
            <w:r w:rsidR="00D46B7E" w:rsidRPr="00BC0121">
              <w:rPr>
                <w:rFonts w:cs="Arial"/>
                <w:b/>
                <w:bCs/>
                <w:color w:val="000066"/>
                <w:sz w:val="22"/>
                <w:szCs w:val="22"/>
                <w:lang w:eastAsia="it-IT"/>
              </w:rPr>
              <w:t>9</w:t>
            </w:r>
            <w:r w:rsidR="00B57E6F" w:rsidRPr="00BC0121">
              <w:rPr>
                <w:rFonts w:cs="Arial"/>
                <w:b/>
                <w:bCs/>
                <w:color w:val="000066"/>
                <w:sz w:val="22"/>
                <w:szCs w:val="22"/>
                <w:lang w:eastAsia="it-IT"/>
              </w:rPr>
              <w:t>1</w:t>
            </w:r>
            <w:r w:rsidR="007B48F9" w:rsidRPr="00BC0121">
              <w:rPr>
                <w:rFonts w:cs="Arial"/>
                <w:b/>
                <w:bCs/>
                <w:color w:val="000066"/>
                <w:sz w:val="22"/>
                <w:szCs w:val="22"/>
                <w:lang w:eastAsia="it-IT"/>
              </w:rPr>
              <w:t>,</w:t>
            </w:r>
            <w:r w:rsidR="00FA5F5F" w:rsidRPr="00BC0121">
              <w:rPr>
                <w:rFonts w:cs="Arial"/>
                <w:b/>
                <w:bCs/>
                <w:color w:val="000066"/>
                <w:sz w:val="22"/>
                <w:szCs w:val="22"/>
                <w:lang w:eastAsia="it-IT"/>
              </w:rPr>
              <w:t xml:space="preserve"> 20</w:t>
            </w:r>
            <w:r w:rsidR="00DF5072" w:rsidRPr="00BC0121">
              <w:rPr>
                <w:rFonts w:cs="Arial"/>
                <w:b/>
                <w:bCs/>
                <w:color w:val="000066"/>
                <w:sz w:val="22"/>
                <w:szCs w:val="22"/>
                <w:lang w:eastAsia="it-IT"/>
              </w:rPr>
              <w:t>2</w:t>
            </w:r>
            <w:r w:rsidR="007B48F9" w:rsidRPr="00BC0121">
              <w:rPr>
                <w:rFonts w:cs="Arial"/>
                <w:b/>
                <w:bCs/>
                <w:color w:val="000066"/>
                <w:sz w:val="22"/>
                <w:szCs w:val="22"/>
                <w:lang w:eastAsia="it-IT"/>
              </w:rPr>
              <w:t>2</w:t>
            </w:r>
          </w:p>
        </w:tc>
        <w:tc>
          <w:tcPr>
            <w:tcW w:w="1843" w:type="dxa"/>
            <w:tcBorders>
              <w:left w:val="single" w:sz="4" w:space="0" w:color="auto"/>
              <w:bottom w:val="nil"/>
              <w:right w:val="single" w:sz="4" w:space="0" w:color="auto"/>
            </w:tcBorders>
          </w:tcPr>
          <w:p w14:paraId="56782132" w14:textId="77777777" w:rsidR="000A03B2" w:rsidRPr="00BC0121" w:rsidRDefault="000A03B2" w:rsidP="00CD5FE2">
            <w:pPr>
              <w:spacing w:line="140" w:lineRule="atLeast"/>
              <w:jc w:val="right"/>
              <w:rPr>
                <w:rFonts w:cs="Arial"/>
                <w:sz w:val="14"/>
                <w:szCs w:val="14"/>
              </w:rPr>
            </w:pPr>
            <w:r w:rsidRPr="00BC0121">
              <w:rPr>
                <w:rFonts w:cs="Arial"/>
                <w:sz w:val="14"/>
                <w:szCs w:val="14"/>
              </w:rPr>
              <w:t>A publication of</w:t>
            </w:r>
          </w:p>
          <w:p w14:paraId="599E5441" w14:textId="77777777" w:rsidR="000A03B2" w:rsidRPr="00BC0121" w:rsidRDefault="000A03B2" w:rsidP="00CD5FE2">
            <w:pPr>
              <w:jc w:val="right"/>
            </w:pPr>
            <w:r w:rsidRPr="00BC0121">
              <w:rPr>
                <w:noProof/>
                <w:lang w:val="it-IT" w:eastAsia="it-IT"/>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C0121" w14:paraId="380FA3CD" w14:textId="77777777" w:rsidTr="00DE264A">
        <w:trPr>
          <w:trHeight w:val="567"/>
          <w:jc w:val="center"/>
        </w:trPr>
        <w:tc>
          <w:tcPr>
            <w:tcW w:w="6946" w:type="dxa"/>
            <w:vMerge/>
            <w:tcBorders>
              <w:right w:val="single" w:sz="4" w:space="0" w:color="auto"/>
            </w:tcBorders>
          </w:tcPr>
          <w:p w14:paraId="39E5E4C1" w14:textId="77777777" w:rsidR="000A03B2" w:rsidRPr="00BC0121" w:rsidRDefault="000A03B2" w:rsidP="00CD5FE2">
            <w:pPr>
              <w:tabs>
                <w:tab w:val="left" w:pos="-108"/>
              </w:tabs>
            </w:pPr>
          </w:p>
        </w:tc>
        <w:tc>
          <w:tcPr>
            <w:tcW w:w="1843" w:type="dxa"/>
            <w:tcBorders>
              <w:left w:val="single" w:sz="4" w:space="0" w:color="auto"/>
              <w:bottom w:val="nil"/>
              <w:right w:val="single" w:sz="4" w:space="0" w:color="auto"/>
            </w:tcBorders>
          </w:tcPr>
          <w:p w14:paraId="43858A98" w14:textId="77777777" w:rsidR="000A03B2" w:rsidRPr="00BC0121" w:rsidRDefault="000A03B2" w:rsidP="00CD5FE2">
            <w:pPr>
              <w:spacing w:line="140" w:lineRule="atLeast"/>
              <w:jc w:val="right"/>
              <w:rPr>
                <w:rFonts w:cs="Arial"/>
                <w:sz w:val="14"/>
                <w:szCs w:val="14"/>
              </w:rPr>
            </w:pPr>
            <w:r w:rsidRPr="00BC0121">
              <w:rPr>
                <w:rFonts w:cs="Arial"/>
                <w:sz w:val="14"/>
                <w:szCs w:val="14"/>
              </w:rPr>
              <w:t>The Italian Association</w:t>
            </w:r>
          </w:p>
          <w:p w14:paraId="7522B1D2" w14:textId="77777777" w:rsidR="000A03B2" w:rsidRPr="00BC0121" w:rsidRDefault="000A03B2" w:rsidP="00CD5FE2">
            <w:pPr>
              <w:spacing w:line="140" w:lineRule="atLeast"/>
              <w:jc w:val="right"/>
              <w:rPr>
                <w:rFonts w:cs="Arial"/>
                <w:sz w:val="14"/>
                <w:szCs w:val="14"/>
              </w:rPr>
            </w:pPr>
            <w:r w:rsidRPr="00BC0121">
              <w:rPr>
                <w:rFonts w:cs="Arial"/>
                <w:sz w:val="14"/>
                <w:szCs w:val="14"/>
              </w:rPr>
              <w:t>of Chemical Engineering</w:t>
            </w:r>
          </w:p>
          <w:p w14:paraId="4F0CC5DE" w14:textId="47FDB2FC" w:rsidR="000A03B2" w:rsidRPr="00BC0121" w:rsidRDefault="000D0268" w:rsidP="00CD5FE2">
            <w:pPr>
              <w:spacing w:line="140" w:lineRule="atLeast"/>
              <w:jc w:val="right"/>
              <w:rPr>
                <w:rFonts w:cs="Arial"/>
                <w:sz w:val="13"/>
                <w:szCs w:val="13"/>
              </w:rPr>
            </w:pPr>
            <w:r w:rsidRPr="00BC0121">
              <w:rPr>
                <w:rFonts w:cs="Arial"/>
                <w:sz w:val="13"/>
                <w:szCs w:val="13"/>
              </w:rPr>
              <w:t>Online at www.cetjournal.it</w:t>
            </w:r>
          </w:p>
        </w:tc>
      </w:tr>
      <w:tr w:rsidR="000A03B2" w:rsidRPr="00BC0121" w14:paraId="2D1B7169" w14:textId="77777777" w:rsidTr="00DE264A">
        <w:trPr>
          <w:trHeight w:val="68"/>
          <w:jc w:val="center"/>
        </w:trPr>
        <w:tc>
          <w:tcPr>
            <w:tcW w:w="8789" w:type="dxa"/>
            <w:gridSpan w:val="2"/>
          </w:tcPr>
          <w:p w14:paraId="4B0BB442" w14:textId="4EADF2C2" w:rsidR="00300E56" w:rsidRPr="00BC0121" w:rsidRDefault="00300E56" w:rsidP="00B57E6F">
            <w:pPr>
              <w:ind w:left="-107"/>
              <w:outlineLvl w:val="2"/>
              <w:rPr>
                <w:rFonts w:ascii="Tahoma" w:hAnsi="Tahoma" w:cs="Tahoma"/>
                <w:bCs/>
                <w:color w:val="000000"/>
                <w:sz w:val="14"/>
                <w:szCs w:val="14"/>
                <w:lang w:val="it-IT" w:eastAsia="it-IT"/>
              </w:rPr>
            </w:pPr>
            <w:r w:rsidRPr="00BC0121">
              <w:rPr>
                <w:rFonts w:ascii="Tahoma" w:hAnsi="Tahoma" w:cs="Tahoma"/>
                <w:color w:val="333333"/>
                <w:sz w:val="14"/>
                <w:szCs w:val="14"/>
                <w:lang w:val="it-IT" w:eastAsia="it-IT"/>
              </w:rPr>
              <w:t>Guest Editors:</w:t>
            </w:r>
            <w:r w:rsidR="00904C62" w:rsidRPr="00BC0121">
              <w:rPr>
                <w:rFonts w:ascii="Tahoma" w:hAnsi="Tahoma" w:cs="Tahoma"/>
                <w:color w:val="333333"/>
                <w:sz w:val="14"/>
                <w:szCs w:val="14"/>
                <w:lang w:val="it-IT" w:eastAsia="it-IT"/>
              </w:rPr>
              <w:t xml:space="preserve"> </w:t>
            </w:r>
            <w:r w:rsidR="00B57E6F" w:rsidRPr="00BC0121">
              <w:rPr>
                <w:rFonts w:ascii="Tahoma" w:hAnsi="Tahoma" w:cs="Tahoma"/>
                <w:color w:val="000000"/>
                <w:sz w:val="14"/>
                <w:szCs w:val="14"/>
                <w:shd w:val="clear" w:color="auto" w:fill="FFFFFF"/>
                <w:lang w:val="it-IT"/>
              </w:rPr>
              <w:t xml:space="preserve">Valerio Cozzani, </w:t>
            </w:r>
            <w:r w:rsidR="001331DF" w:rsidRPr="00BC0121">
              <w:rPr>
                <w:rFonts w:ascii="Tahoma" w:hAnsi="Tahoma" w:cs="Tahoma"/>
                <w:color w:val="000000"/>
                <w:sz w:val="14"/>
                <w:szCs w:val="14"/>
                <w:shd w:val="clear" w:color="auto" w:fill="FFFFFF"/>
                <w:lang w:val="it-IT"/>
              </w:rPr>
              <w:t>Bruno Fabiano</w:t>
            </w:r>
            <w:r w:rsidR="00B57E6F" w:rsidRPr="00BC0121">
              <w:rPr>
                <w:rFonts w:ascii="Tahoma" w:hAnsi="Tahoma" w:cs="Tahoma"/>
                <w:color w:val="000000"/>
                <w:sz w:val="14"/>
                <w:szCs w:val="14"/>
                <w:shd w:val="clear" w:color="auto" w:fill="FFFFFF"/>
                <w:lang w:val="it-IT"/>
              </w:rPr>
              <w:t xml:space="preserve">, </w:t>
            </w:r>
            <w:r w:rsidR="00B57E6F" w:rsidRPr="00BC0121">
              <w:rPr>
                <w:rFonts w:ascii="Tahoma" w:hAnsi="Tahoma" w:cs="Tahoma"/>
                <w:bCs/>
                <w:color w:val="000000"/>
                <w:sz w:val="14"/>
                <w:szCs w:val="14"/>
                <w:lang w:val="it-IT" w:eastAsia="it-IT"/>
              </w:rPr>
              <w:t>Genserik Reniers</w:t>
            </w:r>
          </w:p>
          <w:p w14:paraId="1B0F1814" w14:textId="08709475" w:rsidR="000A03B2" w:rsidRPr="00BC0121" w:rsidRDefault="00FA5F5F" w:rsidP="00B57E6F">
            <w:pPr>
              <w:tabs>
                <w:tab w:val="left" w:pos="-108"/>
              </w:tabs>
              <w:spacing w:line="140" w:lineRule="atLeast"/>
              <w:ind w:left="-107"/>
              <w:jc w:val="left"/>
            </w:pPr>
            <w:r w:rsidRPr="00BC0121">
              <w:rPr>
                <w:rFonts w:ascii="Tahoma" w:hAnsi="Tahoma" w:cs="Tahoma"/>
                <w:color w:val="333333"/>
                <w:sz w:val="14"/>
                <w:szCs w:val="14"/>
                <w:lang w:eastAsia="it-IT"/>
              </w:rPr>
              <w:t>Copyright © 20</w:t>
            </w:r>
            <w:r w:rsidR="00DF5072" w:rsidRPr="00BC0121">
              <w:rPr>
                <w:rFonts w:ascii="Tahoma" w:hAnsi="Tahoma" w:cs="Tahoma"/>
                <w:color w:val="333333"/>
                <w:sz w:val="14"/>
                <w:szCs w:val="14"/>
                <w:lang w:eastAsia="it-IT"/>
              </w:rPr>
              <w:t>2</w:t>
            </w:r>
            <w:r w:rsidR="00E72EAD" w:rsidRPr="00BC0121">
              <w:rPr>
                <w:rFonts w:ascii="Tahoma" w:hAnsi="Tahoma" w:cs="Tahoma"/>
                <w:color w:val="333333"/>
                <w:sz w:val="14"/>
                <w:szCs w:val="14"/>
                <w:lang w:eastAsia="it-IT"/>
              </w:rPr>
              <w:t>2</w:t>
            </w:r>
            <w:r w:rsidR="00904C62" w:rsidRPr="00BC0121">
              <w:rPr>
                <w:rFonts w:ascii="Tahoma" w:hAnsi="Tahoma" w:cs="Tahoma"/>
                <w:color w:val="333333"/>
                <w:sz w:val="14"/>
                <w:szCs w:val="14"/>
                <w:lang w:eastAsia="it-IT"/>
              </w:rPr>
              <w:t xml:space="preserve">, AIDIC </w:t>
            </w:r>
            <w:proofErr w:type="spellStart"/>
            <w:r w:rsidR="00904C62" w:rsidRPr="00BC0121">
              <w:rPr>
                <w:rFonts w:ascii="Tahoma" w:hAnsi="Tahoma" w:cs="Tahoma"/>
                <w:color w:val="333333"/>
                <w:sz w:val="14"/>
                <w:szCs w:val="14"/>
                <w:lang w:eastAsia="it-IT"/>
              </w:rPr>
              <w:t>Servizi</w:t>
            </w:r>
            <w:proofErr w:type="spellEnd"/>
            <w:r w:rsidR="00904C62" w:rsidRPr="00BC0121">
              <w:rPr>
                <w:rFonts w:ascii="Tahoma" w:hAnsi="Tahoma" w:cs="Tahoma"/>
                <w:color w:val="333333"/>
                <w:sz w:val="14"/>
                <w:szCs w:val="14"/>
                <w:lang w:eastAsia="it-IT"/>
              </w:rPr>
              <w:t xml:space="preserve"> </w:t>
            </w:r>
            <w:proofErr w:type="spellStart"/>
            <w:r w:rsidR="00904C62" w:rsidRPr="00BC0121">
              <w:rPr>
                <w:rFonts w:ascii="Tahoma" w:hAnsi="Tahoma" w:cs="Tahoma"/>
                <w:color w:val="333333"/>
                <w:sz w:val="14"/>
                <w:szCs w:val="14"/>
                <w:lang w:eastAsia="it-IT"/>
              </w:rPr>
              <w:t>S.r.l</w:t>
            </w:r>
            <w:proofErr w:type="spellEnd"/>
            <w:r w:rsidR="00904C62" w:rsidRPr="00BC0121">
              <w:rPr>
                <w:rFonts w:ascii="Tahoma" w:hAnsi="Tahoma" w:cs="Tahoma"/>
                <w:color w:val="333333"/>
                <w:sz w:val="14"/>
                <w:szCs w:val="14"/>
                <w:lang w:eastAsia="it-IT"/>
              </w:rPr>
              <w:t>.</w:t>
            </w:r>
            <w:r w:rsidR="00300E56" w:rsidRPr="00BC0121">
              <w:rPr>
                <w:rFonts w:ascii="Tahoma" w:hAnsi="Tahoma" w:cs="Tahoma"/>
                <w:color w:val="333333"/>
                <w:sz w:val="14"/>
                <w:szCs w:val="14"/>
                <w:lang w:eastAsia="it-IT"/>
              </w:rPr>
              <w:br/>
            </w:r>
            <w:r w:rsidR="00300E56" w:rsidRPr="00BC0121">
              <w:rPr>
                <w:rFonts w:ascii="Tahoma" w:hAnsi="Tahoma" w:cs="Tahoma"/>
                <w:b/>
                <w:color w:val="000000"/>
                <w:sz w:val="14"/>
                <w:szCs w:val="14"/>
                <w:lang w:eastAsia="it-IT"/>
              </w:rPr>
              <w:t>ISBN</w:t>
            </w:r>
            <w:r w:rsidR="00300E56" w:rsidRPr="00BC0121">
              <w:rPr>
                <w:rFonts w:ascii="Tahoma" w:hAnsi="Tahoma" w:cs="Tahoma"/>
                <w:color w:val="000000"/>
                <w:sz w:val="14"/>
                <w:szCs w:val="14"/>
                <w:lang w:eastAsia="it-IT"/>
              </w:rPr>
              <w:t xml:space="preserve"> </w:t>
            </w:r>
            <w:r w:rsidR="008D32B9" w:rsidRPr="00BC0121">
              <w:rPr>
                <w:rFonts w:ascii="Tahoma" w:hAnsi="Tahoma" w:cs="Tahoma"/>
                <w:sz w:val="14"/>
                <w:szCs w:val="14"/>
              </w:rPr>
              <w:t>978-88-95608</w:t>
            </w:r>
            <w:r w:rsidR="00D46B7E" w:rsidRPr="00BC0121">
              <w:rPr>
                <w:rFonts w:ascii="Tahoma" w:hAnsi="Tahoma" w:cs="Tahoma"/>
                <w:sz w:val="14"/>
                <w:szCs w:val="14"/>
              </w:rPr>
              <w:t>-8</w:t>
            </w:r>
            <w:r w:rsidR="00B57E6F" w:rsidRPr="00BC0121">
              <w:rPr>
                <w:rFonts w:ascii="Tahoma" w:hAnsi="Tahoma" w:cs="Tahoma"/>
                <w:sz w:val="14"/>
                <w:szCs w:val="14"/>
              </w:rPr>
              <w:t>9</w:t>
            </w:r>
            <w:r w:rsidR="00D46B7E" w:rsidRPr="00BC0121">
              <w:rPr>
                <w:rFonts w:ascii="Tahoma" w:hAnsi="Tahoma" w:cs="Tahoma"/>
                <w:sz w:val="14"/>
                <w:szCs w:val="14"/>
              </w:rPr>
              <w:t>-</w:t>
            </w:r>
            <w:r w:rsidR="00B57E6F" w:rsidRPr="00BC0121">
              <w:rPr>
                <w:rFonts w:ascii="Tahoma" w:hAnsi="Tahoma" w:cs="Tahoma"/>
                <w:sz w:val="14"/>
                <w:szCs w:val="14"/>
              </w:rPr>
              <w:t>1</w:t>
            </w:r>
            <w:r w:rsidR="007B48F9" w:rsidRPr="00BC0121">
              <w:rPr>
                <w:rFonts w:ascii="Tahoma" w:hAnsi="Tahoma" w:cs="Tahoma"/>
                <w:color w:val="333333"/>
                <w:sz w:val="14"/>
                <w:szCs w:val="14"/>
                <w:lang w:eastAsia="it-IT"/>
              </w:rPr>
              <w:t>;</w:t>
            </w:r>
            <w:r w:rsidR="00300E56" w:rsidRPr="00BC0121">
              <w:rPr>
                <w:rFonts w:ascii="Tahoma" w:hAnsi="Tahoma" w:cs="Tahoma"/>
                <w:color w:val="333333"/>
                <w:sz w:val="14"/>
                <w:szCs w:val="14"/>
                <w:lang w:eastAsia="it-IT"/>
              </w:rPr>
              <w:t xml:space="preserve"> </w:t>
            </w:r>
            <w:r w:rsidR="00300E56" w:rsidRPr="00BC0121">
              <w:rPr>
                <w:rFonts w:ascii="Tahoma" w:hAnsi="Tahoma" w:cs="Tahoma"/>
                <w:b/>
                <w:color w:val="333333"/>
                <w:sz w:val="14"/>
                <w:szCs w:val="14"/>
                <w:lang w:eastAsia="it-IT"/>
              </w:rPr>
              <w:t>ISSN</w:t>
            </w:r>
            <w:r w:rsidR="00300E56" w:rsidRPr="00BC0121">
              <w:rPr>
                <w:rFonts w:ascii="Tahoma" w:hAnsi="Tahoma" w:cs="Tahoma"/>
                <w:color w:val="333333"/>
                <w:sz w:val="14"/>
                <w:szCs w:val="14"/>
                <w:lang w:eastAsia="it-IT"/>
              </w:rPr>
              <w:t xml:space="preserve"> 2283-9216</w:t>
            </w:r>
          </w:p>
        </w:tc>
      </w:tr>
    </w:tbl>
    <w:p w14:paraId="10DAA130" w14:textId="77777777" w:rsidR="000A03B2" w:rsidRPr="00BC0121" w:rsidRDefault="000A03B2" w:rsidP="000A03B2">
      <w:pPr>
        <w:pStyle w:val="CETAuthors"/>
        <w:sectPr w:rsidR="000A03B2" w:rsidRPr="00BC0121" w:rsidSect="00CD5FE2">
          <w:type w:val="continuous"/>
          <w:pgSz w:w="11906" w:h="16838" w:code="9"/>
          <w:pgMar w:top="1701" w:right="1418" w:bottom="1701" w:left="1701" w:header="1701" w:footer="0" w:gutter="0"/>
          <w:cols w:space="708"/>
          <w:titlePg/>
          <w:docGrid w:linePitch="360"/>
        </w:sectPr>
      </w:pPr>
    </w:p>
    <w:p w14:paraId="2E667253" w14:textId="0C9F6A16" w:rsidR="00E978D0" w:rsidRPr="00BC0121" w:rsidRDefault="00FD04D7" w:rsidP="00E978D0">
      <w:pPr>
        <w:pStyle w:val="CETTitle"/>
      </w:pPr>
      <w:r w:rsidRPr="00BC0121">
        <w:t>An Interdisciplinary Approach Towards the Integrated Safety-Security Assessment of Process Facilities Operating in the Maghreb Context</w:t>
      </w:r>
    </w:p>
    <w:p w14:paraId="0488FED2" w14:textId="7A3FC8B4" w:rsidR="00B57E6F" w:rsidRPr="00BC0121" w:rsidRDefault="00FD04D7" w:rsidP="00B57E6F">
      <w:pPr>
        <w:pStyle w:val="CETAuthors"/>
        <w:rPr>
          <w:lang w:val="it-IT"/>
        </w:rPr>
      </w:pPr>
      <w:r w:rsidRPr="00BC0121">
        <w:rPr>
          <w:lang w:val="it-IT"/>
        </w:rPr>
        <w:t>Giulia Marroni</w:t>
      </w:r>
      <w:r w:rsidR="00B57E6F" w:rsidRPr="00BC0121">
        <w:rPr>
          <w:vertAlign w:val="superscript"/>
          <w:lang w:val="it-IT"/>
        </w:rPr>
        <w:t>a</w:t>
      </w:r>
      <w:r w:rsidR="00B57E6F" w:rsidRPr="00BC0121">
        <w:rPr>
          <w:lang w:val="it-IT"/>
        </w:rPr>
        <w:t xml:space="preserve">, </w:t>
      </w:r>
      <w:r w:rsidR="008E57D3" w:rsidRPr="00BC0121">
        <w:rPr>
          <w:lang w:val="it-IT"/>
        </w:rPr>
        <w:t>Andrea Piemonte</w:t>
      </w:r>
      <w:r w:rsidR="009354AD" w:rsidRPr="00BC0121">
        <w:rPr>
          <w:vertAlign w:val="superscript"/>
          <w:lang w:val="it-IT"/>
        </w:rPr>
        <w:t>a</w:t>
      </w:r>
      <w:r w:rsidR="00B57E6F" w:rsidRPr="00BC0121">
        <w:rPr>
          <w:lang w:val="it-IT"/>
        </w:rPr>
        <w:t>,</w:t>
      </w:r>
      <w:r w:rsidR="00C84ADE" w:rsidRPr="00BC0121">
        <w:rPr>
          <w:lang w:val="it-IT"/>
        </w:rPr>
        <w:t xml:space="preserve"> </w:t>
      </w:r>
      <w:r w:rsidR="009354AD" w:rsidRPr="00BC0121">
        <w:rPr>
          <w:lang w:val="it-IT"/>
        </w:rPr>
        <w:t>Francesco Tamburini</w:t>
      </w:r>
      <w:r w:rsidR="009354AD" w:rsidRPr="00BC0121">
        <w:rPr>
          <w:vertAlign w:val="superscript"/>
          <w:lang w:val="it-IT"/>
        </w:rPr>
        <w:t>b</w:t>
      </w:r>
      <w:r w:rsidR="009354AD" w:rsidRPr="00BC0121">
        <w:rPr>
          <w:lang w:val="it-IT"/>
        </w:rPr>
        <w:t>, Gabriella Caroti</w:t>
      </w:r>
      <w:r w:rsidR="009E7867" w:rsidRPr="00BC0121">
        <w:rPr>
          <w:vertAlign w:val="superscript"/>
          <w:lang w:val="it-IT"/>
        </w:rPr>
        <w:t>a</w:t>
      </w:r>
      <w:r w:rsidR="009354AD" w:rsidRPr="00BC0121">
        <w:rPr>
          <w:lang w:val="it-IT"/>
        </w:rPr>
        <w:t>, Gabriele Pannocchia</w:t>
      </w:r>
      <w:r w:rsidR="009354AD" w:rsidRPr="00BC0121">
        <w:rPr>
          <w:vertAlign w:val="superscript"/>
          <w:lang w:val="it-IT"/>
        </w:rPr>
        <w:t>a</w:t>
      </w:r>
      <w:r w:rsidR="009354AD" w:rsidRPr="00BC0121">
        <w:rPr>
          <w:lang w:val="it-IT"/>
        </w:rPr>
        <w:t>, Gabriele Landucci</w:t>
      </w:r>
      <w:r w:rsidR="009354AD" w:rsidRPr="00BC0121">
        <w:rPr>
          <w:vertAlign w:val="superscript"/>
          <w:lang w:val="it-IT"/>
        </w:rPr>
        <w:t>a,*</w:t>
      </w:r>
    </w:p>
    <w:p w14:paraId="6B2D21B3" w14:textId="20EC1BFE" w:rsidR="00B57E6F" w:rsidRPr="00BC0121" w:rsidRDefault="00B57E6F" w:rsidP="00CE19CD">
      <w:pPr>
        <w:tabs>
          <w:tab w:val="clear" w:pos="7100"/>
        </w:tabs>
        <w:spacing w:line="259" w:lineRule="auto"/>
        <w:jc w:val="left"/>
      </w:pPr>
      <w:r w:rsidRPr="00BC0121">
        <w:rPr>
          <w:vertAlign w:val="superscript"/>
        </w:rPr>
        <w:t>a</w:t>
      </w:r>
      <w:r w:rsidR="00A34852" w:rsidRPr="00BC0121">
        <w:t xml:space="preserve"> </w:t>
      </w:r>
      <w:r w:rsidR="00A34852" w:rsidRPr="00BC0121">
        <w:rPr>
          <w:rStyle w:val="CETAddressCarattere"/>
        </w:rPr>
        <w:t>Department of Civil and Industrial Engineering, University of Pisa, Largo Lucio Lazzarino, 2, 56126 Pisa, Italy</w:t>
      </w:r>
    </w:p>
    <w:p w14:paraId="3D72B0B0" w14:textId="053B90DA" w:rsidR="00B57E6F" w:rsidRPr="00BC0121" w:rsidRDefault="00B57E6F" w:rsidP="00D376D4">
      <w:pPr>
        <w:tabs>
          <w:tab w:val="clear" w:pos="7100"/>
        </w:tabs>
        <w:spacing w:line="259" w:lineRule="auto"/>
        <w:jc w:val="left"/>
        <w:rPr>
          <w:noProof/>
          <w:sz w:val="16"/>
        </w:rPr>
      </w:pPr>
      <w:r w:rsidRPr="00BC0121">
        <w:rPr>
          <w:vertAlign w:val="superscript"/>
        </w:rPr>
        <w:t>b</w:t>
      </w:r>
      <w:r w:rsidR="00CE19CD" w:rsidRPr="00BC0121">
        <w:rPr>
          <w:vertAlign w:val="superscript"/>
        </w:rPr>
        <w:t xml:space="preserve"> </w:t>
      </w:r>
      <w:r w:rsidR="00CE19CD" w:rsidRPr="00BC0121">
        <w:rPr>
          <w:rStyle w:val="CETAddressCarattere"/>
        </w:rPr>
        <w:t>Department of Political Sciences, University of Pisa, Via Filippo Serafini, 3, 56126, Pisa, Italy</w:t>
      </w:r>
    </w:p>
    <w:p w14:paraId="5CA9C849" w14:textId="1EECAD87" w:rsidR="00132564" w:rsidRPr="00BC0121" w:rsidRDefault="00EF52DA" w:rsidP="001E4B5C">
      <w:pPr>
        <w:pStyle w:val="CETemail"/>
      </w:pPr>
      <w:hyperlink r:id="rId10" w:history="1">
        <w:r w:rsidR="00C83710" w:rsidRPr="00692EA6">
          <w:t>gabriele.landucci@unipi.it</w:t>
        </w:r>
      </w:hyperlink>
    </w:p>
    <w:p w14:paraId="27FCAF54" w14:textId="592C0531" w:rsidR="0008731E" w:rsidRPr="00BC0121" w:rsidRDefault="00C84ADE" w:rsidP="0008731E">
      <w:pPr>
        <w:pStyle w:val="CETBodytext"/>
      </w:pPr>
      <w:r w:rsidRPr="00BC0121">
        <w:t xml:space="preserve">External acts of interference towards </w:t>
      </w:r>
      <w:r w:rsidR="0008731E" w:rsidRPr="00BC0121">
        <w:t xml:space="preserve">industrial </w:t>
      </w:r>
      <w:r w:rsidRPr="00BC0121">
        <w:t>facilities</w:t>
      </w:r>
      <w:r w:rsidR="0008731E" w:rsidRPr="00BC0121">
        <w:t xml:space="preserve"> </w:t>
      </w:r>
      <w:r w:rsidRPr="00BC0121">
        <w:t>have</w:t>
      </w:r>
      <w:r w:rsidR="0008731E" w:rsidRPr="00BC0121">
        <w:t xml:space="preserve"> become a matter of increasing concern in recent years, especially in areas such as North Africa, where severe attacks to process facilities demonstrated the critical interface among integrated safety &amp; security (ISS) aspects.</w:t>
      </w:r>
      <w:r w:rsidR="00F653BE" w:rsidRPr="00BC0121">
        <w:t xml:space="preserve"> </w:t>
      </w:r>
      <w:r w:rsidRPr="00BC0121">
        <w:t>The present work addresse</w:t>
      </w:r>
      <w:r w:rsidR="0011611A" w:rsidRPr="00BC0121">
        <w:t>d</w:t>
      </w:r>
      <w:r w:rsidRPr="00BC0121">
        <w:t xml:space="preserve"> this ISS concern and aim</w:t>
      </w:r>
      <w:r w:rsidR="0011611A" w:rsidRPr="00BC0121">
        <w:t>ed</w:t>
      </w:r>
      <w:r w:rsidRPr="00BC0121">
        <w:t xml:space="preserve"> at developing an interdisciplinary approach to support technical studies dedicated to the process industry. </w:t>
      </w:r>
      <w:r w:rsidR="0008731E" w:rsidRPr="00BC0121">
        <w:rPr>
          <w:rFonts w:cstheme="minorHAnsi"/>
          <w:lang w:val="en-GB"/>
        </w:rPr>
        <w:t>The first step consist</w:t>
      </w:r>
      <w:r w:rsidR="0011611A" w:rsidRPr="00BC0121">
        <w:rPr>
          <w:rFonts w:cstheme="minorHAnsi"/>
          <w:lang w:val="en-GB"/>
        </w:rPr>
        <w:t>ed</w:t>
      </w:r>
      <w:r w:rsidR="0008731E" w:rsidRPr="00BC0121">
        <w:rPr>
          <w:rFonts w:cstheme="minorHAnsi"/>
          <w:lang w:val="en-GB"/>
        </w:rPr>
        <w:t xml:space="preserve"> of a qualitative content analysis</w:t>
      </w:r>
      <w:r w:rsidR="0011611A" w:rsidRPr="00BC0121">
        <w:rPr>
          <w:rFonts w:cstheme="minorHAnsi"/>
          <w:lang w:val="en-GB"/>
        </w:rPr>
        <w:t xml:space="preserve"> supporting </w:t>
      </w:r>
      <w:r w:rsidR="006F1490" w:rsidRPr="00BC0121">
        <w:rPr>
          <w:rFonts w:cstheme="minorHAnsi"/>
          <w:lang w:val="en-GB"/>
        </w:rPr>
        <w:t>the identification of</w:t>
      </w:r>
      <w:r w:rsidR="0008731E" w:rsidRPr="00BC0121">
        <w:rPr>
          <w:rFonts w:cstheme="minorHAnsi"/>
          <w:lang w:val="en-GB"/>
        </w:rPr>
        <w:t xml:space="preserve"> </w:t>
      </w:r>
      <w:r w:rsidR="001F6E80" w:rsidRPr="00BC0121">
        <w:rPr>
          <w:rFonts w:cstheme="minorHAnsi"/>
          <w:lang w:val="en-GB"/>
        </w:rPr>
        <w:t>critical</w:t>
      </w:r>
      <w:r w:rsidR="0008731E" w:rsidRPr="00BC0121">
        <w:rPr>
          <w:rFonts w:cstheme="minorHAnsi"/>
          <w:lang w:val="en-GB"/>
        </w:rPr>
        <w:t xml:space="preserve"> ISS scenarios associated with process installations, </w:t>
      </w:r>
      <w:r w:rsidR="001F6E80" w:rsidRPr="00BC0121">
        <w:rPr>
          <w:rFonts w:cstheme="minorHAnsi"/>
          <w:lang w:val="en-GB"/>
        </w:rPr>
        <w:t>as well as</w:t>
      </w:r>
      <w:r w:rsidR="0008731E" w:rsidRPr="00BC0121">
        <w:rPr>
          <w:rFonts w:cstheme="minorHAnsi"/>
          <w:lang w:val="en-GB"/>
        </w:rPr>
        <w:t xml:space="preserve"> the critical socio-economic factors contributing to the terrorist threa</w:t>
      </w:r>
      <w:r w:rsidR="008C03DD" w:rsidRPr="00BC0121">
        <w:rPr>
          <w:rFonts w:cstheme="minorHAnsi"/>
          <w:lang w:val="en-GB"/>
        </w:rPr>
        <w:t>t</w:t>
      </w:r>
      <w:r w:rsidR="0008731E" w:rsidRPr="00BC0121">
        <w:rPr>
          <w:rFonts w:cstheme="minorHAnsi"/>
          <w:lang w:val="en-GB"/>
        </w:rPr>
        <w:t xml:space="preserve">. Next, the results of the qualitative analysis </w:t>
      </w:r>
      <w:r w:rsidR="0011611A" w:rsidRPr="00BC0121">
        <w:rPr>
          <w:rFonts w:cstheme="minorHAnsi"/>
          <w:lang w:val="en-GB"/>
        </w:rPr>
        <w:t>were</w:t>
      </w:r>
      <w:r w:rsidR="0008731E" w:rsidRPr="00BC0121">
        <w:rPr>
          <w:rFonts w:cstheme="minorHAnsi"/>
          <w:lang w:val="en-GB"/>
        </w:rPr>
        <w:t xml:space="preserve"> implemented in </w:t>
      </w:r>
      <w:r w:rsidR="001F6E80" w:rsidRPr="00BC0121">
        <w:rPr>
          <w:rFonts w:cstheme="minorHAnsi"/>
          <w:lang w:val="en-GB"/>
        </w:rPr>
        <w:t xml:space="preserve">a </w:t>
      </w:r>
      <w:r w:rsidR="0008731E" w:rsidRPr="00BC0121">
        <w:rPr>
          <w:rFonts w:cstheme="minorHAnsi"/>
          <w:lang w:val="en-GB"/>
        </w:rPr>
        <w:t>semi-quantitative methodology for the assessment of site attractiveness</w:t>
      </w:r>
      <w:r w:rsidR="00217E81" w:rsidRPr="00BC0121">
        <w:rPr>
          <w:rFonts w:cstheme="minorHAnsi"/>
          <w:lang w:val="en-GB"/>
        </w:rPr>
        <w:t>, with the aim of estimating the attack likelihood</w:t>
      </w:r>
      <w:r w:rsidR="0008731E" w:rsidRPr="00BC0121">
        <w:rPr>
          <w:rFonts w:cstheme="minorHAnsi"/>
          <w:lang w:val="en-GB"/>
        </w:rPr>
        <w:t xml:space="preserve">. Finally, the quantitative security risk assessment </w:t>
      </w:r>
      <w:r w:rsidR="0011611A" w:rsidRPr="00BC0121">
        <w:rPr>
          <w:rFonts w:cstheme="minorHAnsi"/>
          <w:lang w:val="en-GB"/>
        </w:rPr>
        <w:t>was</w:t>
      </w:r>
      <w:r w:rsidR="0008731E" w:rsidRPr="00BC0121">
        <w:rPr>
          <w:rFonts w:cstheme="minorHAnsi"/>
          <w:lang w:val="en-GB"/>
        </w:rPr>
        <w:t xml:space="preserve"> carried out adopting: </w:t>
      </w:r>
      <w:proofErr w:type="spellStart"/>
      <w:r w:rsidR="0008731E" w:rsidRPr="00BC0121">
        <w:rPr>
          <w:rFonts w:cstheme="minorHAnsi"/>
          <w:lang w:val="en-GB"/>
        </w:rPr>
        <w:t>i</w:t>
      </w:r>
      <w:proofErr w:type="spellEnd"/>
      <w:r w:rsidR="0008731E" w:rsidRPr="00BC0121">
        <w:rPr>
          <w:rFonts w:cstheme="minorHAnsi"/>
          <w:lang w:val="en-GB"/>
        </w:rPr>
        <w:t xml:space="preserve">) </w:t>
      </w:r>
      <w:r w:rsidR="006B792F" w:rsidRPr="00BC0121">
        <w:rPr>
          <w:rFonts w:cstheme="minorHAnsi"/>
          <w:lang w:val="en-GB"/>
        </w:rPr>
        <w:t>the attack like</w:t>
      </w:r>
      <w:r w:rsidR="00217E81" w:rsidRPr="00BC0121">
        <w:rPr>
          <w:rFonts w:cstheme="minorHAnsi"/>
          <w:lang w:val="en-GB"/>
        </w:rPr>
        <w:t>li</w:t>
      </w:r>
      <w:r w:rsidR="006B792F" w:rsidRPr="00BC0121">
        <w:rPr>
          <w:rFonts w:cstheme="minorHAnsi"/>
          <w:lang w:val="en-GB"/>
        </w:rPr>
        <w:t xml:space="preserve">hood estimated in the previous </w:t>
      </w:r>
      <w:r w:rsidR="00217E81" w:rsidRPr="00BC0121">
        <w:rPr>
          <w:rFonts w:cstheme="minorHAnsi"/>
          <w:lang w:val="en-GB"/>
        </w:rPr>
        <w:t>phase</w:t>
      </w:r>
      <w:r w:rsidR="0008731E" w:rsidRPr="00BC0121">
        <w:rPr>
          <w:rFonts w:cstheme="minorHAnsi"/>
          <w:lang w:val="en-GB"/>
        </w:rPr>
        <w:t>, and ii) a rigorous approach for the simulation of the dynamic evolution of ISS scenarios and related impact</w:t>
      </w:r>
      <w:r w:rsidR="00453C3B" w:rsidRPr="00BC0121">
        <w:rPr>
          <w:rFonts w:cstheme="minorHAnsi"/>
          <w:lang w:val="en-GB"/>
        </w:rPr>
        <w:t xml:space="preserve">. For this purpose, </w:t>
      </w:r>
      <w:r w:rsidR="00E27F1C" w:rsidRPr="00BC0121">
        <w:rPr>
          <w:rFonts w:cstheme="minorHAnsi"/>
          <w:lang w:val="en-GB"/>
        </w:rPr>
        <w:t>the process</w:t>
      </w:r>
      <w:r w:rsidR="00D2455F" w:rsidRPr="00BC0121">
        <w:rPr>
          <w:rFonts w:cstheme="minorHAnsi"/>
          <w:lang w:val="en-GB"/>
        </w:rPr>
        <w:t xml:space="preserve"> simulat</w:t>
      </w:r>
      <w:r w:rsidR="00BB4297" w:rsidRPr="00BC0121">
        <w:rPr>
          <w:rFonts w:cstheme="minorHAnsi"/>
          <w:lang w:val="en-GB"/>
        </w:rPr>
        <w:t>or</w:t>
      </w:r>
      <w:r w:rsidR="00D2455F" w:rsidRPr="00BC0121">
        <w:rPr>
          <w:rFonts w:cstheme="minorHAnsi"/>
          <w:lang w:val="en-GB"/>
        </w:rPr>
        <w:t xml:space="preserve"> </w:t>
      </w:r>
      <w:r w:rsidR="00E27F1C" w:rsidRPr="00BC0121">
        <w:rPr>
          <w:rFonts w:cstheme="minorHAnsi"/>
          <w:lang w:val="en-GB"/>
        </w:rPr>
        <w:t xml:space="preserve">Honeywell UniSim® Design </w:t>
      </w:r>
      <w:r w:rsidR="00221933" w:rsidRPr="00BC0121">
        <w:rPr>
          <w:rFonts w:cstheme="minorHAnsi"/>
          <w:lang w:val="en-GB"/>
        </w:rPr>
        <w:t>was</w:t>
      </w:r>
      <w:r w:rsidR="0008731E" w:rsidRPr="00BC0121">
        <w:rPr>
          <w:rFonts w:cstheme="minorHAnsi"/>
          <w:lang w:val="en-GB"/>
        </w:rPr>
        <w:t xml:space="preserve"> </w:t>
      </w:r>
      <w:r w:rsidR="00E27F1C" w:rsidRPr="00BC0121">
        <w:rPr>
          <w:rFonts w:cstheme="minorHAnsi"/>
          <w:lang w:val="en-GB"/>
        </w:rPr>
        <w:t>used</w:t>
      </w:r>
      <w:r w:rsidR="0008731E" w:rsidRPr="00BC0121">
        <w:rPr>
          <w:rFonts w:cstheme="minorHAnsi"/>
          <w:lang w:val="en-GB"/>
        </w:rPr>
        <w:t xml:space="preserve">. The so evaluated accident impact and likelihood </w:t>
      </w:r>
      <w:r w:rsidR="00221933" w:rsidRPr="00BC0121">
        <w:rPr>
          <w:rFonts w:cstheme="minorHAnsi"/>
          <w:lang w:val="en-GB"/>
        </w:rPr>
        <w:t>were</w:t>
      </w:r>
      <w:r w:rsidR="0008731E" w:rsidRPr="00BC0121">
        <w:rPr>
          <w:rFonts w:cstheme="minorHAnsi"/>
          <w:lang w:val="en-GB"/>
        </w:rPr>
        <w:t xml:space="preserve"> combined </w:t>
      </w:r>
      <w:r w:rsidR="00453C3B" w:rsidRPr="00BC0121">
        <w:rPr>
          <w:rFonts w:cstheme="minorHAnsi"/>
          <w:lang w:val="en-GB"/>
        </w:rPr>
        <w:t>using a risk matrix</w:t>
      </w:r>
      <w:r w:rsidR="0008731E" w:rsidRPr="00BC0121">
        <w:rPr>
          <w:rFonts w:cstheme="minorHAnsi"/>
          <w:lang w:val="en-GB"/>
        </w:rPr>
        <w:t>.</w:t>
      </w:r>
      <w:r w:rsidR="006F1490" w:rsidRPr="00BC0121">
        <w:rPr>
          <w:rFonts w:cstheme="minorHAnsi"/>
          <w:lang w:val="en-GB"/>
        </w:rPr>
        <w:t xml:space="preserve"> </w:t>
      </w:r>
      <w:r w:rsidR="0008731E" w:rsidRPr="00BC0121">
        <w:rPr>
          <w:rFonts w:cstheme="minorHAnsi"/>
          <w:lang w:val="en-GB"/>
        </w:rPr>
        <w:t>The application</w:t>
      </w:r>
      <w:r w:rsidR="00E63F7C" w:rsidRPr="00BC0121">
        <w:rPr>
          <w:rFonts w:cstheme="minorHAnsi"/>
          <w:lang w:val="en-GB"/>
        </w:rPr>
        <w:t xml:space="preserve"> to an</w:t>
      </w:r>
      <w:r w:rsidR="0008731E" w:rsidRPr="00BC0121">
        <w:rPr>
          <w:rFonts w:cstheme="minorHAnsi"/>
          <w:lang w:val="en-GB"/>
        </w:rPr>
        <w:t xml:space="preserve"> industrial case stud</w:t>
      </w:r>
      <w:r w:rsidR="00E63F7C" w:rsidRPr="00BC0121">
        <w:rPr>
          <w:rFonts w:cstheme="minorHAnsi"/>
          <w:lang w:val="en-GB"/>
        </w:rPr>
        <w:t>y</w:t>
      </w:r>
      <w:r w:rsidR="0008731E" w:rsidRPr="00BC0121">
        <w:rPr>
          <w:rFonts w:cstheme="minorHAnsi"/>
          <w:lang w:val="en-GB"/>
        </w:rPr>
        <w:t xml:space="preserve"> located in the Maghreb context </w:t>
      </w:r>
      <w:r w:rsidR="00221933" w:rsidRPr="00BC0121">
        <w:rPr>
          <w:rFonts w:cstheme="minorHAnsi"/>
          <w:lang w:val="en-GB"/>
        </w:rPr>
        <w:t>was</w:t>
      </w:r>
      <w:r w:rsidR="0008731E" w:rsidRPr="00BC0121">
        <w:rPr>
          <w:rFonts w:cstheme="minorHAnsi"/>
          <w:lang w:val="en-GB"/>
        </w:rPr>
        <w:t xml:space="preserve"> carried out </w:t>
      </w:r>
      <w:proofErr w:type="gramStart"/>
      <w:r w:rsidR="0008731E" w:rsidRPr="00BC0121">
        <w:rPr>
          <w:rFonts w:cstheme="minorHAnsi"/>
          <w:lang w:val="en-GB"/>
        </w:rPr>
        <w:t>in order to</w:t>
      </w:r>
      <w:proofErr w:type="gramEnd"/>
      <w:r w:rsidR="0008731E" w:rsidRPr="00BC0121">
        <w:rPr>
          <w:rFonts w:cstheme="minorHAnsi"/>
          <w:lang w:val="en-GB"/>
        </w:rPr>
        <w:t xml:space="preserve"> show the potentialities of the method and possible impact on the ISS enhancement of process industry. </w:t>
      </w:r>
    </w:p>
    <w:p w14:paraId="2BBF09FA" w14:textId="0A093748" w:rsidR="00761E7D" w:rsidRPr="00BC0121" w:rsidRDefault="00600535" w:rsidP="00761E7D">
      <w:pPr>
        <w:pStyle w:val="CETHeading1"/>
      </w:pPr>
      <w:r w:rsidRPr="00BC0121">
        <w:t>Introduction</w:t>
      </w:r>
    </w:p>
    <w:p w14:paraId="5B92637D" w14:textId="3D854906" w:rsidR="000C341E" w:rsidRPr="00BC0121" w:rsidRDefault="00091B31" w:rsidP="00B2589A">
      <w:pPr>
        <w:pStyle w:val="CETBodytext"/>
      </w:pPr>
      <w:r w:rsidRPr="00BC0121">
        <w:t>When compared to urban areas lik</w:t>
      </w:r>
      <w:r w:rsidR="00D6591C" w:rsidRPr="00BC0121">
        <w:t xml:space="preserve">e malls or public transport, process and chemical facilities were not previously considered </w:t>
      </w:r>
      <w:r w:rsidR="00E7033A" w:rsidRPr="00BC0121">
        <w:t>likely targets for</w:t>
      </w:r>
      <w:r w:rsidR="00DF5741" w:rsidRPr="00BC0121">
        <w:t xml:space="preserve"> acts of interference and terroristic (Baybutt and Reddy, 2003). </w:t>
      </w:r>
      <w:r w:rsidR="00E7033A" w:rsidRPr="00BC0121">
        <w:t>Following</w:t>
      </w:r>
      <w:r w:rsidR="00DF5741" w:rsidRPr="00BC0121">
        <w:t xml:space="preserve"> the events of “9/11” the government of the United States enacted security-related legislation and </w:t>
      </w:r>
      <w:r w:rsidR="00D013A6" w:rsidRPr="00BC0121">
        <w:t>established</w:t>
      </w:r>
      <w:r w:rsidR="00DF5741" w:rsidRPr="00BC0121">
        <w:t xml:space="preserve"> dedicated institutions, such as the Department of Homeland Security.</w:t>
      </w:r>
      <w:r w:rsidR="003F759F" w:rsidRPr="00BC0121">
        <w:t xml:space="preserve"> </w:t>
      </w:r>
      <w:r w:rsidR="00CA6607" w:rsidRPr="00BC0121">
        <w:t>In Europe,</w:t>
      </w:r>
      <w:r w:rsidR="00D63B6D" w:rsidRPr="00BC0121">
        <w:t xml:space="preserve"> despite the fact that </w:t>
      </w:r>
      <w:r w:rsidR="00CA6607" w:rsidRPr="00BC0121">
        <w:t xml:space="preserve">directives have been enacted for critical infrastructures (2008/114/EC), no published guidelines are yet available for the security of chemical and process plants. Security issues </w:t>
      </w:r>
      <w:r w:rsidR="00D9777D" w:rsidRPr="00BC0121">
        <w:t>are not contemplated in</w:t>
      </w:r>
      <w:r w:rsidR="00CA6607" w:rsidRPr="00BC0121">
        <w:t xml:space="preserve"> the Seveso Directive (2012/18/EU) as well. </w:t>
      </w:r>
      <w:r w:rsidR="000469A8" w:rsidRPr="00BC0121">
        <w:t xml:space="preserve">However, </w:t>
      </w:r>
      <w:r w:rsidR="00F64EBC" w:rsidRPr="00BC0121">
        <w:t xml:space="preserve">data analysis of past physical </w:t>
      </w:r>
      <w:r w:rsidR="00BD258C" w:rsidRPr="00BC0121">
        <w:t>(Casson Moreno et al., 2018) and cyber-attacks (</w:t>
      </w:r>
      <w:proofErr w:type="spellStart"/>
      <w:r w:rsidR="00BD258C" w:rsidRPr="00BC0121">
        <w:t>Iaiani</w:t>
      </w:r>
      <w:proofErr w:type="spellEnd"/>
      <w:r w:rsidR="00BD258C" w:rsidRPr="00BC0121">
        <w:t xml:space="preserve"> et al., 2021) show</w:t>
      </w:r>
      <w:r w:rsidR="00944CAA" w:rsidRPr="00BC0121">
        <w:t xml:space="preserve">ed </w:t>
      </w:r>
      <w:r w:rsidR="00BD258C" w:rsidRPr="00BC0121">
        <w:t xml:space="preserve">the relevancy of security threats to industrial </w:t>
      </w:r>
      <w:r w:rsidR="00FC2150" w:rsidRPr="00BC0121">
        <w:t>facilities</w:t>
      </w:r>
      <w:r w:rsidR="00BD258C" w:rsidRPr="00BC0121">
        <w:t>.</w:t>
      </w:r>
      <w:r w:rsidR="000C341E" w:rsidRPr="00BC0121">
        <w:t xml:space="preserve"> This situation is exacerbated among critical context</w:t>
      </w:r>
      <w:r w:rsidR="00E94BB5" w:rsidRPr="00BC0121">
        <w:t>s</w:t>
      </w:r>
      <w:r w:rsidR="000C341E" w:rsidRPr="00BC0121">
        <w:t xml:space="preserve">, such as the Maghreb. In this area, the intense chemical and petrochemical industrial activity coexists alongside a high sociopolitical instability and the presence of a high number of terroristic cells (Martinez </w:t>
      </w:r>
      <w:r w:rsidR="005E247D">
        <w:t xml:space="preserve">and </w:t>
      </w:r>
      <w:proofErr w:type="spellStart"/>
      <w:r w:rsidR="005E247D">
        <w:t>Boserup</w:t>
      </w:r>
      <w:proofErr w:type="spellEnd"/>
      <w:r w:rsidR="000C341E" w:rsidRPr="00BC0121">
        <w:t xml:space="preserve">, 2017), leading to </w:t>
      </w:r>
      <w:r w:rsidR="00E94BB5" w:rsidRPr="00BC0121">
        <w:t xml:space="preserve">a strong impact on the risk profile of such industrial installations. </w:t>
      </w:r>
    </w:p>
    <w:p w14:paraId="41706332" w14:textId="4BF61447" w:rsidR="001F6800" w:rsidRPr="00BC0121" w:rsidRDefault="00E94BB5" w:rsidP="00B2589A">
      <w:pPr>
        <w:pStyle w:val="CETBodytext"/>
        <w:rPr>
          <w:rFonts w:cs="Arial"/>
          <w:szCs w:val="18"/>
        </w:rPr>
      </w:pPr>
      <w:r w:rsidRPr="00BC0121">
        <w:t>In order to address these issues to support the safety and security management of industrial facilities, a</w:t>
      </w:r>
      <w:r w:rsidR="00C15BB1" w:rsidRPr="00BC0121">
        <w:t>nalysist</w:t>
      </w:r>
      <w:r w:rsidRPr="00BC0121">
        <w:t>s</w:t>
      </w:r>
      <w:r w:rsidR="00C15BB1" w:rsidRPr="00BC0121">
        <w:t xml:space="preserve"> may find guidance </w:t>
      </w:r>
      <w:r w:rsidRPr="00BC0121">
        <w:t>in international</w:t>
      </w:r>
      <w:r w:rsidR="00D63346" w:rsidRPr="00BC0121">
        <w:t xml:space="preserve"> </w:t>
      </w:r>
      <w:r w:rsidR="005A26C9" w:rsidRPr="00BC0121">
        <w:t xml:space="preserve">standards, such as </w:t>
      </w:r>
      <w:r w:rsidR="00497AE2" w:rsidRPr="00BC0121">
        <w:t>the API/ANSI Std 780 (API, 2013), the CCPS guidelines for the evaluation of security vulnerabilities (CCPS, 2003</w:t>
      </w:r>
      <w:r w:rsidR="001F6800" w:rsidRPr="00BC0121">
        <w:t>)</w:t>
      </w:r>
      <w:r w:rsidR="00497AE2" w:rsidRPr="00BC0121">
        <w:t>,</w:t>
      </w:r>
      <w:r w:rsidR="001F6800" w:rsidRPr="00BC0121">
        <w:t xml:space="preserve"> and</w:t>
      </w:r>
      <w:r w:rsidR="00497AE2" w:rsidRPr="00BC0121">
        <w:t xml:space="preserve"> the Sandia model for vulnerability of physical protection systems (</w:t>
      </w:r>
      <w:r w:rsidR="00497AE2" w:rsidRPr="00BC0121">
        <w:rPr>
          <w:rFonts w:cs="Arial"/>
          <w:szCs w:val="18"/>
        </w:rPr>
        <w:t>Garcia, 2008).</w:t>
      </w:r>
      <w:r w:rsidR="003F1DB1" w:rsidRPr="00BC0121">
        <w:rPr>
          <w:rFonts w:cs="Arial"/>
          <w:szCs w:val="18"/>
        </w:rPr>
        <w:t xml:space="preserve"> </w:t>
      </w:r>
      <w:r w:rsidR="004C732F" w:rsidRPr="00BC0121">
        <w:rPr>
          <w:rFonts w:cs="Arial"/>
          <w:szCs w:val="18"/>
        </w:rPr>
        <w:t xml:space="preserve">In the context of security, </w:t>
      </w:r>
      <w:r w:rsidR="004A003E" w:rsidRPr="00BC0121">
        <w:rPr>
          <w:rFonts w:cs="Arial"/>
          <w:szCs w:val="18"/>
        </w:rPr>
        <w:t>risk can be seen as the likelihood of a threat (</w:t>
      </w:r>
      <w:r w:rsidR="00572705" w:rsidRPr="00BC0121">
        <w:rPr>
          <w:rFonts w:cs="Arial"/>
          <w:szCs w:val="18"/>
        </w:rPr>
        <w:t xml:space="preserve">T) considering an asset attractive (A), </w:t>
      </w:r>
      <w:r w:rsidR="004A003E" w:rsidRPr="00BC0121">
        <w:rPr>
          <w:rFonts w:cs="Arial"/>
          <w:szCs w:val="18"/>
        </w:rPr>
        <w:t>successfully exploiting Vulnerability (V</w:t>
      </w:r>
      <w:proofErr w:type="gramStart"/>
      <w:r w:rsidR="00C035C6" w:rsidRPr="00BC0121">
        <w:rPr>
          <w:rFonts w:cs="Arial"/>
          <w:szCs w:val="18"/>
        </w:rPr>
        <w:t>)</w:t>
      </w:r>
      <w:proofErr w:type="gramEnd"/>
      <w:r w:rsidR="00C035C6" w:rsidRPr="00BC0121">
        <w:rPr>
          <w:rFonts w:cs="Arial"/>
          <w:szCs w:val="18"/>
        </w:rPr>
        <w:t xml:space="preserve"> and </w:t>
      </w:r>
      <w:r w:rsidR="003A37F3" w:rsidRPr="00BC0121">
        <w:rPr>
          <w:rFonts w:cs="Arial"/>
          <w:szCs w:val="18"/>
        </w:rPr>
        <w:t>causing a</w:t>
      </w:r>
      <w:r w:rsidR="004A003E" w:rsidRPr="00BC0121">
        <w:rPr>
          <w:rFonts w:cs="Arial"/>
          <w:szCs w:val="18"/>
        </w:rPr>
        <w:t xml:space="preserve"> degree of Consequences (C) on an asset</w:t>
      </w:r>
      <w:r w:rsidR="00A17312" w:rsidRPr="00BC0121">
        <w:rPr>
          <w:rFonts w:cs="Arial"/>
          <w:szCs w:val="18"/>
        </w:rPr>
        <w:t xml:space="preserve"> (API,2013)</w:t>
      </w:r>
      <w:r w:rsidR="004A003E" w:rsidRPr="00BC0121">
        <w:rPr>
          <w:rFonts w:cs="Arial"/>
          <w:szCs w:val="18"/>
        </w:rPr>
        <w:t>.</w:t>
      </w:r>
      <w:r w:rsidR="00A17312" w:rsidRPr="00BC0121">
        <w:rPr>
          <w:rFonts w:cs="Arial"/>
          <w:szCs w:val="18"/>
        </w:rPr>
        <w:t xml:space="preserve"> </w:t>
      </w:r>
      <w:r w:rsidR="00803245" w:rsidRPr="00BC0121">
        <w:rPr>
          <w:rFonts w:cs="Arial"/>
          <w:szCs w:val="18"/>
        </w:rPr>
        <w:t xml:space="preserve">T and </w:t>
      </w:r>
      <w:r w:rsidR="00572705" w:rsidRPr="00BC0121">
        <w:rPr>
          <w:rFonts w:cs="Arial"/>
          <w:szCs w:val="18"/>
        </w:rPr>
        <w:t>A</w:t>
      </w:r>
      <w:r w:rsidR="00803245" w:rsidRPr="00BC0121">
        <w:rPr>
          <w:rFonts w:cs="Arial"/>
          <w:szCs w:val="18"/>
        </w:rPr>
        <w:t xml:space="preserve"> can be further combined to obtain attack likelihood L.</w:t>
      </w:r>
      <w:r w:rsidR="001225D8" w:rsidRPr="00BC0121">
        <w:rPr>
          <w:rFonts w:cs="Arial"/>
          <w:szCs w:val="18"/>
        </w:rPr>
        <w:t xml:space="preserve"> </w:t>
      </w:r>
    </w:p>
    <w:p w14:paraId="7CC8FA3C" w14:textId="7C52C840" w:rsidR="001B15E6" w:rsidRDefault="001225D8" w:rsidP="00B2589A">
      <w:pPr>
        <w:pStyle w:val="CETBodytext"/>
      </w:pPr>
      <w:r w:rsidRPr="00BC0121">
        <w:rPr>
          <w:rFonts w:cs="Arial"/>
          <w:szCs w:val="18"/>
        </w:rPr>
        <w:lastRenderedPageBreak/>
        <w:t>This interpretation of ris</w:t>
      </w:r>
      <w:r w:rsidR="00410547" w:rsidRPr="00BC0121">
        <w:rPr>
          <w:rFonts w:cs="Arial"/>
          <w:szCs w:val="18"/>
        </w:rPr>
        <w:t>k implies the adoption of an interdisciplinary approach. In fact, w</w:t>
      </w:r>
      <w:r w:rsidR="00FB6CA7" w:rsidRPr="00BC0121">
        <w:t xml:space="preserve">hen assessing L, it is crucial to consider the threats’ </w:t>
      </w:r>
      <w:r w:rsidR="004D0CE4" w:rsidRPr="00BC0121">
        <w:t xml:space="preserve">intent, </w:t>
      </w:r>
      <w:r w:rsidR="003F1DB1" w:rsidRPr="00BC0121">
        <w:t>motivation,</w:t>
      </w:r>
      <w:r w:rsidR="004D0CE4" w:rsidRPr="00BC0121">
        <w:t xml:space="preserve"> and capabilities</w:t>
      </w:r>
      <w:r w:rsidR="00E81EBA" w:rsidRPr="00BC0121">
        <w:t xml:space="preserve"> (</w:t>
      </w:r>
      <w:r w:rsidR="00881BDE" w:rsidRPr="00BC0121">
        <w:rPr>
          <w:rFonts w:cs="Arial"/>
          <w:szCs w:val="18"/>
        </w:rPr>
        <w:t>API,</w:t>
      </w:r>
      <w:r w:rsidR="003340EC">
        <w:rPr>
          <w:rFonts w:cs="Arial"/>
          <w:szCs w:val="18"/>
        </w:rPr>
        <w:t xml:space="preserve"> </w:t>
      </w:r>
      <w:r w:rsidR="00881BDE" w:rsidRPr="00BC0121">
        <w:rPr>
          <w:rFonts w:cs="Arial"/>
          <w:szCs w:val="18"/>
        </w:rPr>
        <w:t>2013</w:t>
      </w:r>
      <w:r w:rsidR="00E81EBA" w:rsidRPr="00BC0121">
        <w:t>)</w:t>
      </w:r>
      <w:r w:rsidR="00410547" w:rsidRPr="00BC0121">
        <w:t>; t</w:t>
      </w:r>
      <w:r w:rsidR="004D0CE4" w:rsidRPr="00BC0121">
        <w:t xml:space="preserve">hese factors are highly </w:t>
      </w:r>
      <w:r w:rsidR="005B695E" w:rsidRPr="00BC0121">
        <w:t>dependent</w:t>
      </w:r>
      <w:r w:rsidR="004D0CE4" w:rsidRPr="00BC0121">
        <w:t xml:space="preserve"> on the </w:t>
      </w:r>
      <w:r w:rsidR="000469A8" w:rsidRPr="00BC0121">
        <w:t xml:space="preserve">geopolitical </w:t>
      </w:r>
      <w:r w:rsidR="004D0CE4" w:rsidRPr="00BC0121">
        <w:t>context where the facility operates</w:t>
      </w:r>
      <w:r w:rsidR="00E94BB5" w:rsidRPr="00BC0121">
        <w:t>, especially when dealing with critical contexts</w:t>
      </w:r>
      <w:r w:rsidR="004D0CE4" w:rsidRPr="00BC0121">
        <w:t xml:space="preserve">. </w:t>
      </w:r>
      <w:r w:rsidR="00FC2150" w:rsidRPr="00BC0121">
        <w:t xml:space="preserve">However, </w:t>
      </w:r>
      <w:r w:rsidR="000C341E" w:rsidRPr="00BC0121">
        <w:t xml:space="preserve">a </w:t>
      </w:r>
      <w:r w:rsidR="000C341E" w:rsidRPr="00630424">
        <w:t xml:space="preserve">systematic method to integrate the aforementioned aspects and implement them into a quantitative analysis is still lacking. </w:t>
      </w:r>
      <w:r w:rsidR="005260FC" w:rsidRPr="00630424">
        <w:t xml:space="preserve">More in general, the integration </w:t>
      </w:r>
      <w:r w:rsidR="007632D0" w:rsidRPr="00630424">
        <w:t xml:space="preserve">among safety and security </w:t>
      </w:r>
      <w:r w:rsidR="00005A0D" w:rsidRPr="00630424">
        <w:t xml:space="preserve">aspects </w:t>
      </w:r>
      <w:r w:rsidR="007632D0" w:rsidRPr="00630424">
        <w:t>is a critical task</w:t>
      </w:r>
      <w:r w:rsidR="005F5F4C" w:rsidRPr="00630424">
        <w:t>,</w:t>
      </w:r>
      <w:r w:rsidR="00005A0D" w:rsidRPr="00630424">
        <w:t xml:space="preserve"> which is necessary to prevent </w:t>
      </w:r>
      <w:r w:rsidR="0014217A" w:rsidRPr="00630424">
        <w:t>the propagation of accidents. However, sound</w:t>
      </w:r>
      <w:r w:rsidR="001F2057" w:rsidRPr="00630424">
        <w:t xml:space="preserve"> approaches for this crucial integration are not offered in </w:t>
      </w:r>
      <w:r w:rsidR="007632D0" w:rsidRPr="00630424">
        <w:t>current literature</w:t>
      </w:r>
      <w:r w:rsidR="001F2057" w:rsidRPr="00630424">
        <w:t>.</w:t>
      </w:r>
    </w:p>
    <w:p w14:paraId="799D9CA6" w14:textId="61333CD5" w:rsidR="000C341E" w:rsidRPr="00BC0121" w:rsidRDefault="00E94BB5" w:rsidP="00B2589A">
      <w:pPr>
        <w:pStyle w:val="CETBodytext"/>
      </w:pPr>
      <w:r w:rsidRPr="00BC0121">
        <w:t xml:space="preserve">The present work </w:t>
      </w:r>
      <w:r w:rsidR="00944CAA" w:rsidRPr="00BC0121">
        <w:t>was</w:t>
      </w:r>
      <w:r w:rsidRPr="00BC0121">
        <w:t xml:space="preserve"> aimed at developing an interdisciplinary approach towards the Integrated Safety-Security (ISS) </w:t>
      </w:r>
      <w:r w:rsidR="00CB1E8E" w:rsidRPr="00BC0121">
        <w:t xml:space="preserve">assessment of process facilities operating in the </w:t>
      </w:r>
      <w:r w:rsidRPr="00BC0121">
        <w:t xml:space="preserve">Maghreb </w:t>
      </w:r>
      <w:r w:rsidR="00CB1E8E" w:rsidRPr="00BC0121">
        <w:t>c</w:t>
      </w:r>
      <w:r w:rsidRPr="00BC0121">
        <w:t>ontext</w:t>
      </w:r>
      <w:r w:rsidR="00710F79" w:rsidRPr="00BC0121">
        <w:t xml:space="preserve">. </w:t>
      </w:r>
      <w:r w:rsidR="001D6B9B" w:rsidRPr="00BC0121">
        <w:t>Q</w:t>
      </w:r>
      <w:r w:rsidR="00710F79" w:rsidRPr="00BC0121">
        <w:t xml:space="preserve">ualitative </w:t>
      </w:r>
      <w:r w:rsidR="00CB1E8E" w:rsidRPr="00BC0121">
        <w:t xml:space="preserve">and quantitative </w:t>
      </w:r>
      <w:r w:rsidR="00710F79" w:rsidRPr="00BC0121">
        <w:t>techniques</w:t>
      </w:r>
      <w:r w:rsidR="00E81EBA" w:rsidRPr="00BC0121">
        <w:t xml:space="preserve"> </w:t>
      </w:r>
      <w:r w:rsidR="00944CAA" w:rsidRPr="00BC0121">
        <w:t>were</w:t>
      </w:r>
      <w:r w:rsidR="001D6B9B" w:rsidRPr="00BC0121">
        <w:t xml:space="preserve"> both applied </w:t>
      </w:r>
      <w:r w:rsidR="00E81EBA" w:rsidRPr="00BC0121">
        <w:t>to estimate the risk induced by intentional acts of interference</w:t>
      </w:r>
      <w:r w:rsidR="001D6B9B" w:rsidRPr="00BC0121">
        <w:t xml:space="preserve"> adopting a r</w:t>
      </w:r>
      <w:r w:rsidR="00E81EBA" w:rsidRPr="00BC0121">
        <w:t>isk-matrix</w:t>
      </w:r>
      <w:r w:rsidR="003C3DD4" w:rsidRPr="00BC0121">
        <w:t xml:space="preserve"> approach</w:t>
      </w:r>
      <w:r w:rsidR="00E81EBA" w:rsidRPr="00BC0121">
        <w:t xml:space="preserve">. </w:t>
      </w:r>
      <w:r w:rsidR="00710F79" w:rsidRPr="00BC0121">
        <w:t>A case stud</w:t>
      </w:r>
      <w:r w:rsidR="00CB1E8E" w:rsidRPr="00BC0121">
        <w:t>y,</w:t>
      </w:r>
      <w:r w:rsidR="00710F79" w:rsidRPr="00BC0121">
        <w:t xml:space="preserve"> located in an LNG (liquefied natural gas) treatment facility in the Maghreb area</w:t>
      </w:r>
      <w:r w:rsidR="00CB1E8E" w:rsidRPr="00BC0121">
        <w:t>,</w:t>
      </w:r>
      <w:r w:rsidR="00710F79" w:rsidRPr="00BC0121">
        <w:t xml:space="preserve"> </w:t>
      </w:r>
      <w:r w:rsidR="00944CAA" w:rsidRPr="00BC0121">
        <w:t>was</w:t>
      </w:r>
      <w:r w:rsidR="00710F79" w:rsidRPr="00BC0121">
        <w:t xml:space="preserve"> </w:t>
      </w:r>
      <w:r w:rsidR="00CB1E8E" w:rsidRPr="00BC0121">
        <w:t>analyzed</w:t>
      </w:r>
      <w:r w:rsidR="00710F79" w:rsidRPr="00BC0121">
        <w:t xml:space="preserve"> in order to test the </w:t>
      </w:r>
      <w:r w:rsidR="00CB1E8E" w:rsidRPr="00BC0121">
        <w:t>potentiality</w:t>
      </w:r>
      <w:r w:rsidR="00710F79" w:rsidRPr="00BC0121">
        <w:t xml:space="preserve"> of </w:t>
      </w:r>
      <w:r w:rsidR="00CB1E8E" w:rsidRPr="00BC0121">
        <w:t xml:space="preserve">the </w:t>
      </w:r>
      <w:r w:rsidR="003C3DD4" w:rsidRPr="00BC0121">
        <w:t>methodology</w:t>
      </w:r>
      <w:r w:rsidR="00CB1E8E" w:rsidRPr="00BC0121">
        <w:t>.</w:t>
      </w:r>
    </w:p>
    <w:p w14:paraId="5741900F" w14:textId="6EDBCC45" w:rsidR="00453E24" w:rsidRPr="00BC0121" w:rsidRDefault="00EA294A" w:rsidP="00453E24">
      <w:pPr>
        <w:pStyle w:val="CETHeading1"/>
      </w:pPr>
      <w:r w:rsidRPr="00BC0121">
        <w:t>Methodology</w:t>
      </w:r>
    </w:p>
    <w:p w14:paraId="1D7D55CF" w14:textId="0417A247" w:rsidR="001116C8" w:rsidRPr="00BC0121" w:rsidRDefault="00502B4F" w:rsidP="00943EC9">
      <w:pPr>
        <w:pStyle w:val="CETBodytext"/>
      </w:pPr>
      <w:r w:rsidRPr="00BC0121">
        <w:t>F</w:t>
      </w:r>
      <w:r w:rsidR="001116C8" w:rsidRPr="00BC0121">
        <w:t xml:space="preserve">igure 1 shows the methodology used in this study to address ISS scenarios. </w:t>
      </w:r>
      <w:r w:rsidR="008E50EA" w:rsidRPr="00BC0121">
        <w:t>Step 1 (see Figure 1)</w:t>
      </w:r>
      <w:r w:rsidR="001116C8" w:rsidRPr="00BC0121">
        <w:t xml:space="preserve"> consists of the identification of critical scenarios in the Ma</w:t>
      </w:r>
      <w:r w:rsidR="00DC3D0E" w:rsidRPr="00BC0121">
        <w:t>ghr</w:t>
      </w:r>
      <w:r w:rsidR="001116C8" w:rsidRPr="00BC0121">
        <w:t>eb area</w:t>
      </w:r>
      <w:r w:rsidR="008141D2" w:rsidRPr="00BC0121">
        <w:t>;</w:t>
      </w:r>
      <w:r w:rsidR="00AB30DE" w:rsidRPr="00BC0121">
        <w:t xml:space="preserve"> firstly, a </w:t>
      </w:r>
      <w:r w:rsidR="002250FE" w:rsidRPr="00BC0121">
        <w:t xml:space="preserve">qualitative depiction </w:t>
      </w:r>
      <w:r w:rsidR="00AB30DE" w:rsidRPr="00BC0121">
        <w:t xml:space="preserve">of the socio-political context of the area is </w:t>
      </w:r>
      <w:r w:rsidR="002250FE" w:rsidRPr="00BC0121">
        <w:t xml:space="preserve">given; the </w:t>
      </w:r>
      <w:r w:rsidR="004C5440" w:rsidRPr="00BC0121">
        <w:t xml:space="preserve">criticality of the context is </w:t>
      </w:r>
      <w:r w:rsidR="00944CAA" w:rsidRPr="00BC0121">
        <w:t>corroborated</w:t>
      </w:r>
      <w:r w:rsidR="004C5440" w:rsidRPr="00BC0121">
        <w:t xml:space="preserve"> by the application of a semi-quantitative methodology for attractiveness assessment developed by</w:t>
      </w:r>
      <w:r w:rsidR="00922E1E" w:rsidRPr="00BC0121">
        <w:t xml:space="preserve"> </w:t>
      </w:r>
      <w:r w:rsidR="001869C4" w:rsidRPr="00BC0121">
        <w:t xml:space="preserve">(Argenti </w:t>
      </w:r>
      <w:r w:rsidR="003340EC">
        <w:t>and Landucci</w:t>
      </w:r>
      <w:r w:rsidR="001869C4" w:rsidRPr="00BC0121">
        <w:t xml:space="preserve">, </w:t>
      </w:r>
      <w:r w:rsidR="003517AC" w:rsidRPr="00BC0121">
        <w:t>201</w:t>
      </w:r>
      <w:r w:rsidR="004D0485" w:rsidRPr="00BC0121">
        <w:t>6</w:t>
      </w:r>
      <w:r w:rsidR="003517AC" w:rsidRPr="00BC0121">
        <w:t>)</w:t>
      </w:r>
      <w:r w:rsidR="001C17DE" w:rsidRPr="00BC0121">
        <w:t>.</w:t>
      </w:r>
    </w:p>
    <w:p w14:paraId="18C36028" w14:textId="16CFDD26" w:rsidR="005B695E" w:rsidRPr="00BC0121" w:rsidRDefault="0030453E" w:rsidP="00943EC9">
      <w:pPr>
        <w:pStyle w:val="CETBodytext"/>
      </w:pPr>
      <w:r w:rsidRPr="00BC0121">
        <w:t>The second step in the methodology</w:t>
      </w:r>
      <w:r w:rsidR="008E50EA" w:rsidRPr="00BC0121">
        <w:t xml:space="preserve"> (Step 2 in Figure 1)</w:t>
      </w:r>
      <w:r w:rsidRPr="00BC0121">
        <w:t xml:space="preserve"> </w:t>
      </w:r>
      <w:r w:rsidR="00944CAA" w:rsidRPr="00BC0121">
        <w:t xml:space="preserve">aims at the estimation of </w:t>
      </w:r>
      <w:r w:rsidRPr="00BC0121">
        <w:t xml:space="preserve">the attack </w:t>
      </w:r>
      <w:r w:rsidR="00C812C9" w:rsidRPr="00BC0121">
        <w:t xml:space="preserve">success </w:t>
      </w:r>
      <w:r w:rsidRPr="00BC0121">
        <w:t xml:space="preserve">frequency F. This term depends on the likelihood of attack L and </w:t>
      </w:r>
      <w:r w:rsidR="00026DC1" w:rsidRPr="00BC0121">
        <w:t xml:space="preserve">vulnerability V. </w:t>
      </w:r>
      <w:r w:rsidR="00DD2725" w:rsidRPr="00BC0121">
        <w:t xml:space="preserve">L </w:t>
      </w:r>
      <w:r w:rsidR="00A01CC1" w:rsidRPr="00BC0121">
        <w:t xml:space="preserve">can be </w:t>
      </w:r>
      <w:r w:rsidR="00DA42D0" w:rsidRPr="00BC0121">
        <w:t xml:space="preserve">derived </w:t>
      </w:r>
      <w:r w:rsidR="001A7F5F" w:rsidRPr="00BC0121">
        <w:t>from</w:t>
      </w:r>
      <w:r w:rsidR="00DA42D0" w:rsidRPr="00BC0121">
        <w:t xml:space="preserve"> the API</w:t>
      </w:r>
      <w:r w:rsidR="003A37F3" w:rsidRPr="00BC0121">
        <w:t>/ANSI</w:t>
      </w:r>
      <w:r w:rsidR="00DA42D0" w:rsidRPr="00BC0121">
        <w:t xml:space="preserve"> Std 780 (</w:t>
      </w:r>
      <w:r w:rsidR="004212AA" w:rsidRPr="00BC0121">
        <w:t>API, 2013)</w:t>
      </w:r>
      <w:r w:rsidR="00DA42D0" w:rsidRPr="00BC0121">
        <w:t xml:space="preserve"> using the qualitative</w:t>
      </w:r>
      <w:r w:rsidR="005E25CF" w:rsidRPr="00BC0121">
        <w:t xml:space="preserve"> context analysis t</w:t>
      </w:r>
      <w:r w:rsidR="00667A44" w:rsidRPr="00BC0121">
        <w:t xml:space="preserve">o identify possible threats, their </w:t>
      </w:r>
      <w:r w:rsidR="00C812C9" w:rsidRPr="00BC0121">
        <w:t>intent,</w:t>
      </w:r>
      <w:r w:rsidR="00667A44" w:rsidRPr="00BC0121">
        <w:t xml:space="preserve"> and capabilities</w:t>
      </w:r>
      <w:r w:rsidR="00DA42D0" w:rsidRPr="00BC0121">
        <w:t xml:space="preserve">; </w:t>
      </w:r>
      <w:r w:rsidR="00AA1C5A" w:rsidRPr="00BC0121">
        <w:t xml:space="preserve">V </w:t>
      </w:r>
      <w:r w:rsidR="00DA42D0" w:rsidRPr="00BC0121">
        <w:t xml:space="preserve">is </w:t>
      </w:r>
      <w:r w:rsidR="00026DC1" w:rsidRPr="00BC0121">
        <w:t>related to the</w:t>
      </w:r>
      <w:r w:rsidR="00593DA3" w:rsidRPr="00BC0121">
        <w:t xml:space="preserve"> performance of </w:t>
      </w:r>
      <w:r w:rsidR="000D4760" w:rsidRPr="00BC0121">
        <w:t>security barriers (Physical Prote</w:t>
      </w:r>
      <w:r w:rsidR="00501131" w:rsidRPr="00BC0121">
        <w:t>c</w:t>
      </w:r>
      <w:r w:rsidR="000D4760" w:rsidRPr="00BC0121">
        <w:t>tion Syste</w:t>
      </w:r>
      <w:r w:rsidR="005E63B3" w:rsidRPr="00BC0121">
        <w:t>m</w:t>
      </w:r>
      <w:r w:rsidR="000D4760" w:rsidRPr="00BC0121">
        <w:t xml:space="preserve"> </w:t>
      </w:r>
      <w:r w:rsidR="00944CAA" w:rsidRPr="00BC0121">
        <w:t>-</w:t>
      </w:r>
      <w:r w:rsidR="000D4760" w:rsidRPr="00BC0121">
        <w:t xml:space="preserve"> </w:t>
      </w:r>
      <w:r w:rsidR="00B24949" w:rsidRPr="00BC0121">
        <w:t>PP</w:t>
      </w:r>
      <w:r w:rsidR="00827DF4" w:rsidRPr="00BC0121">
        <w:t>S</w:t>
      </w:r>
      <w:r w:rsidR="000D4760" w:rsidRPr="00BC0121">
        <w:t>)</w:t>
      </w:r>
      <w:r w:rsidR="00827DF4" w:rsidRPr="00BC0121">
        <w:t xml:space="preserve">. </w:t>
      </w:r>
      <w:r w:rsidR="002D3E87" w:rsidRPr="00BC0121">
        <w:t>T</w:t>
      </w:r>
      <w:r w:rsidR="00B24949" w:rsidRPr="00BC0121">
        <w:t xml:space="preserve">he failure of </w:t>
      </w:r>
      <w:r w:rsidR="00827DF4" w:rsidRPr="00BC0121">
        <w:t xml:space="preserve">PPS </w:t>
      </w:r>
      <w:r w:rsidR="0015628C" w:rsidRPr="00BC0121">
        <w:t>is based o</w:t>
      </w:r>
      <w:r w:rsidR="00827DF4" w:rsidRPr="00BC0121">
        <w:t xml:space="preserve">n </w:t>
      </w:r>
      <w:r w:rsidR="005E63B3" w:rsidRPr="00BC0121">
        <w:t>its</w:t>
      </w:r>
      <w:r w:rsidR="00827DF4" w:rsidRPr="00BC0121">
        <w:t xml:space="preserve"> </w:t>
      </w:r>
      <w:r w:rsidR="00E15312" w:rsidRPr="00BC0121">
        <w:t>effectiveness</w:t>
      </w:r>
      <w:r w:rsidR="00827DF4" w:rsidRPr="00BC0121">
        <w:t xml:space="preserve"> </w:t>
      </w:r>
      <w:r w:rsidR="0058520A" w:rsidRPr="00BC0121">
        <w:t>in detecting</w:t>
      </w:r>
      <w:r w:rsidR="0015628C" w:rsidRPr="00BC0121">
        <w:t xml:space="preserve"> an intrusion, communicat</w:t>
      </w:r>
      <w:r w:rsidR="0058520A" w:rsidRPr="00BC0121">
        <w:t>ing</w:t>
      </w:r>
      <w:r w:rsidR="0015628C" w:rsidRPr="00BC0121">
        <w:t xml:space="preserve"> the detection to the respo</w:t>
      </w:r>
      <w:r w:rsidR="00C812C9" w:rsidRPr="00BC0121">
        <w:t>ns</w:t>
      </w:r>
      <w:r w:rsidR="0015628C" w:rsidRPr="00BC0121">
        <w:t>e force</w:t>
      </w:r>
      <w:r w:rsidR="005E63B3" w:rsidRPr="00BC0121">
        <w:t>,</w:t>
      </w:r>
      <w:r w:rsidR="0015628C" w:rsidRPr="00BC0121">
        <w:t xml:space="preserve"> and </w:t>
      </w:r>
      <w:r w:rsidR="0058520A" w:rsidRPr="00BC0121">
        <w:t xml:space="preserve">in </w:t>
      </w:r>
      <w:r w:rsidR="0015628C" w:rsidRPr="00BC0121">
        <w:t xml:space="preserve">the </w:t>
      </w:r>
      <w:r w:rsidR="005E63B3" w:rsidRPr="00BC0121">
        <w:t>capability</w:t>
      </w:r>
      <w:r w:rsidR="0015628C" w:rsidRPr="00BC0121">
        <w:t xml:space="preserve"> of the response force to act on time</w:t>
      </w:r>
      <w:r w:rsidR="002D3E87" w:rsidRPr="00BC0121">
        <w:t xml:space="preserve"> (Garcia, 2008)</w:t>
      </w:r>
      <w:r w:rsidR="0015628C" w:rsidRPr="00BC0121">
        <w:t>.</w:t>
      </w:r>
      <w:r w:rsidR="00A96774" w:rsidRPr="00BC0121">
        <w:t xml:space="preserve"> Therefore, PPS performance strictly depends on </w:t>
      </w:r>
      <w:r w:rsidR="00C812C9" w:rsidRPr="00BC0121">
        <w:t>the time needed by</w:t>
      </w:r>
      <w:r w:rsidR="00A96774" w:rsidRPr="00BC0121">
        <w:t xml:space="preserve"> the adversary </w:t>
      </w:r>
      <w:r w:rsidR="00C812C9" w:rsidRPr="00BC0121">
        <w:t xml:space="preserve">to cover the intrusion path </w:t>
      </w:r>
      <w:proofErr w:type="spellStart"/>
      <w:r w:rsidR="0064249A" w:rsidRPr="00BC0121">
        <w:t>T</w:t>
      </w:r>
      <w:r w:rsidR="0064249A" w:rsidRPr="00BC0121">
        <w:rPr>
          <w:vertAlign w:val="subscript"/>
        </w:rPr>
        <w:t>p</w:t>
      </w:r>
      <w:proofErr w:type="spellEnd"/>
      <w:r w:rsidR="00D73DDB" w:rsidRPr="00BC0121">
        <w:t xml:space="preserve"> and </w:t>
      </w:r>
      <w:r w:rsidR="00E42068" w:rsidRPr="00BC0121">
        <w:t xml:space="preserve">on </w:t>
      </w:r>
      <w:r w:rsidR="00D73DDB" w:rsidRPr="00BC0121">
        <w:t xml:space="preserve">the time </w:t>
      </w:r>
      <w:r w:rsidR="0064249A" w:rsidRPr="00BC0121">
        <w:t xml:space="preserve">RFT </w:t>
      </w:r>
      <w:r w:rsidR="00D73DDB" w:rsidRPr="00BC0121">
        <w:t xml:space="preserve">that the response force </w:t>
      </w:r>
      <w:r w:rsidR="00DC1A03" w:rsidRPr="00BC0121">
        <w:t>takes</w:t>
      </w:r>
      <w:r w:rsidR="005E21CE" w:rsidRPr="00BC0121">
        <w:t xml:space="preserve"> to intervene</w:t>
      </w:r>
      <w:r w:rsidR="00DC1A03" w:rsidRPr="00BC0121">
        <w:t>.</w:t>
      </w:r>
      <w:r w:rsidR="00DA42D0" w:rsidRPr="00BC0121">
        <w:t xml:space="preserve"> </w:t>
      </w:r>
      <w:r w:rsidR="00593DA3" w:rsidRPr="00BC0121">
        <w:t>Table 1 summarize</w:t>
      </w:r>
      <w:r w:rsidR="005E21CE" w:rsidRPr="00BC0121">
        <w:t>s</w:t>
      </w:r>
      <w:r w:rsidR="00593DA3" w:rsidRPr="00BC0121">
        <w:t xml:space="preserve"> the approach </w:t>
      </w:r>
      <w:r w:rsidR="00BF6027" w:rsidRPr="00BC0121">
        <w:t xml:space="preserve">and equations </w:t>
      </w:r>
      <w:r w:rsidR="00593DA3" w:rsidRPr="00BC0121">
        <w:t xml:space="preserve">adopted </w:t>
      </w:r>
      <w:r w:rsidR="00713637" w:rsidRPr="00BC0121">
        <w:t xml:space="preserve">in </w:t>
      </w:r>
      <w:r w:rsidR="008E50EA" w:rsidRPr="00BC0121">
        <w:t>S</w:t>
      </w:r>
      <w:r w:rsidR="00713637" w:rsidRPr="00BC0121">
        <w:t>tep 2 to d</w:t>
      </w:r>
      <w:r w:rsidR="00DD2725" w:rsidRPr="00BC0121">
        <w:t>efine the attack success frequency F</w:t>
      </w:r>
      <w:r w:rsidR="005E21CE" w:rsidRPr="00BC0121">
        <w:t>.</w:t>
      </w:r>
    </w:p>
    <w:p w14:paraId="18FECFFD" w14:textId="1ED43149" w:rsidR="008E50EA" w:rsidRPr="00BC0121" w:rsidRDefault="008E50EA" w:rsidP="00D0140D">
      <w:pPr>
        <w:pStyle w:val="CETBodytext"/>
      </w:pPr>
      <w:r w:rsidRPr="00BC0121">
        <w:t>Step 3 (see Figure 1)</w:t>
      </w:r>
      <w:r w:rsidR="00816BA8" w:rsidRPr="00BC0121">
        <w:t xml:space="preserve"> consists of</w:t>
      </w:r>
      <w:r w:rsidR="00943EC9" w:rsidRPr="00BC0121">
        <w:t xml:space="preserve"> the evaluation of </w:t>
      </w:r>
      <w:r w:rsidRPr="00BC0121">
        <w:t>physical effects associated with the escalation of successful attack</w:t>
      </w:r>
      <w:r w:rsidR="00943EC9" w:rsidRPr="00BC0121">
        <w:t xml:space="preserve"> scenarios</w:t>
      </w:r>
      <w:r w:rsidRPr="00BC0121">
        <w:t xml:space="preserve">. Given the dynamic nature of the scenarios and the impacts induced by intentional attacks vs. the “conventional” safety scenarios, physical effects models based on integral approaches (Van Den Bosh and </w:t>
      </w:r>
      <w:proofErr w:type="spellStart"/>
      <w:r w:rsidRPr="00BC0121">
        <w:t>Weterings</w:t>
      </w:r>
      <w:proofErr w:type="spellEnd"/>
      <w:r w:rsidRPr="00BC0121">
        <w:t xml:space="preserve">, </w:t>
      </w:r>
      <w:r w:rsidR="007E7EFB">
        <w:t>2005</w:t>
      </w:r>
      <w:r w:rsidRPr="00BC0121">
        <w:t xml:space="preserve">) were implemented in a </w:t>
      </w:r>
      <w:r w:rsidR="00943EC9" w:rsidRPr="00BC0121">
        <w:t>Dynamic Process Simulation (DPS)</w:t>
      </w:r>
      <w:r w:rsidRPr="00BC0121">
        <w:t xml:space="preserve">. The rigorous process simulator adopted in the present study </w:t>
      </w:r>
      <w:r w:rsidR="00944CAA" w:rsidRPr="00BC0121">
        <w:t>was</w:t>
      </w:r>
      <w:r w:rsidRPr="00BC0121">
        <w:t xml:space="preserve"> </w:t>
      </w:r>
      <w:r w:rsidR="00943EC9" w:rsidRPr="00BC0121">
        <w:t xml:space="preserve">Honeywell UniSim® Design </w:t>
      </w:r>
      <w:r w:rsidR="00F16F1E" w:rsidRPr="00BC0121">
        <w:t>R</w:t>
      </w:r>
      <w:r w:rsidR="00E27F1C" w:rsidRPr="00BC0121">
        <w:t>460</w:t>
      </w:r>
      <w:r w:rsidR="00E46FDE" w:rsidRPr="00BC0121">
        <w:t xml:space="preserve"> (UniSim in the following)</w:t>
      </w:r>
      <w:r w:rsidR="00E27F1C" w:rsidRPr="00BC0121">
        <w:t xml:space="preserve">. </w:t>
      </w:r>
    </w:p>
    <w:p w14:paraId="01059235" w14:textId="5407FE62" w:rsidR="00D0140D" w:rsidRPr="00BC0121" w:rsidRDefault="008E50EA" w:rsidP="00D0140D">
      <w:pPr>
        <w:pStyle w:val="CETBodytext"/>
      </w:pPr>
      <w:r w:rsidRPr="00BC0121">
        <w:t>Finally, Step 4 (see Figure 1)</w:t>
      </w:r>
      <w:r w:rsidR="006A6810" w:rsidRPr="00BC0121">
        <w:t xml:space="preserve"> </w:t>
      </w:r>
      <w:r w:rsidR="00944CAA" w:rsidRPr="00BC0121">
        <w:t>consists of</w:t>
      </w:r>
      <w:r w:rsidR="006A6810" w:rsidRPr="00BC0121">
        <w:t xml:space="preserve"> the </w:t>
      </w:r>
      <w:r w:rsidRPr="00BC0121">
        <w:t>eventual estimation of</w:t>
      </w:r>
      <w:r w:rsidR="006A6810" w:rsidRPr="00BC0121">
        <w:t xml:space="preserve"> </w:t>
      </w:r>
      <w:proofErr w:type="spellStart"/>
      <w:r w:rsidR="006A6810" w:rsidRPr="00BC0121">
        <w:t>of</w:t>
      </w:r>
      <w:proofErr w:type="spellEnd"/>
      <w:r w:rsidR="006A6810" w:rsidRPr="00BC0121">
        <w:t xml:space="preserve"> ris</w:t>
      </w:r>
      <w:r w:rsidR="00A711B1" w:rsidRPr="00BC0121">
        <w:t>k</w:t>
      </w:r>
      <w:r w:rsidR="006A6810" w:rsidRPr="00BC0121">
        <w:t>.</w:t>
      </w:r>
      <w:r w:rsidR="00A711B1" w:rsidRPr="00BC0121">
        <w:t xml:space="preserve"> The approach proposed in this work </w:t>
      </w:r>
      <w:r w:rsidR="00944CAA" w:rsidRPr="00BC0121">
        <w:t>was</w:t>
      </w:r>
      <w:r w:rsidR="00A711B1" w:rsidRPr="00BC0121">
        <w:t xml:space="preserve"> to use a risk matrix</w:t>
      </w:r>
      <w:r w:rsidR="00303E0A" w:rsidRPr="00BC0121">
        <w:t xml:space="preserve"> that features a qualitative ranking for F and C</w:t>
      </w:r>
      <w:r w:rsidR="0026317D" w:rsidRPr="00BC0121">
        <w:t xml:space="preserve">. </w:t>
      </w:r>
      <w:r w:rsidR="006A6810" w:rsidRPr="00BC0121">
        <w:t>Figure 2 shows the selected matri</w:t>
      </w:r>
      <w:r w:rsidR="00B136F3" w:rsidRPr="00BC0121">
        <w:t>x and the description of each qualitative class</w:t>
      </w:r>
      <w:r w:rsidR="004B1670" w:rsidRPr="00BC0121">
        <w:t>.</w:t>
      </w:r>
      <w:r w:rsidR="00787428" w:rsidRPr="00BC0121">
        <w:t xml:space="preserve"> </w:t>
      </w:r>
      <w:r w:rsidR="00D0140D" w:rsidRPr="00BC0121">
        <w:t>The matrix is representative of the typical approach adopted in the Oil and Gas sector (</w:t>
      </w:r>
      <w:proofErr w:type="spellStart"/>
      <w:r w:rsidR="00D0140D" w:rsidRPr="00BC0121">
        <w:t>Petrone</w:t>
      </w:r>
      <w:proofErr w:type="spellEnd"/>
      <w:r w:rsidR="00D0140D" w:rsidRPr="00BC0121">
        <w:t xml:space="preserve"> et al., 2011). </w:t>
      </w:r>
      <w:r w:rsidR="00F3713E" w:rsidRPr="00BC0121">
        <w:t xml:space="preserve">The green part of the matrix </w:t>
      </w:r>
      <w:r w:rsidR="00ED32AA" w:rsidRPr="00BC0121">
        <w:t xml:space="preserve">is associated </w:t>
      </w:r>
      <w:r w:rsidR="00944CAA" w:rsidRPr="00BC0121">
        <w:t>with</w:t>
      </w:r>
      <w:r w:rsidR="00F3713E" w:rsidRPr="00BC0121">
        <w:t xml:space="preserve"> a </w:t>
      </w:r>
      <w:r w:rsidR="003230C2" w:rsidRPr="00BC0121">
        <w:t>tolerable</w:t>
      </w:r>
      <w:r w:rsidR="00F3713E" w:rsidRPr="00BC0121">
        <w:t xml:space="preserve"> risk leve</w:t>
      </w:r>
      <w:r w:rsidR="003230C2" w:rsidRPr="00BC0121">
        <w:t>l</w:t>
      </w:r>
      <w:r w:rsidR="00ED32AA" w:rsidRPr="00BC0121">
        <w:t xml:space="preserve"> and measures of continuous improvement</w:t>
      </w:r>
      <w:r w:rsidR="00C173EA" w:rsidRPr="00BC0121">
        <w:t>;</w:t>
      </w:r>
      <w:r w:rsidR="00F3713E" w:rsidRPr="00BC0121">
        <w:t xml:space="preserve"> the </w:t>
      </w:r>
      <w:r w:rsidR="00C173EA" w:rsidRPr="00BC0121">
        <w:t xml:space="preserve">red part </w:t>
      </w:r>
      <w:r w:rsidR="00944CAA" w:rsidRPr="00BC0121">
        <w:t>is</w:t>
      </w:r>
      <w:r w:rsidR="00C173EA" w:rsidRPr="00BC0121">
        <w:t xml:space="preserve"> where the risk level is not tolerable and further </w:t>
      </w:r>
      <w:r w:rsidR="00ED32AA" w:rsidRPr="00BC0121">
        <w:t xml:space="preserve">preventive or mitigative </w:t>
      </w:r>
      <w:r w:rsidR="00416066" w:rsidRPr="00BC0121">
        <w:t xml:space="preserve">actions need to </w:t>
      </w:r>
      <w:r w:rsidR="00880396" w:rsidRPr="00BC0121">
        <w:t xml:space="preserve">be </w:t>
      </w:r>
      <w:r w:rsidR="00416066" w:rsidRPr="00BC0121">
        <w:t>take</w:t>
      </w:r>
      <w:r w:rsidR="00880396" w:rsidRPr="00BC0121">
        <w:t>n</w:t>
      </w:r>
      <w:r w:rsidR="00416066" w:rsidRPr="00BC0121">
        <w:t xml:space="preserve"> to lower risk a tolerable level. Finally, the yellow part is the </w:t>
      </w:r>
      <w:r w:rsidR="00DD665D" w:rsidRPr="00BC0121">
        <w:t>“a</w:t>
      </w:r>
      <w:r w:rsidR="00416066" w:rsidRPr="00BC0121">
        <w:t xml:space="preserve">s Low </w:t>
      </w:r>
      <w:r w:rsidR="00DD665D" w:rsidRPr="00BC0121">
        <w:t>a</w:t>
      </w:r>
      <w:r w:rsidR="00A7420A" w:rsidRPr="00BC0121">
        <w:t xml:space="preserve">s </w:t>
      </w:r>
      <w:r w:rsidR="00416066" w:rsidRPr="00BC0121">
        <w:t>Reasonably P</w:t>
      </w:r>
      <w:r w:rsidR="00CC6100" w:rsidRPr="00BC0121">
        <w:t>racti</w:t>
      </w:r>
      <w:r w:rsidR="00CD7444" w:rsidRPr="00BC0121">
        <w:t>cable</w:t>
      </w:r>
      <w:r w:rsidR="00DD665D" w:rsidRPr="00BC0121">
        <w:t>”</w:t>
      </w:r>
      <w:r w:rsidR="00416066" w:rsidRPr="00BC0121">
        <w:t xml:space="preserve"> (ALARP)</w:t>
      </w:r>
      <w:r w:rsidR="008912E2" w:rsidRPr="00BC0121">
        <w:t xml:space="preserve"> risk</w:t>
      </w:r>
      <w:r w:rsidR="00416066" w:rsidRPr="00BC0121">
        <w:t xml:space="preserve"> zone</w:t>
      </w:r>
      <w:r w:rsidR="00CC6100" w:rsidRPr="00BC0121">
        <w:t>.</w:t>
      </w:r>
      <w:r w:rsidR="00064349" w:rsidRPr="00BC0121">
        <w:t xml:space="preserve"> </w:t>
      </w:r>
    </w:p>
    <w:p w14:paraId="623C20B9" w14:textId="77777777" w:rsidR="00520BCD" w:rsidRPr="00BC0121" w:rsidRDefault="00520BCD" w:rsidP="00D0140D">
      <w:pPr>
        <w:pStyle w:val="CETBodytext"/>
      </w:pPr>
    </w:p>
    <w:p w14:paraId="4DC6A13E" w14:textId="77777777" w:rsidR="00D0140D" w:rsidRPr="00BC0121" w:rsidRDefault="00D0140D" w:rsidP="00D0140D">
      <w:pPr>
        <w:pStyle w:val="CETBodytext"/>
      </w:pPr>
      <w:r w:rsidRPr="00BC0121">
        <w:rPr>
          <w:noProof/>
        </w:rPr>
        <w:drawing>
          <wp:inline distT="0" distB="0" distL="0" distR="0" wp14:anchorId="0BC124F9" wp14:editId="46ADBDBA">
            <wp:extent cx="5194300" cy="2358628"/>
            <wp:effectExtent l="0" t="0" r="6350" b="381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22918" cy="2417031"/>
                    </a:xfrm>
                    <a:prstGeom prst="rect">
                      <a:avLst/>
                    </a:prstGeom>
                    <a:noFill/>
                    <a:ln>
                      <a:noFill/>
                    </a:ln>
                  </pic:spPr>
                </pic:pic>
              </a:graphicData>
            </a:graphic>
          </wp:inline>
        </w:drawing>
      </w:r>
    </w:p>
    <w:p w14:paraId="5824A4E2" w14:textId="77777777" w:rsidR="00D0140D" w:rsidRPr="00BC0121" w:rsidRDefault="00D0140D" w:rsidP="00D0140D">
      <w:pPr>
        <w:pStyle w:val="CETCaption"/>
        <w:rPr>
          <w:rStyle w:val="CETCaptionCarattere"/>
          <w:i/>
        </w:rPr>
      </w:pPr>
      <w:r w:rsidRPr="00BC0121">
        <w:rPr>
          <w:rStyle w:val="CETCaptionCarattere"/>
          <w:i/>
        </w:rPr>
        <w:t xml:space="preserve">Figure 1- Flowchart of the methodological approach developed in this work to support ISS studies </w:t>
      </w:r>
    </w:p>
    <w:p w14:paraId="5453DEF2" w14:textId="4A88C076" w:rsidR="00D0140D" w:rsidRPr="00BC0121" w:rsidRDefault="00D0140D" w:rsidP="00D0140D">
      <w:pPr>
        <w:pStyle w:val="CETTabletitle"/>
      </w:pPr>
      <w:r w:rsidRPr="00BC0121">
        <w:lastRenderedPageBreak/>
        <w:t>Table 1 – Equations used to</w:t>
      </w:r>
      <w:r w:rsidR="00FC3E55" w:rsidRPr="00BC0121">
        <w:t xml:space="preserve"> support the simplified</w:t>
      </w:r>
      <w:r w:rsidRPr="00BC0121">
        <w:t xml:space="preserve"> evaluat</w:t>
      </w:r>
      <w:r w:rsidR="00FC3E55" w:rsidRPr="00BC0121">
        <w:t>ion of</w:t>
      </w:r>
      <w:r w:rsidRPr="00BC0121">
        <w:t xml:space="preserve"> the attack frequency F</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418"/>
        <w:gridCol w:w="2977"/>
        <w:gridCol w:w="2976"/>
        <w:gridCol w:w="1276"/>
      </w:tblGrid>
      <w:tr w:rsidR="00D0140D" w:rsidRPr="00BC0121" w14:paraId="0C68BDCC" w14:textId="77777777" w:rsidTr="002012DA">
        <w:tc>
          <w:tcPr>
            <w:tcW w:w="1418" w:type="dxa"/>
            <w:tcBorders>
              <w:top w:val="single" w:sz="12" w:space="0" w:color="008000"/>
              <w:bottom w:val="single" w:sz="6" w:space="0" w:color="008000"/>
            </w:tcBorders>
            <w:shd w:val="clear" w:color="auto" w:fill="FFFFFF"/>
            <w:vAlign w:val="center"/>
          </w:tcPr>
          <w:p w14:paraId="309CBD29" w14:textId="77777777" w:rsidR="00D0140D" w:rsidRPr="00BC0121" w:rsidRDefault="00D0140D" w:rsidP="002012DA">
            <w:pPr>
              <w:pStyle w:val="CETBodytext"/>
              <w:jc w:val="left"/>
              <w:rPr>
                <w:lang w:val="en-GB"/>
              </w:rPr>
            </w:pPr>
            <w:r w:rsidRPr="00BC0121">
              <w:rPr>
                <w:lang w:val="en-GB"/>
              </w:rPr>
              <w:t>Factor</w:t>
            </w:r>
          </w:p>
        </w:tc>
        <w:tc>
          <w:tcPr>
            <w:tcW w:w="2977" w:type="dxa"/>
            <w:tcBorders>
              <w:top w:val="single" w:sz="12" w:space="0" w:color="008000"/>
              <w:bottom w:val="single" w:sz="6" w:space="0" w:color="008000"/>
            </w:tcBorders>
            <w:shd w:val="clear" w:color="auto" w:fill="FFFFFF"/>
            <w:vAlign w:val="center"/>
          </w:tcPr>
          <w:p w14:paraId="0811A02B" w14:textId="77777777" w:rsidR="00D0140D" w:rsidRPr="00BC0121" w:rsidRDefault="00D0140D" w:rsidP="002012DA">
            <w:pPr>
              <w:pStyle w:val="CETBodytext"/>
              <w:jc w:val="left"/>
              <w:rPr>
                <w:lang w:val="en-GB"/>
              </w:rPr>
            </w:pPr>
            <w:r w:rsidRPr="00BC0121">
              <w:rPr>
                <w:lang w:val="en-GB"/>
              </w:rPr>
              <w:t>Description/Notes</w:t>
            </w:r>
          </w:p>
        </w:tc>
        <w:tc>
          <w:tcPr>
            <w:tcW w:w="2976" w:type="dxa"/>
            <w:tcBorders>
              <w:top w:val="single" w:sz="12" w:space="0" w:color="008000"/>
              <w:bottom w:val="single" w:sz="6" w:space="0" w:color="008000"/>
            </w:tcBorders>
            <w:shd w:val="clear" w:color="auto" w:fill="FFFFFF"/>
            <w:vAlign w:val="center"/>
          </w:tcPr>
          <w:p w14:paraId="273A5608"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Value/Equation</w:t>
            </w:r>
          </w:p>
        </w:tc>
        <w:tc>
          <w:tcPr>
            <w:tcW w:w="1276" w:type="dxa"/>
            <w:tcBorders>
              <w:top w:val="single" w:sz="12" w:space="0" w:color="008000"/>
              <w:bottom w:val="single" w:sz="6" w:space="0" w:color="008000"/>
            </w:tcBorders>
            <w:shd w:val="clear" w:color="auto" w:fill="FFFFFF"/>
            <w:vAlign w:val="center"/>
          </w:tcPr>
          <w:p w14:paraId="04034488"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Source</w:t>
            </w:r>
          </w:p>
        </w:tc>
      </w:tr>
      <w:tr w:rsidR="00D0140D" w:rsidRPr="00BC0121" w14:paraId="52B12F75" w14:textId="77777777" w:rsidTr="002012DA">
        <w:trPr>
          <w:trHeight w:val="1168"/>
        </w:trPr>
        <w:tc>
          <w:tcPr>
            <w:tcW w:w="1418" w:type="dxa"/>
            <w:shd w:val="clear" w:color="auto" w:fill="FFFFFF"/>
            <w:vAlign w:val="center"/>
          </w:tcPr>
          <w:p w14:paraId="2945EAEA" w14:textId="77777777" w:rsidR="00D0140D" w:rsidRPr="00BC0121" w:rsidRDefault="00D0140D" w:rsidP="002012DA">
            <w:pPr>
              <w:pStyle w:val="CETBodytext"/>
              <w:jc w:val="left"/>
              <w:rPr>
                <w:lang w:val="en-GB"/>
              </w:rPr>
            </w:pPr>
            <w:r w:rsidRPr="00BC0121">
              <w:rPr>
                <w:lang w:val="en-GB"/>
              </w:rPr>
              <w:t>Threat T [y</w:t>
            </w:r>
            <w:r w:rsidRPr="00BC0121">
              <w:rPr>
                <w:vertAlign w:val="superscript"/>
                <w:lang w:val="en-GB"/>
              </w:rPr>
              <w:t>-1</w:t>
            </w:r>
            <w:r w:rsidRPr="00BC0121">
              <w:rPr>
                <w:lang w:val="en-GB"/>
              </w:rPr>
              <w:t>]</w:t>
            </w:r>
          </w:p>
        </w:tc>
        <w:tc>
          <w:tcPr>
            <w:tcW w:w="2977" w:type="dxa"/>
            <w:shd w:val="clear" w:color="auto" w:fill="FFFFFF"/>
            <w:vAlign w:val="center"/>
          </w:tcPr>
          <w:p w14:paraId="33515A02" w14:textId="5965302E" w:rsidR="00D0140D" w:rsidRPr="00BC0121" w:rsidRDefault="00D0140D" w:rsidP="009D3D63">
            <w:pPr>
              <w:pStyle w:val="CETBodytext"/>
              <w:jc w:val="left"/>
              <w:rPr>
                <w:lang w:val="en-GB"/>
              </w:rPr>
            </w:pPr>
            <w:r w:rsidRPr="00BC0121">
              <w:rPr>
                <w:lang w:val="en-GB"/>
              </w:rPr>
              <w:t>A credible threat exists against the asset or similar assets based on knowledge of the threat’s capability and intent to attack the asset or similar assets.</w:t>
            </w:r>
            <w:r w:rsidR="009D3D63" w:rsidRPr="00BC0121">
              <w:rPr>
                <w:lang w:val="en-GB"/>
              </w:rPr>
              <w:t xml:space="preserve"> </w:t>
            </w:r>
            <w:r w:rsidRPr="00BC0121">
              <w:rPr>
                <w:lang w:val="en-GB"/>
              </w:rPr>
              <w:t>Some indication exists of the threat specific to the company, facility, or asset</w:t>
            </w:r>
          </w:p>
        </w:tc>
        <w:tc>
          <w:tcPr>
            <w:tcW w:w="2976" w:type="dxa"/>
            <w:shd w:val="clear" w:color="auto" w:fill="FFFFFF"/>
            <w:vAlign w:val="center"/>
          </w:tcPr>
          <w:p w14:paraId="52F6BA98"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0.20</w:t>
            </w:r>
          </w:p>
        </w:tc>
        <w:tc>
          <w:tcPr>
            <w:tcW w:w="1276" w:type="dxa"/>
            <w:shd w:val="clear" w:color="auto" w:fill="FFFFFF"/>
            <w:vAlign w:val="center"/>
          </w:tcPr>
          <w:p w14:paraId="5E613814"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(API, 2013)</w:t>
            </w:r>
          </w:p>
        </w:tc>
      </w:tr>
      <w:tr w:rsidR="00D0140D" w:rsidRPr="00BC0121" w14:paraId="7C4CE8F2" w14:textId="77777777" w:rsidTr="002012DA">
        <w:tc>
          <w:tcPr>
            <w:tcW w:w="1418" w:type="dxa"/>
            <w:shd w:val="clear" w:color="auto" w:fill="FFFFFF"/>
            <w:vAlign w:val="center"/>
          </w:tcPr>
          <w:p w14:paraId="72766D53"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 xml:space="preserve">Attractiveness </w:t>
            </w:r>
            <w:r w:rsidRPr="00BC0121">
              <w:rPr>
                <w:lang w:val="en-GB"/>
              </w:rPr>
              <w:t>A</w:t>
            </w:r>
          </w:p>
        </w:tc>
        <w:tc>
          <w:tcPr>
            <w:tcW w:w="2977" w:type="dxa"/>
            <w:shd w:val="clear" w:color="auto" w:fill="FFFFFF"/>
            <w:vAlign w:val="center"/>
          </w:tcPr>
          <w:p w14:paraId="444CF07B"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Given the Maghreb area context, the assets have the maximum attractiveness value.</w:t>
            </w:r>
          </w:p>
        </w:tc>
        <w:tc>
          <w:tcPr>
            <w:tcW w:w="2976" w:type="dxa"/>
            <w:shd w:val="clear" w:color="auto" w:fill="FFFFFF"/>
            <w:vAlign w:val="center"/>
          </w:tcPr>
          <w:p w14:paraId="56B264BE"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1.00</w:t>
            </w:r>
          </w:p>
        </w:tc>
        <w:tc>
          <w:tcPr>
            <w:tcW w:w="1276" w:type="dxa"/>
            <w:shd w:val="clear" w:color="auto" w:fill="FFFFFF"/>
            <w:vAlign w:val="center"/>
          </w:tcPr>
          <w:p w14:paraId="14CFA07F"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(API, 2013)</w:t>
            </w:r>
          </w:p>
        </w:tc>
      </w:tr>
      <w:tr w:rsidR="00D0140D" w:rsidRPr="00BC0121" w14:paraId="5A9B16C6" w14:textId="77777777" w:rsidTr="002012DA">
        <w:tc>
          <w:tcPr>
            <w:tcW w:w="1418" w:type="dxa"/>
            <w:shd w:val="clear" w:color="auto" w:fill="FFFFFF"/>
            <w:vAlign w:val="center"/>
          </w:tcPr>
          <w:p w14:paraId="2D9190B0"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 xml:space="preserve">Likelihood </w:t>
            </w:r>
            <w:r w:rsidRPr="00BC0121">
              <w:rPr>
                <w:lang w:val="en-GB"/>
              </w:rPr>
              <w:t>L [y</w:t>
            </w:r>
            <w:r w:rsidRPr="00BC0121">
              <w:rPr>
                <w:vertAlign w:val="superscript"/>
                <w:lang w:val="en-GB"/>
              </w:rPr>
              <w:t>-1</w:t>
            </w:r>
            <w:r w:rsidRPr="00BC0121">
              <w:rPr>
                <w:lang w:val="en-GB"/>
              </w:rPr>
              <w:t>]</w:t>
            </w:r>
          </w:p>
        </w:tc>
        <w:tc>
          <w:tcPr>
            <w:tcW w:w="2977" w:type="dxa"/>
            <w:shd w:val="clear" w:color="auto" w:fill="FFFFFF"/>
            <w:vAlign w:val="center"/>
          </w:tcPr>
          <w:p w14:paraId="446884AE"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Likelihood of attack to the facility</w:t>
            </w:r>
          </w:p>
        </w:tc>
        <w:tc>
          <w:tcPr>
            <w:tcW w:w="2976" w:type="dxa"/>
            <w:shd w:val="clear" w:color="auto" w:fill="FFFFFF"/>
            <w:vAlign w:val="center"/>
          </w:tcPr>
          <w:p w14:paraId="78B6F1C1"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L = T</w:t>
            </w:r>
            <w:r w:rsidRPr="00BC0121">
              <w:rPr>
                <w:rFonts w:ascii="Calibri" w:hAnsi="Calibri" w:cs="Calibri"/>
                <w:szCs w:val="18"/>
                <w:lang w:val="en-GB"/>
              </w:rPr>
              <w:t>·</w:t>
            </w:r>
            <w:r w:rsidRPr="00BC0121">
              <w:rPr>
                <w:rFonts w:cs="Arial"/>
                <w:szCs w:val="18"/>
                <w:lang w:val="en-GB"/>
              </w:rPr>
              <w:t xml:space="preserve">A = 0.20 </w:t>
            </w:r>
          </w:p>
        </w:tc>
        <w:tc>
          <w:tcPr>
            <w:tcW w:w="1276" w:type="dxa"/>
            <w:shd w:val="clear" w:color="auto" w:fill="FFFFFF"/>
            <w:vAlign w:val="center"/>
          </w:tcPr>
          <w:p w14:paraId="1D65848F"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(API, 2013)</w:t>
            </w:r>
          </w:p>
        </w:tc>
      </w:tr>
      <w:tr w:rsidR="00D0140D" w:rsidRPr="00BC0121" w14:paraId="76F18B3A" w14:textId="77777777" w:rsidTr="002012DA">
        <w:tc>
          <w:tcPr>
            <w:tcW w:w="1418" w:type="dxa"/>
            <w:shd w:val="clear" w:color="auto" w:fill="FFFFFF"/>
            <w:vAlign w:val="center"/>
          </w:tcPr>
          <w:p w14:paraId="0AC585F2"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Vulnerability V</w:t>
            </w:r>
          </w:p>
        </w:tc>
        <w:tc>
          <w:tcPr>
            <w:tcW w:w="2977" w:type="dxa"/>
            <w:shd w:val="clear" w:color="auto" w:fill="FFFFFF"/>
            <w:vAlign w:val="center"/>
          </w:tcPr>
          <w:p w14:paraId="56B04A7D"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Vulnerability is associated to the failure of PPS. It is sufficient for one function to fail to obtain attack success (gate OR)</w:t>
            </w:r>
          </w:p>
        </w:tc>
        <w:tc>
          <w:tcPr>
            <w:tcW w:w="2976" w:type="dxa"/>
            <w:shd w:val="clear" w:color="auto" w:fill="FFFFFF"/>
            <w:vAlign w:val="center"/>
          </w:tcPr>
          <w:p w14:paraId="44267261"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V = P</w:t>
            </w:r>
            <w:r w:rsidRPr="00BC0121">
              <w:rPr>
                <w:rFonts w:cs="Arial"/>
                <w:szCs w:val="18"/>
                <w:vertAlign w:val="subscript"/>
                <w:lang w:val="en-GB"/>
              </w:rPr>
              <w:t>D</w:t>
            </w:r>
            <w:r w:rsidRPr="00BC0121">
              <w:rPr>
                <w:rFonts w:ascii="Calibri" w:hAnsi="Calibri" w:cs="Calibri"/>
                <w:szCs w:val="18"/>
                <w:lang w:val="en-GB"/>
              </w:rPr>
              <w:t>+</w:t>
            </w:r>
            <w:r w:rsidRPr="00BC0121">
              <w:rPr>
                <w:rFonts w:cs="Arial"/>
                <w:szCs w:val="18"/>
                <w:lang w:val="en-GB"/>
              </w:rPr>
              <w:t>P</w:t>
            </w:r>
            <w:r w:rsidRPr="00BC0121">
              <w:rPr>
                <w:rFonts w:cs="Arial"/>
                <w:szCs w:val="18"/>
                <w:vertAlign w:val="subscript"/>
                <w:lang w:val="en-GB"/>
              </w:rPr>
              <w:t>A</w:t>
            </w:r>
            <w:r w:rsidRPr="00BC0121">
              <w:rPr>
                <w:rFonts w:ascii="Calibri" w:hAnsi="Calibri" w:cs="Calibri"/>
                <w:szCs w:val="18"/>
                <w:lang w:val="en-GB"/>
              </w:rPr>
              <w:t>+</w:t>
            </w:r>
            <w:r w:rsidRPr="00BC0121">
              <w:rPr>
                <w:rFonts w:cs="Arial"/>
                <w:szCs w:val="18"/>
                <w:lang w:val="en-GB"/>
              </w:rPr>
              <w:t>P</w:t>
            </w:r>
            <w:r w:rsidRPr="00BC0121">
              <w:rPr>
                <w:rFonts w:cs="Arial"/>
                <w:szCs w:val="18"/>
                <w:vertAlign w:val="subscript"/>
                <w:lang w:val="en-GB"/>
              </w:rPr>
              <w:t>I</w:t>
            </w:r>
          </w:p>
        </w:tc>
        <w:tc>
          <w:tcPr>
            <w:tcW w:w="1276" w:type="dxa"/>
            <w:shd w:val="clear" w:color="auto" w:fill="FFFFFF"/>
            <w:vAlign w:val="center"/>
          </w:tcPr>
          <w:p w14:paraId="11FECC55"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(Garcia, 2008)</w:t>
            </w:r>
          </w:p>
        </w:tc>
      </w:tr>
      <w:tr w:rsidR="00D0140D" w:rsidRPr="00BC0121" w14:paraId="24361DDC" w14:textId="77777777" w:rsidTr="002012DA">
        <w:tc>
          <w:tcPr>
            <w:tcW w:w="1418" w:type="dxa"/>
            <w:shd w:val="clear" w:color="auto" w:fill="FFFFFF"/>
            <w:vAlign w:val="center"/>
          </w:tcPr>
          <w:p w14:paraId="2B7732AC"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P</w:t>
            </w:r>
            <w:r w:rsidRPr="00BC0121">
              <w:rPr>
                <w:rFonts w:cs="Arial"/>
                <w:szCs w:val="18"/>
                <w:vertAlign w:val="subscript"/>
                <w:lang w:val="en-GB"/>
              </w:rPr>
              <w:t>D</w:t>
            </w:r>
          </w:p>
        </w:tc>
        <w:tc>
          <w:tcPr>
            <w:tcW w:w="2977" w:type="dxa"/>
            <w:shd w:val="clear" w:color="auto" w:fill="FFFFFF"/>
            <w:vAlign w:val="center"/>
          </w:tcPr>
          <w:p w14:paraId="16DFBB0A"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Probability of failed intrusion detection</w:t>
            </w:r>
          </w:p>
        </w:tc>
        <w:tc>
          <w:tcPr>
            <w:tcW w:w="2976" w:type="dxa"/>
            <w:shd w:val="clear" w:color="auto" w:fill="FFFFFF"/>
            <w:vAlign w:val="center"/>
          </w:tcPr>
          <w:p w14:paraId="20173E35"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0.10</w:t>
            </w:r>
          </w:p>
        </w:tc>
        <w:tc>
          <w:tcPr>
            <w:tcW w:w="1276" w:type="dxa"/>
            <w:shd w:val="clear" w:color="auto" w:fill="FFFFFF"/>
            <w:vAlign w:val="center"/>
          </w:tcPr>
          <w:p w14:paraId="36BA4D59"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(Garcia, 2008)</w:t>
            </w:r>
          </w:p>
        </w:tc>
      </w:tr>
      <w:tr w:rsidR="00D0140D" w:rsidRPr="00BC0121" w14:paraId="1D52EBDE" w14:textId="77777777" w:rsidTr="002012DA">
        <w:tc>
          <w:tcPr>
            <w:tcW w:w="1418" w:type="dxa"/>
            <w:shd w:val="clear" w:color="auto" w:fill="FFFFFF"/>
            <w:vAlign w:val="center"/>
          </w:tcPr>
          <w:p w14:paraId="4B24422F"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P</w:t>
            </w:r>
            <w:r w:rsidRPr="00BC0121">
              <w:rPr>
                <w:rFonts w:cs="Arial"/>
                <w:szCs w:val="18"/>
                <w:vertAlign w:val="subscript"/>
                <w:lang w:val="en-GB"/>
              </w:rPr>
              <w:t>A</w:t>
            </w:r>
          </w:p>
        </w:tc>
        <w:tc>
          <w:tcPr>
            <w:tcW w:w="2977" w:type="dxa"/>
            <w:shd w:val="clear" w:color="auto" w:fill="FFFFFF"/>
            <w:vAlign w:val="center"/>
          </w:tcPr>
          <w:p w14:paraId="490BE6EE"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Probability of failure of alarm communication</w:t>
            </w:r>
          </w:p>
        </w:tc>
        <w:tc>
          <w:tcPr>
            <w:tcW w:w="2976" w:type="dxa"/>
            <w:shd w:val="clear" w:color="auto" w:fill="FFFFFF"/>
            <w:vAlign w:val="center"/>
          </w:tcPr>
          <w:p w14:paraId="68A71AD7"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0.05</w:t>
            </w:r>
          </w:p>
        </w:tc>
        <w:tc>
          <w:tcPr>
            <w:tcW w:w="1276" w:type="dxa"/>
            <w:shd w:val="clear" w:color="auto" w:fill="FFFFFF"/>
            <w:vAlign w:val="center"/>
          </w:tcPr>
          <w:p w14:paraId="6DBD96E6"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(Garcia, 2008)</w:t>
            </w:r>
          </w:p>
        </w:tc>
      </w:tr>
      <w:tr w:rsidR="00D0140D" w:rsidRPr="00BC0121" w14:paraId="1594CAC7" w14:textId="77777777" w:rsidTr="002012DA">
        <w:tc>
          <w:tcPr>
            <w:tcW w:w="1418" w:type="dxa"/>
            <w:vMerge w:val="restart"/>
            <w:shd w:val="clear" w:color="auto" w:fill="FFFFFF"/>
            <w:vAlign w:val="center"/>
          </w:tcPr>
          <w:p w14:paraId="112F764C"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P</w:t>
            </w:r>
            <w:r w:rsidRPr="00BC0121">
              <w:rPr>
                <w:rFonts w:cs="Arial"/>
                <w:szCs w:val="18"/>
                <w:vertAlign w:val="subscript"/>
                <w:lang w:val="en-GB"/>
              </w:rPr>
              <w:t>I</w:t>
            </w:r>
          </w:p>
        </w:tc>
        <w:tc>
          <w:tcPr>
            <w:tcW w:w="2977" w:type="dxa"/>
            <w:shd w:val="clear" w:color="auto" w:fill="FFFFFF"/>
            <w:vAlign w:val="center"/>
          </w:tcPr>
          <w:p w14:paraId="64DA027F"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Probability of failure of timing of response force</w:t>
            </w:r>
          </w:p>
        </w:tc>
        <w:tc>
          <w:tcPr>
            <w:tcW w:w="2976" w:type="dxa"/>
            <w:shd w:val="clear" w:color="auto" w:fill="FFFFFF"/>
            <w:vAlign w:val="center"/>
          </w:tcPr>
          <w:p w14:paraId="1A9EA784" w14:textId="4B3C616A" w:rsidR="00D0140D" w:rsidRPr="00BC0121" w:rsidRDefault="00DD665D" w:rsidP="002012DA">
            <w:pPr>
              <w:pStyle w:val="CETBodytext"/>
              <w:ind w:right="-1"/>
              <w:jc w:val="left"/>
              <w:rPr>
                <w:rFonts w:cs="Arial"/>
              </w:rPr>
            </w:pPr>
            <m:oMathPara>
              <m:oMathParaPr>
                <m:jc m:val="left"/>
              </m:oMathParaPr>
              <m:oMath>
                <m:r>
                  <m:rPr>
                    <m:sty m:val="p"/>
                  </m:rPr>
                  <w:rPr>
                    <w:rFonts w:ascii="Cambria Math" w:eastAsiaTheme="minorEastAsia" w:hAnsi="Cambria Math"/>
                  </w:rPr>
                  <m:t>1-</m:t>
                </m:r>
                <m:f>
                  <m:fPr>
                    <m:ctrlPr>
                      <w:rPr>
                        <w:rFonts w:ascii="Cambria Math" w:eastAsiaTheme="minorEastAsia" w:hAnsi="Cambria Math"/>
                      </w:rPr>
                    </m:ctrlPr>
                  </m:fPr>
                  <m:num>
                    <m:r>
                      <m:rPr>
                        <m:sty m:val="p"/>
                      </m:rPr>
                      <w:rPr>
                        <w:rFonts w:ascii="Cambria Math" w:eastAsiaTheme="minorEastAsia" w:hAnsi="Cambria Math"/>
                      </w:rPr>
                      <m:t>1</m:t>
                    </m:r>
                  </m:num>
                  <m:den>
                    <m:rad>
                      <m:radPr>
                        <m:degHide m:val="1"/>
                        <m:ctrlPr>
                          <w:rPr>
                            <w:rFonts w:ascii="Cambria Math" w:eastAsiaTheme="minorEastAsia" w:hAnsi="Cambria Math"/>
                          </w:rPr>
                        </m:ctrlPr>
                      </m:radPr>
                      <m:deg/>
                      <m:e>
                        <m:r>
                          <m:rPr>
                            <m:sty m:val="p"/>
                          </m:rPr>
                          <w:rPr>
                            <w:rFonts w:ascii="Cambria Math" w:eastAsiaTheme="minorEastAsia" w:hAnsi="Cambria Math"/>
                          </w:rPr>
                          <m:t>π∙β</m:t>
                        </m:r>
                      </m:e>
                    </m:rad>
                  </m:den>
                </m:f>
                <m:r>
                  <m:rPr>
                    <m:sty m:val="p"/>
                  </m:rPr>
                  <w:rPr>
                    <w:rFonts w:ascii="Cambria Math" w:eastAsiaTheme="minorEastAsia" w:hAnsi="Cambria Math"/>
                  </w:rPr>
                  <m:t>∙</m:t>
                </m:r>
                <m:nary>
                  <m:naryPr>
                    <m:limLoc m:val="subSup"/>
                    <m:ctrlPr>
                      <w:rPr>
                        <w:rFonts w:ascii="Cambria Math" w:eastAsiaTheme="minorEastAsia" w:hAnsi="Cambria Math"/>
                      </w:rPr>
                    </m:ctrlPr>
                  </m:naryPr>
                  <m:sub>
                    <m:r>
                      <m:rPr>
                        <m:sty m:val="p"/>
                      </m:rPr>
                      <w:rPr>
                        <w:rFonts w:ascii="Cambria Math" w:eastAsiaTheme="minorEastAsia" w:hAnsi="Cambria Math"/>
                      </w:rPr>
                      <m:t>0</m:t>
                    </m:r>
                  </m:sub>
                  <m:sup>
                    <m:r>
                      <m:rPr>
                        <m:sty m:val="p"/>
                      </m:rPr>
                      <w:rPr>
                        <w:rFonts w:ascii="Cambria Math" w:eastAsiaTheme="minorEastAsia" w:hAnsi="Cambria Math"/>
                      </w:rPr>
                      <m:t>T</m:t>
                    </m:r>
                  </m:sup>
                  <m:e>
                    <m:sSup>
                      <m:sSupPr>
                        <m:ctrlPr>
                          <w:rPr>
                            <w:rFonts w:ascii="Cambria Math" w:eastAsiaTheme="minorEastAsia" w:hAnsi="Cambria Math"/>
                          </w:rPr>
                        </m:ctrlPr>
                      </m:sSupPr>
                      <m:e>
                        <m:r>
                          <m:rPr>
                            <m:sty m:val="p"/>
                          </m:rPr>
                          <w:rPr>
                            <w:rFonts w:ascii="Cambria Math" w:eastAsiaTheme="minorEastAsia" w:hAnsi="Cambria Math"/>
                          </w:rPr>
                          <m:t>e</m:t>
                        </m:r>
                      </m:e>
                      <m:sup>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t</m:t>
                                </m:r>
                              </m:e>
                              <m:sup>
                                <m:r>
                                  <m:rPr>
                                    <m:sty m:val="p"/>
                                  </m:rPr>
                                  <w:rPr>
                                    <w:rFonts w:ascii="Cambria Math" w:eastAsiaTheme="minorEastAsia" w:hAnsi="Cambria Math"/>
                                  </w:rPr>
                                  <m:t>2</m:t>
                                </m:r>
                              </m:sup>
                            </m:sSup>
                          </m:num>
                          <m:den>
                            <m:r>
                              <m:rPr>
                                <m:sty m:val="p"/>
                              </m:rPr>
                              <w:rPr>
                                <w:rFonts w:ascii="Cambria Math" w:eastAsiaTheme="minorEastAsia" w:hAnsi="Cambria Math"/>
                              </w:rPr>
                              <m:t>β</m:t>
                            </m:r>
                          </m:den>
                        </m:f>
                      </m:sup>
                    </m:sSup>
                    <m:r>
                      <m:rPr>
                        <m:sty m:val="p"/>
                      </m:rPr>
                      <w:rPr>
                        <w:rFonts w:ascii="Cambria Math" w:eastAsiaTheme="minorEastAsia" w:hAnsi="Cambria Math"/>
                      </w:rPr>
                      <m:t>∙dt</m:t>
                    </m:r>
                  </m:e>
                </m:nary>
              </m:oMath>
            </m:oMathPara>
          </w:p>
          <w:p w14:paraId="538D4393" w14:textId="1090E550" w:rsidR="00D0140D" w:rsidRPr="00BC0121" w:rsidRDefault="00DD665D" w:rsidP="002012DA">
            <w:pPr>
              <w:pStyle w:val="CETBodytext"/>
              <w:ind w:right="-1"/>
              <w:jc w:val="left"/>
              <w:rPr>
                <w:rFonts w:cs="Arial"/>
              </w:rPr>
            </w:pPr>
            <m:oMathPara>
              <m:oMathParaPr>
                <m:jc m:val="left"/>
              </m:oMathParaPr>
              <m:oMath>
                <m:r>
                  <m:rPr>
                    <m:sty m:val="p"/>
                  </m:rPr>
                  <w:rPr>
                    <w:rFonts w:ascii="Cambria Math" w:eastAsiaTheme="minorEastAsia" w:hAnsi="Cambria Math"/>
                  </w:rPr>
                  <m:t>β=2∙</m:t>
                </m:r>
                <m:d>
                  <m:dPr>
                    <m:ctrlPr>
                      <w:rPr>
                        <w:rFonts w:ascii="Cambria Math" w:eastAsiaTheme="minorEastAsia" w:hAnsi="Cambria Math"/>
                      </w:rPr>
                    </m:ctrlPr>
                  </m:dPr>
                  <m:e>
                    <m:sSubSup>
                      <m:sSubSupPr>
                        <m:ctrlPr>
                          <w:rPr>
                            <w:rFonts w:ascii="Cambria Math" w:eastAsiaTheme="minorEastAsia" w:hAnsi="Cambria Math"/>
                          </w:rPr>
                        </m:ctrlPr>
                      </m:sSubSupPr>
                      <m:e>
                        <m:r>
                          <m:rPr>
                            <m:sty m:val="p"/>
                          </m:rPr>
                          <w:rPr>
                            <w:rFonts w:ascii="Cambria Math" w:eastAsiaTheme="minorEastAsia" w:hAnsi="Cambria Math"/>
                          </w:rPr>
                          <m:t>σ</m:t>
                        </m:r>
                      </m:e>
                      <m:sub>
                        <m:r>
                          <m:rPr>
                            <m:sty m:val="p"/>
                          </m:rPr>
                          <w:rPr>
                            <w:rFonts w:ascii="Cambria Math" w:eastAsiaTheme="minorEastAsia" w:hAnsi="Cambria Math"/>
                          </w:rPr>
                          <m:t>RTF</m:t>
                        </m:r>
                      </m:sub>
                      <m:sup>
                        <m:r>
                          <m:rPr>
                            <m:sty m:val="p"/>
                          </m:rPr>
                          <w:rPr>
                            <w:rFonts w:ascii="Cambria Math" w:eastAsiaTheme="minorEastAsia" w:hAnsi="Cambria Math"/>
                          </w:rPr>
                          <m:t>2</m:t>
                        </m:r>
                      </m:sup>
                    </m:sSubSup>
                    <m:r>
                      <m:rPr>
                        <m:sty m:val="p"/>
                      </m:rPr>
                      <w:rPr>
                        <w:rFonts w:ascii="Cambria Math" w:eastAsiaTheme="minorEastAsia" w:hAnsi="Cambria Math"/>
                      </w:rPr>
                      <m:t>+</m:t>
                    </m:r>
                    <m:sSubSup>
                      <m:sSubSupPr>
                        <m:ctrlPr>
                          <w:rPr>
                            <w:rFonts w:ascii="Cambria Math" w:eastAsiaTheme="minorEastAsia" w:hAnsi="Cambria Math"/>
                          </w:rPr>
                        </m:ctrlPr>
                      </m:sSubSupPr>
                      <m:e>
                        <m:r>
                          <m:rPr>
                            <m:sty m:val="p"/>
                          </m:rPr>
                          <w:rPr>
                            <w:rFonts w:ascii="Cambria Math" w:eastAsiaTheme="minorEastAsia" w:hAnsi="Cambria Math"/>
                          </w:rPr>
                          <m:t>σ</m:t>
                        </m:r>
                      </m:e>
                      <m:sub>
                        <m:r>
                          <m:rPr>
                            <m:sty m:val="p"/>
                          </m:rPr>
                          <w:rPr>
                            <w:rFonts w:ascii="Cambria Math" w:eastAsiaTheme="minorEastAsia" w:hAnsi="Cambria Math"/>
                          </w:rPr>
                          <m:t>P</m:t>
                        </m:r>
                      </m:sub>
                      <m:sup>
                        <m:r>
                          <m:rPr>
                            <m:sty m:val="p"/>
                          </m:rPr>
                          <w:rPr>
                            <w:rFonts w:ascii="Cambria Math" w:eastAsiaTheme="minorEastAsia" w:hAnsi="Cambria Math"/>
                          </w:rPr>
                          <m:t>2</m:t>
                        </m:r>
                      </m:sup>
                    </m:sSubSup>
                  </m:e>
                </m:d>
              </m:oMath>
            </m:oMathPara>
          </w:p>
          <w:p w14:paraId="6D664953" w14:textId="47C5EAE4" w:rsidR="00D0140D" w:rsidRPr="00BC0121" w:rsidRDefault="00DD665D" w:rsidP="002012DA">
            <w:pPr>
              <w:pStyle w:val="CETBodytext"/>
              <w:ind w:right="-1"/>
              <w:jc w:val="left"/>
              <w:rPr>
                <w:rFonts w:cs="Arial"/>
                <w:szCs w:val="18"/>
                <w:lang w:val="en-GB"/>
              </w:rPr>
            </w:pPr>
            <m:oMathPara>
              <m:oMathParaPr>
                <m:jc m:val="left"/>
              </m:oMathParaPr>
              <m:oMath>
                <m:r>
                  <m:rPr>
                    <m:sty m:val="p"/>
                  </m:rPr>
                  <w:rPr>
                    <w:rFonts w:ascii="Cambria Math" w:eastAsiaTheme="minorEastAsia" w:hAnsi="Cambria Math"/>
                  </w:rPr>
                  <m:t>T=</m:t>
                </m:r>
                <m:sSub>
                  <m:sSubPr>
                    <m:ctrlPr>
                      <w:rPr>
                        <w:rFonts w:ascii="Cambria Math" w:eastAsiaTheme="minorEastAsia" w:hAnsi="Cambria Math"/>
                      </w:rPr>
                    </m:ctrlPr>
                  </m:sSubPr>
                  <m:e>
                    <m:r>
                      <m:rPr>
                        <m:sty m:val="p"/>
                      </m:rPr>
                      <w:rPr>
                        <w:rFonts w:ascii="Cambria Math" w:eastAsiaTheme="minorEastAsia" w:hAnsi="Cambria Math"/>
                      </w:rPr>
                      <m:t>T</m:t>
                    </m:r>
                  </m:e>
                  <m:sub>
                    <m:r>
                      <m:rPr>
                        <m:sty m:val="p"/>
                      </m:rPr>
                      <w:rPr>
                        <w:rFonts w:ascii="Cambria Math" w:eastAsiaTheme="minorEastAsia" w:hAnsi="Cambria Math"/>
                      </w:rPr>
                      <m:t>P</m:t>
                    </m:r>
                  </m:sub>
                </m:sSub>
                <m:r>
                  <m:rPr>
                    <m:sty m:val="p"/>
                  </m:rPr>
                  <w:rPr>
                    <w:rFonts w:ascii="Cambria Math" w:eastAsiaTheme="minorEastAsia" w:hAnsi="Cambria Math"/>
                  </w:rPr>
                  <m:t>-RFT&gt;0</m:t>
                </m:r>
              </m:oMath>
            </m:oMathPara>
          </w:p>
        </w:tc>
        <w:tc>
          <w:tcPr>
            <w:tcW w:w="1276" w:type="dxa"/>
            <w:vMerge w:val="restart"/>
            <w:shd w:val="clear" w:color="auto" w:fill="FFFFFF"/>
            <w:vAlign w:val="center"/>
          </w:tcPr>
          <w:p w14:paraId="0817D6B6"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(Garcia, 2008)</w:t>
            </w:r>
          </w:p>
        </w:tc>
      </w:tr>
      <w:tr w:rsidR="00D0140D" w:rsidRPr="00BC0121" w14:paraId="3473B841" w14:textId="77777777" w:rsidTr="002012DA">
        <w:tc>
          <w:tcPr>
            <w:tcW w:w="1418" w:type="dxa"/>
            <w:vMerge/>
            <w:shd w:val="clear" w:color="auto" w:fill="FFFFFF"/>
            <w:vAlign w:val="center"/>
          </w:tcPr>
          <w:p w14:paraId="0833F2C9" w14:textId="77777777" w:rsidR="00D0140D" w:rsidRPr="00BC0121" w:rsidRDefault="00D0140D" w:rsidP="002012DA">
            <w:pPr>
              <w:pStyle w:val="CETBodytext"/>
              <w:ind w:right="-1"/>
              <w:jc w:val="left"/>
              <w:rPr>
                <w:rFonts w:cs="Arial"/>
                <w:szCs w:val="18"/>
                <w:lang w:val="en-GB"/>
              </w:rPr>
            </w:pPr>
          </w:p>
        </w:tc>
        <w:tc>
          <w:tcPr>
            <w:tcW w:w="5953" w:type="dxa"/>
            <w:gridSpan w:val="2"/>
            <w:shd w:val="clear" w:color="auto" w:fill="FFFFFF"/>
            <w:vAlign w:val="center"/>
          </w:tcPr>
          <w:p w14:paraId="4BF5CF3A" w14:textId="0635A610" w:rsidR="00D0140D" w:rsidRPr="00BC0121" w:rsidRDefault="00D0140D" w:rsidP="002012DA">
            <w:pPr>
              <w:pStyle w:val="CETBodytext"/>
              <w:ind w:right="-1"/>
              <w:jc w:val="left"/>
              <w:rPr>
                <w:rFonts w:cs="Arial"/>
                <w:szCs w:val="18"/>
                <w:lang w:val="en-GB"/>
              </w:rPr>
            </w:pPr>
            <w:proofErr w:type="spellStart"/>
            <w:r w:rsidRPr="00BC0121">
              <w:rPr>
                <w:rFonts w:cs="Arial"/>
                <w:szCs w:val="18"/>
                <w:lang w:val="en-GB"/>
              </w:rPr>
              <w:t>T</w:t>
            </w:r>
            <w:r w:rsidRPr="00BC0121">
              <w:rPr>
                <w:rFonts w:cs="Arial"/>
                <w:szCs w:val="18"/>
                <w:vertAlign w:val="subscript"/>
                <w:lang w:val="en-GB"/>
              </w:rPr>
              <w:t>p</w:t>
            </w:r>
            <w:proofErr w:type="spellEnd"/>
            <w:r w:rsidRPr="00BC0121">
              <w:rPr>
                <w:rFonts w:cs="Arial"/>
                <w:szCs w:val="18"/>
                <w:lang w:val="en-GB"/>
              </w:rPr>
              <w:t xml:space="preserve">: penetration time; RFT: response force time; </w:t>
            </w:r>
            <m:oMath>
              <m:r>
                <m:rPr>
                  <m:sty m:val="p"/>
                </m:rPr>
                <w:rPr>
                  <w:rFonts w:ascii="Cambria Math" w:eastAsiaTheme="minorEastAsia" w:hAnsi="Cambria Math"/>
                </w:rPr>
                <m:t>σ</m:t>
              </m:r>
            </m:oMath>
            <w:r w:rsidRPr="00BC0121">
              <w:rPr>
                <w:rFonts w:cs="Arial"/>
              </w:rPr>
              <w:t>: variance of T</w:t>
            </w:r>
            <w:r w:rsidRPr="00BC0121">
              <w:rPr>
                <w:rFonts w:cs="Arial"/>
                <w:vertAlign w:val="subscript"/>
              </w:rPr>
              <w:t>P</w:t>
            </w:r>
            <w:r w:rsidRPr="00BC0121">
              <w:rPr>
                <w:rFonts w:cs="Arial"/>
              </w:rPr>
              <w:t xml:space="preserve"> or RFT</w:t>
            </w:r>
          </w:p>
        </w:tc>
        <w:tc>
          <w:tcPr>
            <w:tcW w:w="1276" w:type="dxa"/>
            <w:vMerge/>
            <w:shd w:val="clear" w:color="auto" w:fill="FFFFFF"/>
            <w:vAlign w:val="center"/>
          </w:tcPr>
          <w:p w14:paraId="301BC57A" w14:textId="77777777" w:rsidR="00D0140D" w:rsidRPr="00BC0121" w:rsidRDefault="00D0140D" w:rsidP="002012DA">
            <w:pPr>
              <w:pStyle w:val="CETBodytext"/>
              <w:ind w:right="-1"/>
              <w:jc w:val="left"/>
              <w:rPr>
                <w:rFonts w:cs="Arial"/>
                <w:szCs w:val="18"/>
                <w:lang w:val="en-GB"/>
              </w:rPr>
            </w:pPr>
          </w:p>
        </w:tc>
      </w:tr>
      <w:tr w:rsidR="00D0140D" w:rsidRPr="00BC0121" w14:paraId="4E12B399" w14:textId="77777777" w:rsidTr="002012DA">
        <w:tc>
          <w:tcPr>
            <w:tcW w:w="1418" w:type="dxa"/>
            <w:shd w:val="clear" w:color="auto" w:fill="FFFFFF"/>
            <w:vAlign w:val="center"/>
          </w:tcPr>
          <w:p w14:paraId="567074C5"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Frequency (F)</w:t>
            </w:r>
          </w:p>
        </w:tc>
        <w:tc>
          <w:tcPr>
            <w:tcW w:w="2977" w:type="dxa"/>
            <w:shd w:val="clear" w:color="auto" w:fill="FFFFFF"/>
            <w:vAlign w:val="center"/>
          </w:tcPr>
          <w:p w14:paraId="333C9DA2"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Frequency of attack success</w:t>
            </w:r>
          </w:p>
        </w:tc>
        <w:tc>
          <w:tcPr>
            <w:tcW w:w="2976" w:type="dxa"/>
            <w:shd w:val="clear" w:color="auto" w:fill="FFFFFF"/>
            <w:vAlign w:val="center"/>
          </w:tcPr>
          <w:p w14:paraId="37781131" w14:textId="77777777" w:rsidR="00D0140D" w:rsidRPr="00BC0121" w:rsidRDefault="00D0140D" w:rsidP="002012DA">
            <w:pPr>
              <w:pStyle w:val="CETBodytext"/>
              <w:ind w:right="-1"/>
              <w:jc w:val="left"/>
              <w:rPr>
                <w:rFonts w:cs="Arial"/>
                <w:szCs w:val="18"/>
                <w:lang w:val="en-GB"/>
              </w:rPr>
            </w:pPr>
            <w:r w:rsidRPr="00BC0121">
              <w:rPr>
                <w:rFonts w:cs="Arial"/>
                <w:szCs w:val="18"/>
                <w:lang w:val="en-GB"/>
              </w:rPr>
              <w:t>F=L</w:t>
            </w:r>
            <w:r w:rsidRPr="00BC0121">
              <w:rPr>
                <w:rFonts w:ascii="Calibri" w:hAnsi="Calibri" w:cs="Calibri"/>
                <w:szCs w:val="18"/>
                <w:lang w:val="en-GB"/>
              </w:rPr>
              <w:t>·</w:t>
            </w:r>
            <w:r w:rsidRPr="00BC0121">
              <w:rPr>
                <w:rFonts w:cs="Arial"/>
                <w:szCs w:val="18"/>
                <w:lang w:val="en-GB"/>
              </w:rPr>
              <w:t>V</w:t>
            </w:r>
          </w:p>
        </w:tc>
        <w:tc>
          <w:tcPr>
            <w:tcW w:w="1276" w:type="dxa"/>
            <w:shd w:val="clear" w:color="auto" w:fill="FFFFFF"/>
            <w:vAlign w:val="center"/>
          </w:tcPr>
          <w:p w14:paraId="14384744" w14:textId="77777777" w:rsidR="00D0140D" w:rsidRPr="00BC0121" w:rsidRDefault="00D0140D" w:rsidP="002012DA">
            <w:pPr>
              <w:pStyle w:val="CETBodytext"/>
              <w:ind w:right="-1"/>
              <w:jc w:val="left"/>
              <w:rPr>
                <w:rFonts w:cs="Arial"/>
                <w:szCs w:val="18"/>
                <w:lang w:val="en-GB"/>
              </w:rPr>
            </w:pPr>
          </w:p>
        </w:tc>
      </w:tr>
    </w:tbl>
    <w:p w14:paraId="5FB86873" w14:textId="77777777" w:rsidR="00D0140D" w:rsidRPr="00BC0121" w:rsidRDefault="00D0140D" w:rsidP="00F3713E">
      <w:pPr>
        <w:pStyle w:val="CETBodytext"/>
      </w:pPr>
    </w:p>
    <w:p w14:paraId="177DC647" w14:textId="79DFD816" w:rsidR="004C6A75" w:rsidRPr="00BC0121" w:rsidRDefault="00D1793A" w:rsidP="00280675">
      <w:pPr>
        <w:pStyle w:val="CETBodytext"/>
        <w:jc w:val="left"/>
      </w:pPr>
      <w:r w:rsidRPr="00BC0121">
        <w:rPr>
          <w:noProof/>
        </w:rPr>
        <w:drawing>
          <wp:inline distT="0" distB="0" distL="0" distR="0" wp14:anchorId="1B71C625" wp14:editId="66E57E18">
            <wp:extent cx="5518509" cy="2896481"/>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628039" cy="2953970"/>
                    </a:xfrm>
                    <a:prstGeom prst="rect">
                      <a:avLst/>
                    </a:prstGeom>
                  </pic:spPr>
                </pic:pic>
              </a:graphicData>
            </a:graphic>
          </wp:inline>
        </w:drawing>
      </w:r>
    </w:p>
    <w:p w14:paraId="05E730E4" w14:textId="53DA6C80" w:rsidR="00810B24" w:rsidRPr="00BC0121" w:rsidRDefault="00810B24" w:rsidP="00810B24">
      <w:pPr>
        <w:pStyle w:val="CETCaption"/>
        <w:rPr>
          <w:rStyle w:val="CETCaptionCarattere"/>
          <w:i/>
        </w:rPr>
      </w:pPr>
      <w:bookmarkStart w:id="0" w:name="RANGE!A1:H15"/>
      <w:bookmarkEnd w:id="0"/>
      <w:r w:rsidRPr="00BC0121">
        <w:rPr>
          <w:rStyle w:val="CETCaptionCarattere"/>
          <w:i/>
        </w:rPr>
        <w:t xml:space="preserve">Figure 2 </w:t>
      </w:r>
      <w:r w:rsidR="00205EF9" w:rsidRPr="00BC0121">
        <w:rPr>
          <w:rStyle w:val="CETCaptionCarattere"/>
          <w:i/>
        </w:rPr>
        <w:t>–</w:t>
      </w:r>
      <w:r w:rsidRPr="00BC0121">
        <w:rPr>
          <w:rStyle w:val="CETCaptionCarattere"/>
          <w:i/>
        </w:rPr>
        <w:t xml:space="preserve"> </w:t>
      </w:r>
      <w:r w:rsidR="00205EF9" w:rsidRPr="00BC0121">
        <w:rPr>
          <w:rStyle w:val="CETCaptionCarattere"/>
          <w:i/>
        </w:rPr>
        <w:t>Risk matrix proposed for the present work; qualitative categories and their range are shown.</w:t>
      </w:r>
    </w:p>
    <w:p w14:paraId="00FB1968" w14:textId="1F5F251A" w:rsidR="003155F0" w:rsidRPr="00BC0121" w:rsidRDefault="003155F0" w:rsidP="00950BAD">
      <w:pPr>
        <w:pStyle w:val="CETHeading1"/>
      </w:pPr>
      <w:r w:rsidRPr="00BC0121">
        <w:t>Definition of the reference case-study</w:t>
      </w:r>
    </w:p>
    <w:p w14:paraId="69A42049" w14:textId="52EA64CF" w:rsidR="003155F0" w:rsidRPr="00BC0121" w:rsidRDefault="003155F0" w:rsidP="003155F0">
      <w:pPr>
        <w:pStyle w:val="CETBodytext"/>
      </w:pPr>
      <w:r w:rsidRPr="00BC0121">
        <w:t xml:space="preserve">In order to exemplify the methodology a case study </w:t>
      </w:r>
      <w:r w:rsidR="00A61B04" w:rsidRPr="00BC0121">
        <w:t>was</w:t>
      </w:r>
      <w:r w:rsidRPr="00BC0121">
        <w:t xml:space="preserve"> defined. In particular, the reference facility is an LNG treatment plant located in Algeria. </w:t>
      </w:r>
      <w:r w:rsidR="00684363" w:rsidRPr="00BC0121">
        <w:t xml:space="preserve">Figure 3 shows a simplified plant layout and the equipment position. </w:t>
      </w:r>
      <w:r w:rsidRPr="00BC0121">
        <w:t xml:space="preserve">The critical equipment chosen for this work is a three-phase separator, which </w:t>
      </w:r>
      <w:r w:rsidR="00A61B04" w:rsidRPr="00BC0121">
        <w:t>was</w:t>
      </w:r>
      <w:r w:rsidR="00D27399" w:rsidRPr="00BC0121">
        <w:t xml:space="preserve"> assumed to process essentially natural gas</w:t>
      </w:r>
      <w:r w:rsidR="00684363" w:rsidRPr="00BC0121">
        <w:t xml:space="preserve"> entering the liquefaction plant. For the sake of exemplification</w:t>
      </w:r>
      <w:r w:rsidR="00A61B04" w:rsidRPr="00BC0121">
        <w:t xml:space="preserve"> and in absence of more specific </w:t>
      </w:r>
      <w:r w:rsidR="00A61B04" w:rsidRPr="00BC0121">
        <w:lastRenderedPageBreak/>
        <w:t>data</w:t>
      </w:r>
      <w:r w:rsidR="00684363" w:rsidRPr="00BC0121">
        <w:t xml:space="preserve">, process scheme, operative conditions, and gas composition </w:t>
      </w:r>
      <w:r w:rsidR="00A61B04" w:rsidRPr="00BC0121">
        <w:t>were</w:t>
      </w:r>
      <w:r w:rsidR="00684363" w:rsidRPr="00BC0121">
        <w:t xml:space="preserve"> derived from a previous work (Landucci et al., 2018). </w:t>
      </w:r>
    </w:p>
    <w:p w14:paraId="607EF042" w14:textId="77777777" w:rsidR="009D0140" w:rsidRPr="00BC0121" w:rsidRDefault="009D0140" w:rsidP="009D0140">
      <w:pPr>
        <w:pStyle w:val="CETBodytext"/>
        <w:rPr>
          <w:lang w:val="it-IT"/>
        </w:rPr>
      </w:pPr>
      <w:r w:rsidRPr="00BC0121">
        <w:rPr>
          <w:noProof/>
        </w:rPr>
        <w:drawing>
          <wp:inline distT="0" distB="0" distL="0" distR="0" wp14:anchorId="60091D8F" wp14:editId="0C7748E6">
            <wp:extent cx="3494599" cy="2162300"/>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571217" cy="2209708"/>
                    </a:xfrm>
                    <a:prstGeom prst="rect">
                      <a:avLst/>
                    </a:prstGeom>
                    <a:noFill/>
                    <a:ln>
                      <a:noFill/>
                    </a:ln>
                  </pic:spPr>
                </pic:pic>
              </a:graphicData>
            </a:graphic>
          </wp:inline>
        </w:drawing>
      </w:r>
    </w:p>
    <w:p w14:paraId="00D3FFCD" w14:textId="5AEBEC51" w:rsidR="009D0140" w:rsidRPr="00BC0121" w:rsidRDefault="009D0140" w:rsidP="009D0140">
      <w:pPr>
        <w:pStyle w:val="CETCaption"/>
        <w:rPr>
          <w:rStyle w:val="CETCaptionCarattere"/>
          <w:i/>
        </w:rPr>
      </w:pPr>
      <w:r w:rsidRPr="00BC0121">
        <w:rPr>
          <w:rStyle w:val="CETCaptionCarattere"/>
          <w:i/>
        </w:rPr>
        <w:t>Figure 3 –</w:t>
      </w:r>
      <w:r w:rsidR="00B131C4" w:rsidRPr="00BC0121">
        <w:rPr>
          <w:rStyle w:val="CETCaptionCarattere"/>
          <w:i/>
        </w:rPr>
        <w:t>P</w:t>
      </w:r>
      <w:r w:rsidRPr="00BC0121">
        <w:rPr>
          <w:rStyle w:val="CETCaptionCarattere"/>
          <w:i/>
        </w:rPr>
        <w:t xml:space="preserve">lant layout </w:t>
      </w:r>
      <w:r w:rsidR="00B131C4" w:rsidRPr="00BC0121">
        <w:rPr>
          <w:rStyle w:val="CETCaptionCarattere"/>
          <w:i/>
        </w:rPr>
        <w:t xml:space="preserve">considered for the case study </w:t>
      </w:r>
      <w:r w:rsidRPr="00BC0121">
        <w:rPr>
          <w:rStyle w:val="CETCaptionCarattere"/>
          <w:i/>
        </w:rPr>
        <w:t>and consequence contour maps</w:t>
      </w:r>
      <w:r w:rsidR="003F7560" w:rsidRPr="00BC0121">
        <w:rPr>
          <w:rStyle w:val="CETCaptionCarattere"/>
          <w:i/>
        </w:rPr>
        <w:t xml:space="preserve"> obtained by DPS (see Section 5).</w:t>
      </w:r>
    </w:p>
    <w:p w14:paraId="677EBFF0" w14:textId="64EA0628" w:rsidR="00600535" w:rsidRPr="00BC0121" w:rsidRDefault="00816F47" w:rsidP="00950BAD">
      <w:pPr>
        <w:pStyle w:val="CETHeading1"/>
      </w:pPr>
      <w:r w:rsidRPr="00BC0121">
        <w:t>Qualitative context analysis and attractiveness</w:t>
      </w:r>
      <w:r w:rsidR="00AC0DEB" w:rsidRPr="00BC0121">
        <w:t xml:space="preserve"> assessment</w:t>
      </w:r>
    </w:p>
    <w:p w14:paraId="01227EDB" w14:textId="7E5C39E9" w:rsidR="00715D48" w:rsidRPr="00BC0121" w:rsidRDefault="00715D48" w:rsidP="001A70A4">
      <w:pPr>
        <w:pStyle w:val="CETBodytext"/>
      </w:pPr>
      <w:r w:rsidRPr="00BC0121">
        <w:t xml:space="preserve">As the considered case is located in Algeria, a specific qualitative content analysis for this area </w:t>
      </w:r>
      <w:r w:rsidR="00A61B04" w:rsidRPr="00BC0121">
        <w:t>was</w:t>
      </w:r>
      <w:r w:rsidRPr="00BC0121">
        <w:t xml:space="preserve"> preliminarily carried out to support the reference scenarios identification and the simplified likelihood assessment.</w:t>
      </w:r>
    </w:p>
    <w:p w14:paraId="1387A0B4" w14:textId="3C84C38D" w:rsidR="00656CE1" w:rsidRPr="00BC0121" w:rsidRDefault="00465816" w:rsidP="001A70A4">
      <w:pPr>
        <w:pStyle w:val="CETBodytext"/>
      </w:pPr>
      <w:r w:rsidRPr="00BC0121">
        <w:t>Throughout the last decade, t</w:t>
      </w:r>
      <w:r w:rsidR="00173D55" w:rsidRPr="00BC0121">
        <w:t xml:space="preserve">he broader area of North Africa has undergone significant geopolitical changes (Martinez </w:t>
      </w:r>
      <w:r w:rsidR="005E247D">
        <w:t xml:space="preserve">and </w:t>
      </w:r>
      <w:proofErr w:type="spellStart"/>
      <w:r w:rsidR="005E247D">
        <w:t>Boserup</w:t>
      </w:r>
      <w:proofErr w:type="spellEnd"/>
      <w:r w:rsidR="00173D55" w:rsidRPr="00BC0121">
        <w:t>, 2017).</w:t>
      </w:r>
      <w:r w:rsidR="00C1523F" w:rsidRPr="00BC0121">
        <w:t xml:space="preserve"> </w:t>
      </w:r>
      <w:r w:rsidR="00173D55" w:rsidRPr="00BC0121">
        <w:t xml:space="preserve">The developments taking place in the region have become increasingly interconnected and their impact has extended far beyond their borders, especially to Europe. </w:t>
      </w:r>
      <w:r w:rsidR="00D62EB8" w:rsidRPr="00BC0121">
        <w:t>According to (</w:t>
      </w:r>
      <w:proofErr w:type="spellStart"/>
      <w:r w:rsidR="00D62EB8" w:rsidRPr="00BC0121">
        <w:t>Tichy</w:t>
      </w:r>
      <w:proofErr w:type="spellEnd"/>
      <w:r w:rsidR="00D62EB8" w:rsidRPr="00BC0121">
        <w:t xml:space="preserve"> </w:t>
      </w:r>
      <w:r w:rsidR="00E84371">
        <w:t>and</w:t>
      </w:r>
      <w:r w:rsidR="00D62EB8" w:rsidRPr="00BC0121">
        <w:t xml:space="preserve"> Eichler, 2018), there are at least four interconnected dynamics which define the security </w:t>
      </w:r>
      <w:r w:rsidR="00955718" w:rsidRPr="00BC0121">
        <w:t>landscape</w:t>
      </w:r>
      <w:r w:rsidR="00D62EB8" w:rsidRPr="00BC0121">
        <w:t xml:space="preserve"> in North Africa:</w:t>
      </w:r>
      <w:r w:rsidR="00173D55" w:rsidRPr="00BC0121">
        <w:t xml:space="preserve"> 1) energy sources (gas and crude oil), 2) geopolitical antagonisms and new (</w:t>
      </w:r>
      <w:proofErr w:type="spellStart"/>
      <w:r w:rsidR="00173D55" w:rsidRPr="00BC0121">
        <w:t>im</w:t>
      </w:r>
      <w:proofErr w:type="spellEnd"/>
      <w:r w:rsidR="00173D55" w:rsidRPr="00BC0121">
        <w:t>)balances of power, 3) new (human) security imperatives, and 4) increased interest in the area from external powers</w:t>
      </w:r>
      <w:r w:rsidR="00955718" w:rsidRPr="00BC0121">
        <w:t>.</w:t>
      </w:r>
      <w:r w:rsidR="007E20FD" w:rsidRPr="00BC0121">
        <w:t xml:space="preserve"> </w:t>
      </w:r>
      <w:r w:rsidR="00CF5573" w:rsidRPr="00BC0121">
        <w:t>Although</w:t>
      </w:r>
      <w:r w:rsidR="00173D55" w:rsidRPr="00BC0121">
        <w:t xml:space="preserve"> Islamist terrorism was already a destabilizing factor in </w:t>
      </w:r>
      <w:r w:rsidR="00CF5573" w:rsidRPr="00BC0121">
        <w:t>the region</w:t>
      </w:r>
      <w:r w:rsidR="00173D55" w:rsidRPr="00BC0121">
        <w:t xml:space="preserve">, 2011 marked a turning point in the escalation of the attacks because of the </w:t>
      </w:r>
      <w:r w:rsidR="00374CFC" w:rsidRPr="00BC0121">
        <w:t>development</w:t>
      </w:r>
      <w:r w:rsidR="00173D55" w:rsidRPr="00BC0121">
        <w:t xml:space="preserve"> of a new energy strategy </w:t>
      </w:r>
      <w:r w:rsidR="00374CFC" w:rsidRPr="00BC0121">
        <w:t>by</w:t>
      </w:r>
      <w:r w:rsidR="00173D55" w:rsidRPr="00BC0121">
        <w:t xml:space="preserve"> the two main Islamic militant organizations, namely Al-Qaeda and IS (</w:t>
      </w:r>
      <w:proofErr w:type="spellStart"/>
      <w:r w:rsidR="00173D55" w:rsidRPr="00BC0121">
        <w:t>Tichy</w:t>
      </w:r>
      <w:proofErr w:type="spellEnd"/>
      <w:r w:rsidR="00173D55" w:rsidRPr="00BC0121">
        <w:t xml:space="preserve"> </w:t>
      </w:r>
      <w:r w:rsidR="00E84371">
        <w:t>and</w:t>
      </w:r>
      <w:r w:rsidR="00173D55" w:rsidRPr="00BC0121">
        <w:t xml:space="preserve"> Eichler, 2018). </w:t>
      </w:r>
      <w:r w:rsidR="006B701E" w:rsidRPr="00BC0121">
        <w:t xml:space="preserve">The energy industry and its incomes are of fundamental </w:t>
      </w:r>
      <w:r w:rsidR="00FE213C" w:rsidRPr="00BC0121">
        <w:t>importance</w:t>
      </w:r>
      <w:r w:rsidR="0088027E" w:rsidRPr="00BC0121">
        <w:t xml:space="preserve"> for these two groups; in fact, gaining control or damaging plants </w:t>
      </w:r>
      <w:r w:rsidR="00C5308E" w:rsidRPr="00BC0121">
        <w:t>eases their criminal activities, such as contraband or drug trafficking</w:t>
      </w:r>
      <w:r w:rsidR="00330209" w:rsidRPr="00BC0121">
        <w:t xml:space="preserve">; the attacks to the facilities of In </w:t>
      </w:r>
      <w:proofErr w:type="spellStart"/>
      <w:r w:rsidR="00330209" w:rsidRPr="00BC0121">
        <w:t>Amenas</w:t>
      </w:r>
      <w:proofErr w:type="spellEnd"/>
      <w:r w:rsidR="00330209" w:rsidRPr="00BC0121">
        <w:t xml:space="preserve"> </w:t>
      </w:r>
      <w:r w:rsidR="00803E37" w:rsidRPr="00BC0121">
        <w:t>(</w:t>
      </w:r>
      <w:r w:rsidR="00330209" w:rsidRPr="00BC0121">
        <w:t>Algeria</w:t>
      </w:r>
      <w:r w:rsidR="00803E37" w:rsidRPr="00BC0121">
        <w:t>)</w:t>
      </w:r>
      <w:r w:rsidR="00330209" w:rsidRPr="00BC0121">
        <w:t xml:space="preserve"> </w:t>
      </w:r>
      <w:r w:rsidR="00803E37" w:rsidRPr="00BC0121">
        <w:t xml:space="preserve">in </w:t>
      </w:r>
      <w:r w:rsidR="00330209" w:rsidRPr="00BC0121">
        <w:t xml:space="preserve">2013 carried out by Al-Qaeda </w:t>
      </w:r>
      <w:r w:rsidR="00AC0DEB" w:rsidRPr="00BC0121">
        <w:t>is</w:t>
      </w:r>
      <w:r w:rsidR="00330209" w:rsidRPr="00BC0121">
        <w:t xml:space="preserve"> emblematic in this sense</w:t>
      </w:r>
      <w:r w:rsidR="00C5308E" w:rsidRPr="00BC0121">
        <w:t>.</w:t>
      </w:r>
      <w:r w:rsidR="007E20FD" w:rsidRPr="00BC0121">
        <w:t xml:space="preserve"> </w:t>
      </w:r>
      <w:r w:rsidR="00330209" w:rsidRPr="00BC0121">
        <w:t>Therefore, understanding Islamic militant organizations and their strategies is of utmost importance t</w:t>
      </w:r>
      <w:r w:rsidR="006B0446" w:rsidRPr="00BC0121">
        <w:t>o improve the security over the energy systems of the Ma</w:t>
      </w:r>
      <w:r w:rsidR="00330209" w:rsidRPr="00BC0121">
        <w:t>ghreb area.</w:t>
      </w:r>
      <w:r w:rsidR="007E20FD" w:rsidRPr="00BC0121">
        <w:t xml:space="preserve"> </w:t>
      </w:r>
      <w:r w:rsidR="00337E77" w:rsidRPr="00BC0121">
        <w:t>B</w:t>
      </w:r>
      <w:r w:rsidR="00173D55" w:rsidRPr="00BC0121">
        <w:t xml:space="preserve">ased on these considerations, the security aspects of process facilities operating in the Maghreb area represent a critical concern and the peculiar socio-political elements of this critical context </w:t>
      </w:r>
      <w:r w:rsidR="00A61B04" w:rsidRPr="00BC0121">
        <w:t>were</w:t>
      </w:r>
      <w:r w:rsidR="00173D55" w:rsidRPr="00BC0121">
        <w:t xml:space="preserve"> considered in the development of the present work.</w:t>
      </w:r>
      <w:r w:rsidR="00656CE1" w:rsidRPr="00BC0121">
        <w:t xml:space="preserve"> </w:t>
      </w:r>
    </w:p>
    <w:p w14:paraId="189ED7C7" w14:textId="15B36927" w:rsidR="004746EE" w:rsidRPr="00BC0121" w:rsidRDefault="00AB5499" w:rsidP="00AC0DEB">
      <w:pPr>
        <w:pStyle w:val="CETBodytext"/>
      </w:pPr>
      <w:r w:rsidRPr="00BC0121">
        <w:t>The</w:t>
      </w:r>
      <w:r w:rsidR="00D61137" w:rsidRPr="00BC0121">
        <w:t xml:space="preserve"> qualitative context outlined in </w:t>
      </w:r>
      <w:r w:rsidR="00715D48" w:rsidRPr="00BC0121">
        <w:t>this Section</w:t>
      </w:r>
      <w:r w:rsidR="00D61137" w:rsidRPr="00BC0121">
        <w:t xml:space="preserve"> </w:t>
      </w:r>
      <w:r w:rsidR="00EE722D" w:rsidRPr="00BC0121">
        <w:t>was</w:t>
      </w:r>
      <w:r w:rsidR="00D61137" w:rsidRPr="00BC0121">
        <w:t xml:space="preserve"> </w:t>
      </w:r>
      <w:r w:rsidR="001B7777" w:rsidRPr="00BC0121">
        <w:t>corroborated</w:t>
      </w:r>
      <w:r w:rsidR="00D61137" w:rsidRPr="00BC0121">
        <w:t xml:space="preserve"> by the application of a semi-quantitative methodology for attractiveness assessment </w:t>
      </w:r>
      <w:r w:rsidR="00AC0DEB" w:rsidRPr="00BC0121">
        <w:t>developed</w:t>
      </w:r>
      <w:r w:rsidR="00D61137" w:rsidRPr="00BC0121">
        <w:t xml:space="preserve"> by </w:t>
      </w:r>
      <w:r w:rsidR="000672F1" w:rsidRPr="00BC0121">
        <w:t xml:space="preserve">Argenti </w:t>
      </w:r>
      <w:r w:rsidR="001B7777" w:rsidRPr="00BC0121">
        <w:t>and Landucci</w:t>
      </w:r>
      <w:r w:rsidR="00AC0DEB" w:rsidRPr="00BC0121">
        <w:t xml:space="preserve"> (</w:t>
      </w:r>
      <w:r w:rsidR="000672F1" w:rsidRPr="00BC0121">
        <w:t>201</w:t>
      </w:r>
      <w:r w:rsidR="00D206C8" w:rsidRPr="00BC0121">
        <w:t>6</w:t>
      </w:r>
      <w:r w:rsidR="00A87A50" w:rsidRPr="00BC0121">
        <w:t>)</w:t>
      </w:r>
      <w:r w:rsidR="00AC0DEB" w:rsidRPr="00BC0121">
        <w:t>, to which the Reader is referred for more details</w:t>
      </w:r>
      <w:r w:rsidR="000D592E" w:rsidRPr="00BC0121">
        <w:t xml:space="preserve">. </w:t>
      </w:r>
      <w:r w:rsidR="000F4CF4" w:rsidRPr="00BC0121">
        <w:t xml:space="preserve">For a given industrial facility, </w:t>
      </w:r>
      <w:r w:rsidR="00AC0DEB" w:rsidRPr="00BC0121">
        <w:t>attractiveness is associated with site</w:t>
      </w:r>
      <w:r w:rsidR="000F4CF4" w:rsidRPr="00BC0121">
        <w:t xml:space="preserve">-specific </w:t>
      </w:r>
      <w:r w:rsidR="00AC0DEB" w:rsidRPr="00BC0121">
        <w:t>induction elements that</w:t>
      </w:r>
      <w:r w:rsidR="000F4CF4" w:rsidRPr="00BC0121">
        <w:t xml:space="preserve"> account for “non-technical” aspects</w:t>
      </w:r>
      <w:r w:rsidR="00AC0DEB" w:rsidRPr="00BC0121">
        <w:t xml:space="preserve">. The aspects contemplate </w:t>
      </w:r>
      <w:r w:rsidR="000F4CF4" w:rsidRPr="00BC0121">
        <w:rPr>
          <w:rFonts w:cs="Arial"/>
          <w:szCs w:val="18"/>
        </w:rPr>
        <w:t xml:space="preserve">geopolitical, </w:t>
      </w:r>
      <w:proofErr w:type="gramStart"/>
      <w:r w:rsidR="000F4CF4" w:rsidRPr="00BC0121">
        <w:rPr>
          <w:rFonts w:cs="Arial"/>
          <w:szCs w:val="18"/>
        </w:rPr>
        <w:t>social</w:t>
      </w:r>
      <w:proofErr w:type="gramEnd"/>
      <w:r w:rsidR="000F4CF4" w:rsidRPr="00BC0121">
        <w:rPr>
          <w:rFonts w:cs="Arial"/>
          <w:szCs w:val="18"/>
        </w:rPr>
        <w:t xml:space="preserve"> and political elements that characterize the </w:t>
      </w:r>
      <w:r w:rsidR="008703CC" w:rsidRPr="00BC0121">
        <w:rPr>
          <w:rFonts w:cs="Arial"/>
          <w:szCs w:val="18"/>
        </w:rPr>
        <w:t xml:space="preserve">context of the area where the industrial facility </w:t>
      </w:r>
      <w:r w:rsidR="00AC0DEB" w:rsidRPr="00BC0121">
        <w:rPr>
          <w:rFonts w:cs="Arial"/>
          <w:szCs w:val="18"/>
        </w:rPr>
        <w:t xml:space="preserve">under analysis is located. </w:t>
      </w:r>
      <w:r w:rsidR="00B84A10" w:rsidRPr="00BC0121">
        <w:t>The results of the methodology show</w:t>
      </w:r>
      <w:r w:rsidR="00EE722D" w:rsidRPr="00BC0121">
        <w:t>ed</w:t>
      </w:r>
      <w:r w:rsidR="00B84A10" w:rsidRPr="00BC0121">
        <w:t xml:space="preserve"> that </w:t>
      </w:r>
      <w:r w:rsidR="000D592E" w:rsidRPr="00BC0121">
        <w:t xml:space="preserve">the socio-political context of the Maghreb area causes a raise of </w:t>
      </w:r>
      <w:r w:rsidR="002C1FDF" w:rsidRPr="00BC0121">
        <w:t>up to 7</w:t>
      </w:r>
      <w:r w:rsidR="000D592E" w:rsidRPr="00BC0121">
        <w:t xml:space="preserve">0% in </w:t>
      </w:r>
      <w:r w:rsidR="00AF2BC4">
        <w:t>overall attractiveness with respect</w:t>
      </w:r>
      <w:r w:rsidR="000D592E" w:rsidRPr="00BC0121">
        <w:t xml:space="preserve"> to </w:t>
      </w:r>
      <w:r w:rsidR="00AC0DEB" w:rsidRPr="00BC0121">
        <w:t>the baseline value obtained for the European context</w:t>
      </w:r>
      <w:r w:rsidR="003155F0" w:rsidRPr="00BC0121">
        <w:t xml:space="preserve"> (Argenti et al., 2016)</w:t>
      </w:r>
      <w:r w:rsidR="00AC0DEB" w:rsidRPr="00BC0121">
        <w:t>. This enable</w:t>
      </w:r>
      <w:r w:rsidR="00EE722D" w:rsidRPr="00BC0121">
        <w:t>d</w:t>
      </w:r>
      <w:r w:rsidR="00AC0DEB" w:rsidRPr="00BC0121">
        <w:t xml:space="preserve"> for the evaluation of threat and attractiveness summarized in Table 1, which, on turn, support</w:t>
      </w:r>
      <w:r w:rsidR="00EE722D" w:rsidRPr="00BC0121">
        <w:t>ed</w:t>
      </w:r>
      <w:r w:rsidR="00AC0DEB" w:rsidRPr="00BC0121">
        <w:t xml:space="preserve"> the estimation of the attack likelihood</w:t>
      </w:r>
      <w:r w:rsidR="003155F0" w:rsidRPr="00BC0121">
        <w:t xml:space="preserve"> for the present study</w:t>
      </w:r>
      <w:r w:rsidR="00AC0DEB" w:rsidRPr="00BC0121">
        <w:t>.</w:t>
      </w:r>
      <w:r w:rsidR="00715D48" w:rsidRPr="00BC0121">
        <w:t xml:space="preserve"> </w:t>
      </w:r>
    </w:p>
    <w:p w14:paraId="18FBC054" w14:textId="6AD86C64" w:rsidR="00364B9C" w:rsidRPr="00BC0121" w:rsidRDefault="00364B9C" w:rsidP="00364B9C">
      <w:pPr>
        <w:pStyle w:val="CETHeading1"/>
      </w:pPr>
      <w:r w:rsidRPr="00BC0121">
        <w:t xml:space="preserve">Consequences based on </w:t>
      </w:r>
      <w:r w:rsidR="003F7560" w:rsidRPr="00BC0121">
        <w:t>DPS</w:t>
      </w:r>
    </w:p>
    <w:p w14:paraId="7D583DE8" w14:textId="046DD592" w:rsidR="00193BA6" w:rsidRPr="00630424" w:rsidRDefault="00193BA6" w:rsidP="00870497">
      <w:pPr>
        <w:pStyle w:val="CETBodytext"/>
        <w:jc w:val="left"/>
      </w:pPr>
      <w:r w:rsidRPr="00BC0121">
        <w:t>Given the historical threat record for the area</w:t>
      </w:r>
      <w:r w:rsidR="00587622" w:rsidRPr="00BC0121">
        <w:t xml:space="preserve"> (see Section 4)</w:t>
      </w:r>
      <w:r w:rsidRPr="00BC0121">
        <w:t xml:space="preserve">, two attack scenarios </w:t>
      </w:r>
      <w:r w:rsidR="001C04F0" w:rsidRPr="00BC0121">
        <w:t>were</w:t>
      </w:r>
      <w:r w:rsidRPr="00BC0121">
        <w:t xml:space="preserve"> considered in order to estimate their impact and relative risk contribution for the present case: 1) the adversary shoots from the outside of the plant with a firearm against the separator, causing a 1’’ (25.4 mm) leak; 2) the adversary penetrates through a hole in the fence on the west-side of the perimeter and detonates 15 kg of an improvised explosive device in proximity of the separator, causing a</w:t>
      </w:r>
      <w:r w:rsidR="001C04F0" w:rsidRPr="00BC0121">
        <w:t xml:space="preserve"> major release scenario. A</w:t>
      </w:r>
      <w:r w:rsidRPr="00BC0121">
        <w:t xml:space="preserve"> 4’’ (101.6 mm) hole</w:t>
      </w:r>
      <w:r w:rsidR="001C04F0" w:rsidRPr="00BC0121">
        <w:t xml:space="preserve"> is </w:t>
      </w:r>
      <w:r w:rsidR="001C04F0" w:rsidRPr="00BC0121">
        <w:lastRenderedPageBreak/>
        <w:t>assumed in this case</w:t>
      </w:r>
      <w:r w:rsidRPr="00BC0121">
        <w:t>.</w:t>
      </w:r>
      <w:r w:rsidR="00684363" w:rsidRPr="00BC0121">
        <w:t xml:space="preserve"> For the sake of simplicity, a single final </w:t>
      </w:r>
      <w:r w:rsidR="00684363" w:rsidRPr="00630424">
        <w:t>outcome is associated with this attack scenario, i.e., a</w:t>
      </w:r>
      <w:r w:rsidR="00715D48" w:rsidRPr="00630424">
        <w:t xml:space="preserve"> jet-fire</w:t>
      </w:r>
      <w:r w:rsidR="00684363" w:rsidRPr="00630424">
        <w:t xml:space="preserve"> resulting from the immediate ignition of the natural gas.</w:t>
      </w:r>
      <w:r w:rsidR="00E46765" w:rsidRPr="00630424">
        <w:t xml:space="preserve"> Figure 3 shows the intrusion point</w:t>
      </w:r>
      <w:r w:rsidR="00D36E72" w:rsidRPr="00630424">
        <w:t xml:space="preserve"> and</w:t>
      </w:r>
      <w:r w:rsidR="00E46765" w:rsidRPr="00630424">
        <w:t xml:space="preserve"> intrusion paths.</w:t>
      </w:r>
    </w:p>
    <w:p w14:paraId="63757062" w14:textId="16374E02" w:rsidR="00226766" w:rsidRPr="00BC0121" w:rsidRDefault="00715D48" w:rsidP="00364B9C">
      <w:pPr>
        <w:pStyle w:val="CETBodytext"/>
      </w:pPr>
      <w:r w:rsidRPr="00630424">
        <w:t xml:space="preserve">The </w:t>
      </w:r>
      <w:r w:rsidR="00A61B04" w:rsidRPr="00630424">
        <w:t xml:space="preserve">consequences of the jet </w:t>
      </w:r>
      <w:r w:rsidRPr="00630424">
        <w:t xml:space="preserve">fire have been studied using a </w:t>
      </w:r>
      <w:r w:rsidR="003F7560" w:rsidRPr="00630424">
        <w:t>DPS</w:t>
      </w:r>
      <w:r w:rsidRPr="00630424">
        <w:t xml:space="preserve">, implemented </w:t>
      </w:r>
      <w:r w:rsidR="001C04F0" w:rsidRPr="00630424">
        <w:t>i</w:t>
      </w:r>
      <w:r w:rsidRPr="00630424">
        <w:t>n UniSim</w:t>
      </w:r>
      <w:r w:rsidR="009D0140" w:rsidRPr="00630424">
        <w:t xml:space="preserve"> (Landucci et al., 2018)</w:t>
      </w:r>
      <w:r w:rsidRPr="00630424">
        <w:t xml:space="preserve">. </w:t>
      </w:r>
      <w:r w:rsidR="00684363" w:rsidRPr="00630424">
        <w:t>This piece of</w:t>
      </w:r>
      <w:r w:rsidRPr="00630424">
        <w:t xml:space="preserve"> equipment has been implemented on the simulator in dynamic mode. The actual dimensions of each piece of equipment have been considered to account rigorously for any thermal effect, as well as the relation between flowrate and pressure. Then, a specific template was developed to simulate the physical effects associated with the jet fire scenario. The template is embedded in the </w:t>
      </w:r>
      <w:r w:rsidR="003F7560" w:rsidRPr="00630424">
        <w:t>DPS</w:t>
      </w:r>
      <w:r w:rsidRPr="00630424">
        <w:t xml:space="preserve"> and consists of a calculation spreadsheet which features an adapted version of the Chamberlain model (</w:t>
      </w:r>
      <w:r w:rsidR="002B4D06" w:rsidRPr="00630424">
        <w:t xml:space="preserve">Van Den Bosh and </w:t>
      </w:r>
      <w:proofErr w:type="spellStart"/>
      <w:r w:rsidR="002B4D06" w:rsidRPr="00630424">
        <w:t>Weterings</w:t>
      </w:r>
      <w:proofErr w:type="spellEnd"/>
      <w:r w:rsidR="002B4D06" w:rsidRPr="00630424">
        <w:t xml:space="preserve">, </w:t>
      </w:r>
      <w:r w:rsidR="007E7EFB">
        <w:t>2005</w:t>
      </w:r>
      <w:r w:rsidR="009D0140" w:rsidRPr="00630424">
        <w:t>)</w:t>
      </w:r>
      <w:r w:rsidRPr="00630424">
        <w:t>. Given the source term, the template calculates the features of the flame and finally provides an estimation of damage distances, following a threshold-based approach. For this study, a threshold value of 5 kW/m</w:t>
      </w:r>
      <w:r w:rsidRPr="00630424">
        <w:rPr>
          <w:vertAlign w:val="superscript"/>
        </w:rPr>
        <w:t>2</w:t>
      </w:r>
      <w:r w:rsidRPr="00630424">
        <w:t xml:space="preserve"> has been chosen, which corresponds to irreversible damages according to (Italian Ministry of Public Works, 2001). </w:t>
      </w:r>
      <w:r w:rsidR="00E46765" w:rsidRPr="00630424">
        <w:t xml:space="preserve"> The consequence contours resulting from the DPS application are shown in Figure 3.</w:t>
      </w:r>
    </w:p>
    <w:p w14:paraId="057F2366" w14:textId="2C4461F5" w:rsidR="00364B9C" w:rsidRPr="00BC0121" w:rsidRDefault="00364B9C" w:rsidP="00364B9C">
      <w:pPr>
        <w:pStyle w:val="CETHeading1"/>
        <w:tabs>
          <w:tab w:val="num" w:pos="360"/>
        </w:tabs>
      </w:pPr>
      <w:r w:rsidRPr="00BC0121">
        <w:t>Simplified risk evaluation</w:t>
      </w:r>
    </w:p>
    <w:p w14:paraId="27F21C4D" w14:textId="7B6207CB" w:rsidR="00C63BFB" w:rsidRPr="00BC0121" w:rsidRDefault="00F467BF" w:rsidP="003A0FF7">
      <w:pPr>
        <w:pStyle w:val="CETBodytext"/>
      </w:pPr>
      <w:r w:rsidRPr="00BC0121">
        <w:t xml:space="preserve">The attack likelihood L </w:t>
      </w:r>
      <w:r w:rsidR="001C04F0" w:rsidRPr="00BC0121">
        <w:t>was</w:t>
      </w:r>
      <w:r w:rsidRPr="00BC0121">
        <w:t xml:space="preserve"> evaluated for the case study using the data summarized in Table 1</w:t>
      </w:r>
      <w:r w:rsidR="00226766" w:rsidRPr="00BC0121">
        <w:t xml:space="preserve"> supported by the qualitative analysis discussed in Section 4</w:t>
      </w:r>
      <w:r w:rsidRPr="00BC0121">
        <w:t>.</w:t>
      </w:r>
      <w:r w:rsidR="002277E9" w:rsidRPr="00BC0121">
        <w:t xml:space="preserve"> For </w:t>
      </w:r>
      <w:r w:rsidR="00DC26DF" w:rsidRPr="00BC0121">
        <w:t>s</w:t>
      </w:r>
      <w:r w:rsidR="002277E9" w:rsidRPr="00BC0121">
        <w:t>cenario 1</w:t>
      </w:r>
      <w:r w:rsidR="00D50D87" w:rsidRPr="00BC0121">
        <w:t>,</w:t>
      </w:r>
      <w:r w:rsidR="002277E9" w:rsidRPr="00BC0121">
        <w:t xml:space="preserve"> </w:t>
      </w:r>
      <w:r w:rsidR="00F4374A" w:rsidRPr="00BC0121">
        <w:t xml:space="preserve">V </w:t>
      </w:r>
      <w:r w:rsidR="002277E9" w:rsidRPr="00BC0121">
        <w:t xml:space="preserve">has been imposed </w:t>
      </w:r>
      <w:r w:rsidR="008653EB" w:rsidRPr="00BC0121">
        <w:t>as unitary</w:t>
      </w:r>
      <w:r w:rsidR="001C7458" w:rsidRPr="00BC0121">
        <w:t xml:space="preserve"> since</w:t>
      </w:r>
      <w:r w:rsidR="002277E9" w:rsidRPr="00BC0121">
        <w:t xml:space="preserve"> the attack</w:t>
      </w:r>
      <w:r w:rsidR="008653EB" w:rsidRPr="00BC0121">
        <w:t xml:space="preserve"> </w:t>
      </w:r>
      <w:r w:rsidR="00B970B9" w:rsidRPr="00BC0121">
        <w:t>starts from the outside of the perimeter;</w:t>
      </w:r>
      <w:r w:rsidR="002277E9" w:rsidRPr="00BC0121">
        <w:t xml:space="preserve"> therefore</w:t>
      </w:r>
      <w:r w:rsidR="00B970B9" w:rsidRPr="00BC0121">
        <w:t>,</w:t>
      </w:r>
      <w:r w:rsidR="002277E9" w:rsidRPr="00BC0121">
        <w:t xml:space="preserve"> no PPS can interven</w:t>
      </w:r>
      <w:r w:rsidR="00B970B9" w:rsidRPr="00BC0121">
        <w:t>e</w:t>
      </w:r>
      <w:r w:rsidR="002277E9" w:rsidRPr="00BC0121">
        <w:t>. On the other hand,</w:t>
      </w:r>
      <w:r w:rsidRPr="00BC0121">
        <w:t xml:space="preserve"> </w:t>
      </w:r>
      <w:r w:rsidR="002277E9" w:rsidRPr="00BC0121">
        <w:t xml:space="preserve">for </w:t>
      </w:r>
      <w:r w:rsidR="00DC26DF" w:rsidRPr="00BC0121">
        <w:t>s</w:t>
      </w:r>
      <w:r w:rsidR="002277E9" w:rsidRPr="00BC0121">
        <w:t>cenario 2</w:t>
      </w:r>
      <w:r w:rsidRPr="00BC0121">
        <w:t>, probabilistic data on PPS performance</w:t>
      </w:r>
      <w:r w:rsidR="001E4B09" w:rsidRPr="00BC0121">
        <w:t xml:space="preserve"> and </w:t>
      </w:r>
      <w:r w:rsidR="001C1E2A" w:rsidRPr="00BC0121">
        <w:t>intrusion path information</w:t>
      </w:r>
      <w:r w:rsidRPr="00BC0121">
        <w:t xml:space="preserve"> are neede</w:t>
      </w:r>
      <w:r w:rsidR="00DA4102" w:rsidRPr="00BC0121">
        <w:t>d</w:t>
      </w:r>
      <w:r w:rsidR="00462D1D" w:rsidRPr="00BC0121">
        <w:t xml:space="preserve"> to quantify V.</w:t>
      </w:r>
      <w:r w:rsidR="00DA4102" w:rsidRPr="00BC0121">
        <w:t xml:space="preserve"> The intrusion time </w:t>
      </w:r>
      <w:proofErr w:type="spellStart"/>
      <w:r w:rsidR="00DA4102" w:rsidRPr="00BC0121">
        <w:t>T</w:t>
      </w:r>
      <w:r w:rsidR="00DA4102" w:rsidRPr="00BC0121">
        <w:rPr>
          <w:vertAlign w:val="subscript"/>
        </w:rPr>
        <w:t>p</w:t>
      </w:r>
      <w:proofErr w:type="spellEnd"/>
      <w:r w:rsidR="00DA4102" w:rsidRPr="00BC0121">
        <w:t xml:space="preserve"> </w:t>
      </w:r>
      <w:r w:rsidR="001C04F0" w:rsidRPr="00BC0121">
        <w:t>was</w:t>
      </w:r>
      <w:r w:rsidR="00DA4102" w:rsidRPr="00BC0121">
        <w:t xml:space="preserve"> evaluated</w:t>
      </w:r>
      <w:r w:rsidR="001415DF" w:rsidRPr="00BC0121">
        <w:t xml:space="preserve"> from Figure </w:t>
      </w:r>
      <w:r w:rsidR="00D50D87" w:rsidRPr="00BC0121">
        <w:t>3</w:t>
      </w:r>
      <w:r w:rsidR="00DA4102" w:rsidRPr="00BC0121">
        <w:t xml:space="preserve"> </w:t>
      </w:r>
      <w:r w:rsidR="00266F40" w:rsidRPr="00BC0121">
        <w:t xml:space="preserve">considering a walking velocity of </w:t>
      </w:r>
      <w:r w:rsidR="004C1E5C" w:rsidRPr="00BC0121">
        <w:t xml:space="preserve">the intruder of </w:t>
      </w:r>
      <w:r w:rsidR="00266F40" w:rsidRPr="00BC0121">
        <w:t>1.5 m/s</w:t>
      </w:r>
      <w:r w:rsidR="001415DF" w:rsidRPr="00BC0121">
        <w:t xml:space="preserve">, a time to </w:t>
      </w:r>
      <w:r w:rsidR="003E0672" w:rsidRPr="00BC0121">
        <w:t xml:space="preserve">pass </w:t>
      </w:r>
      <w:r w:rsidR="004C1E5C" w:rsidRPr="00BC0121">
        <w:t>through</w:t>
      </w:r>
      <w:r w:rsidR="003E0672" w:rsidRPr="00BC0121">
        <w:t xml:space="preserve"> the fence</w:t>
      </w:r>
      <w:r w:rsidR="001415DF" w:rsidRPr="00BC0121">
        <w:t xml:space="preserve"> of 90s </w:t>
      </w:r>
      <w:r w:rsidR="001E4B09" w:rsidRPr="00BC0121">
        <w:t>and a time to place the explosive of 20s (Garcia, 2008)</w:t>
      </w:r>
      <w:r w:rsidR="004C1E5C" w:rsidRPr="00BC0121">
        <w:t xml:space="preserve">; the RFT </w:t>
      </w:r>
      <w:r w:rsidR="001C04F0" w:rsidRPr="00BC0121">
        <w:t>was</w:t>
      </w:r>
      <w:r w:rsidR="004C1E5C" w:rsidRPr="00BC0121">
        <w:t xml:space="preserve"> 240 s</w:t>
      </w:r>
      <w:r w:rsidR="000979E1" w:rsidRPr="00BC0121">
        <w:t xml:space="preserve"> (see Table 1)</w:t>
      </w:r>
      <w:r w:rsidR="004C1E5C" w:rsidRPr="00BC0121">
        <w:t>.</w:t>
      </w:r>
      <w:r w:rsidR="00413137" w:rsidRPr="00BC0121">
        <w:t xml:space="preserve"> For both times, a variance </w:t>
      </w:r>
      <w:r w:rsidR="00413137" w:rsidRPr="00BC0121">
        <w:rPr>
          <w:rFonts w:cs="Arial"/>
        </w:rPr>
        <w:t>σ</w:t>
      </w:r>
      <w:r w:rsidR="00413137" w:rsidRPr="00BC0121">
        <w:t xml:space="preserve"> of 30% has been considered</w:t>
      </w:r>
      <w:r w:rsidR="00C63BFB" w:rsidRPr="00BC0121">
        <w:t>.</w:t>
      </w:r>
    </w:p>
    <w:p w14:paraId="493482E6" w14:textId="01418CAF" w:rsidR="00BC74E0" w:rsidRPr="00BC0121" w:rsidRDefault="003A0FF7" w:rsidP="003A0FF7">
      <w:pPr>
        <w:pStyle w:val="CETBodytext"/>
      </w:pPr>
      <w:r w:rsidRPr="00BC0121">
        <w:t xml:space="preserve">For the evaluation </w:t>
      </w:r>
      <w:r w:rsidR="00B273B6" w:rsidRPr="00BC0121">
        <w:t xml:space="preserve">of consequences, </w:t>
      </w:r>
      <w:r w:rsidR="004E662A" w:rsidRPr="00BC0121">
        <w:t>the</w:t>
      </w:r>
      <w:r w:rsidR="00B273B6" w:rsidRPr="00BC0121">
        <w:t xml:space="preserve"> DPS</w:t>
      </w:r>
      <w:r w:rsidR="00BC74E0" w:rsidRPr="00BC0121">
        <w:t xml:space="preserve"> </w:t>
      </w:r>
      <w:r w:rsidR="001C04F0" w:rsidRPr="00BC0121">
        <w:t>was</w:t>
      </w:r>
      <w:r w:rsidR="00BC74E0" w:rsidRPr="00BC0121">
        <w:t xml:space="preserve"> conducted</w:t>
      </w:r>
      <w:r w:rsidR="004E662A" w:rsidRPr="00BC0121">
        <w:t xml:space="preserve"> using the </w:t>
      </w:r>
      <w:r w:rsidR="003D78AB" w:rsidRPr="00BC0121">
        <w:t>defined source term for each scenario to obtain the</w:t>
      </w:r>
      <w:r w:rsidR="006F3C6D" w:rsidRPr="00BC0121">
        <w:t xml:space="preserve"> maximum consequence contours</w:t>
      </w:r>
      <w:r w:rsidR="00BC74E0" w:rsidRPr="00BC0121">
        <w:t xml:space="preserve">. As shown in Figure 3, the consequence contour for scenario 1 covers a radius of </w:t>
      </w:r>
      <w:r w:rsidR="000979E1" w:rsidRPr="00BC0121">
        <w:t>about</w:t>
      </w:r>
      <w:r w:rsidR="00BC74E0" w:rsidRPr="00BC0121">
        <w:t xml:space="preserve"> 25 </w:t>
      </w:r>
      <w:r w:rsidR="00D50D87" w:rsidRPr="00BC0121">
        <w:t>m</w:t>
      </w:r>
      <w:r w:rsidR="00BC74E0" w:rsidRPr="00BC0121">
        <w:t>, while for scenario 2</w:t>
      </w:r>
      <w:r w:rsidR="00D50D87" w:rsidRPr="00BC0121">
        <w:t xml:space="preserve"> the damage distance is almost quadrupled</w:t>
      </w:r>
      <w:r w:rsidR="00BC74E0" w:rsidRPr="00BC0121">
        <w:t xml:space="preserve">. </w:t>
      </w:r>
      <w:r w:rsidR="006F3C6D" w:rsidRPr="00BC0121">
        <w:t xml:space="preserve">Using these values, the consequence category C </w:t>
      </w:r>
      <w:r w:rsidR="003E4513" w:rsidRPr="00BC0121">
        <w:t xml:space="preserve">in the risk matrix of Figure 2 </w:t>
      </w:r>
      <w:r w:rsidR="001C04F0" w:rsidRPr="00BC0121">
        <w:t>was</w:t>
      </w:r>
      <w:r w:rsidR="006F3C6D" w:rsidRPr="00BC0121">
        <w:t xml:space="preserve"> determined.</w:t>
      </w:r>
      <w:r w:rsidR="003E4513" w:rsidRPr="00BC0121">
        <w:t xml:space="preserve"> Table 2 summarize</w:t>
      </w:r>
      <w:r w:rsidR="000979E1" w:rsidRPr="00BC0121">
        <w:t>s</w:t>
      </w:r>
      <w:r w:rsidR="003E4513" w:rsidRPr="00BC0121">
        <w:t xml:space="preserve"> the results of th</w:t>
      </w:r>
      <w:r w:rsidR="000979E1" w:rsidRPr="00BC0121">
        <w:t>is</w:t>
      </w:r>
      <w:r w:rsidR="003E4513" w:rsidRPr="00BC0121">
        <w:t xml:space="preserve"> simplified risk evaluation.</w:t>
      </w:r>
    </w:p>
    <w:p w14:paraId="06E57B3A" w14:textId="784D0815" w:rsidR="00CA0142" w:rsidRPr="00BC0121" w:rsidRDefault="00CA0142" w:rsidP="00D354F7">
      <w:pPr>
        <w:pStyle w:val="CETTabletitle"/>
      </w:pPr>
      <w:r w:rsidRPr="00BC0121">
        <w:t>Table</w:t>
      </w:r>
      <w:r w:rsidR="00A711B1" w:rsidRPr="00BC0121">
        <w:t xml:space="preserve"> 2</w:t>
      </w:r>
      <w:r w:rsidRPr="00BC0121">
        <w:t xml:space="preserve"> </w:t>
      </w:r>
      <w:r w:rsidR="00A711B1" w:rsidRPr="00BC0121">
        <w:t>–</w:t>
      </w:r>
      <w:r w:rsidRPr="00BC0121">
        <w:t xml:space="preserve"> </w:t>
      </w:r>
      <w:r w:rsidR="00A711B1" w:rsidRPr="00BC0121">
        <w:t>Risk assessment for critical scenarios using the risk matrix approach</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96"/>
        <w:gridCol w:w="3082"/>
        <w:gridCol w:w="851"/>
        <w:gridCol w:w="708"/>
        <w:gridCol w:w="654"/>
        <w:gridCol w:w="1896"/>
      </w:tblGrid>
      <w:tr w:rsidR="00256481" w:rsidRPr="00BC0121" w14:paraId="1A07BF77" w14:textId="77777777" w:rsidTr="00D50D87">
        <w:tc>
          <w:tcPr>
            <w:tcW w:w="908" w:type="pct"/>
            <w:tcBorders>
              <w:top w:val="single" w:sz="12" w:space="0" w:color="008000"/>
              <w:bottom w:val="single" w:sz="6" w:space="0" w:color="008000"/>
            </w:tcBorders>
            <w:shd w:val="clear" w:color="auto" w:fill="FFFFFF"/>
            <w:vAlign w:val="center"/>
          </w:tcPr>
          <w:p w14:paraId="0E42CEA8" w14:textId="6121F874" w:rsidR="00256481" w:rsidRPr="00BC0121" w:rsidRDefault="00256481" w:rsidP="00CA0142">
            <w:pPr>
              <w:pStyle w:val="CETBodytext"/>
              <w:jc w:val="left"/>
              <w:rPr>
                <w:lang w:val="en-GB"/>
              </w:rPr>
            </w:pPr>
            <w:r w:rsidRPr="00BC0121">
              <w:rPr>
                <w:lang w:val="en-GB"/>
              </w:rPr>
              <w:t>Scenario ID</w:t>
            </w:r>
          </w:p>
        </w:tc>
        <w:tc>
          <w:tcPr>
            <w:tcW w:w="1754" w:type="pct"/>
            <w:tcBorders>
              <w:top w:val="single" w:sz="12" w:space="0" w:color="008000"/>
              <w:bottom w:val="single" w:sz="6" w:space="0" w:color="008000"/>
            </w:tcBorders>
            <w:shd w:val="clear" w:color="auto" w:fill="FFFFFF"/>
            <w:vAlign w:val="center"/>
          </w:tcPr>
          <w:p w14:paraId="33FECB0A" w14:textId="6F4566EF" w:rsidR="00256481" w:rsidRPr="00BC0121" w:rsidRDefault="00256481" w:rsidP="00CA0142">
            <w:pPr>
              <w:pStyle w:val="CETBodytext"/>
              <w:jc w:val="left"/>
              <w:rPr>
                <w:lang w:val="en-GB"/>
              </w:rPr>
            </w:pPr>
            <w:r w:rsidRPr="00BC0121">
              <w:rPr>
                <w:lang w:val="en-GB"/>
              </w:rPr>
              <w:t>Scenario description</w:t>
            </w:r>
          </w:p>
        </w:tc>
        <w:tc>
          <w:tcPr>
            <w:tcW w:w="484" w:type="pct"/>
            <w:tcBorders>
              <w:top w:val="single" w:sz="12" w:space="0" w:color="008000"/>
              <w:bottom w:val="single" w:sz="6" w:space="0" w:color="008000"/>
            </w:tcBorders>
            <w:shd w:val="clear" w:color="auto" w:fill="FFFFFF"/>
          </w:tcPr>
          <w:p w14:paraId="2225B7C2" w14:textId="5EC0C5D4" w:rsidR="00256481" w:rsidRPr="00BC0121" w:rsidRDefault="00256481" w:rsidP="00CA0142">
            <w:pPr>
              <w:pStyle w:val="CETBodytext"/>
              <w:ind w:right="-1"/>
              <w:jc w:val="left"/>
              <w:rPr>
                <w:rFonts w:cs="Arial"/>
                <w:szCs w:val="18"/>
                <w:lang w:val="en-GB"/>
              </w:rPr>
            </w:pPr>
            <w:r w:rsidRPr="00BC0121">
              <w:rPr>
                <w:rFonts w:cs="Arial"/>
                <w:szCs w:val="18"/>
                <w:lang w:val="en-GB"/>
              </w:rPr>
              <w:t>V</w:t>
            </w:r>
          </w:p>
        </w:tc>
        <w:tc>
          <w:tcPr>
            <w:tcW w:w="403" w:type="pct"/>
            <w:tcBorders>
              <w:top w:val="single" w:sz="12" w:space="0" w:color="008000"/>
              <w:bottom w:val="single" w:sz="6" w:space="0" w:color="008000"/>
            </w:tcBorders>
            <w:shd w:val="clear" w:color="auto" w:fill="FFFFFF"/>
            <w:vAlign w:val="center"/>
          </w:tcPr>
          <w:p w14:paraId="50C00776" w14:textId="6525E89E" w:rsidR="00256481" w:rsidRPr="00BC0121" w:rsidRDefault="00256481" w:rsidP="00CA0142">
            <w:pPr>
              <w:pStyle w:val="CETBodytext"/>
              <w:ind w:right="-1"/>
              <w:jc w:val="left"/>
              <w:rPr>
                <w:rFonts w:cs="Arial"/>
                <w:szCs w:val="18"/>
                <w:lang w:val="en-GB"/>
              </w:rPr>
            </w:pPr>
            <w:r w:rsidRPr="00BC0121">
              <w:rPr>
                <w:rFonts w:cs="Arial"/>
                <w:szCs w:val="18"/>
                <w:lang w:val="en-GB"/>
              </w:rPr>
              <w:t>F</w:t>
            </w:r>
          </w:p>
        </w:tc>
        <w:tc>
          <w:tcPr>
            <w:tcW w:w="372" w:type="pct"/>
            <w:tcBorders>
              <w:top w:val="single" w:sz="12" w:space="0" w:color="008000"/>
              <w:bottom w:val="single" w:sz="6" w:space="0" w:color="008000"/>
            </w:tcBorders>
            <w:shd w:val="clear" w:color="auto" w:fill="FFFFFF"/>
            <w:vAlign w:val="center"/>
          </w:tcPr>
          <w:p w14:paraId="71EB28FC" w14:textId="799557A2" w:rsidR="00256481" w:rsidRPr="00BC0121" w:rsidRDefault="00256481" w:rsidP="00CA0142">
            <w:pPr>
              <w:pStyle w:val="CETBodytext"/>
              <w:ind w:right="-1"/>
              <w:jc w:val="left"/>
              <w:rPr>
                <w:rFonts w:cs="Arial"/>
                <w:szCs w:val="18"/>
                <w:lang w:val="en-GB"/>
              </w:rPr>
            </w:pPr>
            <w:r w:rsidRPr="00BC0121">
              <w:rPr>
                <w:rFonts w:cs="Arial"/>
                <w:szCs w:val="18"/>
                <w:lang w:val="en-GB"/>
              </w:rPr>
              <w:t>C</w:t>
            </w:r>
          </w:p>
        </w:tc>
        <w:tc>
          <w:tcPr>
            <w:tcW w:w="1079" w:type="pct"/>
            <w:tcBorders>
              <w:top w:val="single" w:sz="12" w:space="0" w:color="008000"/>
              <w:bottom w:val="single" w:sz="6" w:space="0" w:color="008000"/>
            </w:tcBorders>
            <w:shd w:val="clear" w:color="auto" w:fill="FFFFFF"/>
          </w:tcPr>
          <w:p w14:paraId="659033B2" w14:textId="1FD10E25" w:rsidR="00256481" w:rsidRPr="00BC0121" w:rsidRDefault="00256481" w:rsidP="00CA0142">
            <w:pPr>
              <w:pStyle w:val="CETBodytext"/>
              <w:ind w:right="-1"/>
              <w:jc w:val="left"/>
              <w:rPr>
                <w:rFonts w:cs="Arial"/>
                <w:szCs w:val="18"/>
                <w:lang w:val="en-GB"/>
              </w:rPr>
            </w:pPr>
            <w:r w:rsidRPr="00BC0121">
              <w:rPr>
                <w:rFonts w:cs="Arial"/>
                <w:szCs w:val="18"/>
                <w:lang w:val="en-GB"/>
              </w:rPr>
              <w:t>R</w:t>
            </w:r>
          </w:p>
        </w:tc>
      </w:tr>
      <w:tr w:rsidR="00256481" w:rsidRPr="00BC0121" w14:paraId="3AFFEE16" w14:textId="3DEA05D1" w:rsidTr="00D50D87">
        <w:trPr>
          <w:trHeight w:val="167"/>
        </w:trPr>
        <w:tc>
          <w:tcPr>
            <w:tcW w:w="908" w:type="pct"/>
            <w:shd w:val="clear" w:color="auto" w:fill="FFFFFF"/>
            <w:vAlign w:val="center"/>
          </w:tcPr>
          <w:p w14:paraId="2F8649FC" w14:textId="7991E41B" w:rsidR="00256481" w:rsidRPr="00BC0121" w:rsidRDefault="00256481" w:rsidP="00CA0142">
            <w:pPr>
              <w:pStyle w:val="CETBodytext"/>
              <w:jc w:val="left"/>
              <w:rPr>
                <w:lang w:val="en-GB"/>
              </w:rPr>
            </w:pPr>
            <w:r w:rsidRPr="00BC0121">
              <w:rPr>
                <w:lang w:val="en-GB"/>
              </w:rPr>
              <w:t>1</w:t>
            </w:r>
          </w:p>
        </w:tc>
        <w:tc>
          <w:tcPr>
            <w:tcW w:w="1754" w:type="pct"/>
            <w:shd w:val="clear" w:color="auto" w:fill="FFFFFF"/>
            <w:vAlign w:val="center"/>
          </w:tcPr>
          <w:p w14:paraId="6BD8F95C" w14:textId="6F65FCA8" w:rsidR="00256481" w:rsidRPr="00BC0121" w:rsidRDefault="00256481" w:rsidP="00D50D87">
            <w:pPr>
              <w:pStyle w:val="CETBodytext"/>
              <w:jc w:val="left"/>
              <w:rPr>
                <w:lang w:val="en-GB"/>
              </w:rPr>
            </w:pPr>
            <w:r w:rsidRPr="00BC0121">
              <w:rPr>
                <w:lang w:val="en-GB"/>
              </w:rPr>
              <w:t xml:space="preserve">Jet fire from 1’’ </w:t>
            </w:r>
            <w:r w:rsidR="00D50D87" w:rsidRPr="00BC0121">
              <w:rPr>
                <w:lang w:val="en-GB"/>
              </w:rPr>
              <w:t>(25.4 mm) hole</w:t>
            </w:r>
          </w:p>
        </w:tc>
        <w:tc>
          <w:tcPr>
            <w:tcW w:w="484" w:type="pct"/>
            <w:shd w:val="clear" w:color="auto" w:fill="FFFFFF"/>
          </w:tcPr>
          <w:p w14:paraId="23DAF231" w14:textId="46F4FDA9" w:rsidR="00256481" w:rsidRPr="00BC0121" w:rsidRDefault="00E25BE0" w:rsidP="00CA0142">
            <w:pPr>
              <w:pStyle w:val="CETBodytext"/>
              <w:ind w:right="-1"/>
              <w:jc w:val="left"/>
              <w:rPr>
                <w:rFonts w:cs="Arial"/>
                <w:szCs w:val="18"/>
                <w:lang w:val="en-GB"/>
              </w:rPr>
            </w:pPr>
            <w:r w:rsidRPr="00BC0121">
              <w:rPr>
                <w:rFonts w:cs="Arial"/>
                <w:szCs w:val="18"/>
                <w:lang w:val="en-GB"/>
              </w:rPr>
              <w:t>1.00</w:t>
            </w:r>
          </w:p>
        </w:tc>
        <w:tc>
          <w:tcPr>
            <w:tcW w:w="403" w:type="pct"/>
            <w:shd w:val="clear" w:color="auto" w:fill="FFFFFF"/>
            <w:vAlign w:val="center"/>
          </w:tcPr>
          <w:p w14:paraId="7DE31C9A" w14:textId="7928CD15" w:rsidR="00256481" w:rsidRPr="00BC0121" w:rsidRDefault="00D76E01" w:rsidP="00CA0142">
            <w:pPr>
              <w:pStyle w:val="CETBodytext"/>
              <w:ind w:right="-1"/>
              <w:jc w:val="left"/>
              <w:rPr>
                <w:rFonts w:cs="Arial"/>
                <w:szCs w:val="18"/>
                <w:lang w:val="en-GB"/>
              </w:rPr>
            </w:pPr>
            <w:r w:rsidRPr="00BC0121">
              <w:rPr>
                <w:rFonts w:cs="Arial"/>
                <w:szCs w:val="18"/>
                <w:lang w:val="en-GB"/>
              </w:rPr>
              <w:t>5</w:t>
            </w:r>
          </w:p>
        </w:tc>
        <w:tc>
          <w:tcPr>
            <w:tcW w:w="372" w:type="pct"/>
            <w:shd w:val="clear" w:color="auto" w:fill="FFFFFF"/>
            <w:vAlign w:val="center"/>
          </w:tcPr>
          <w:p w14:paraId="0CCD4C97" w14:textId="7B2DE8D9" w:rsidR="00256481" w:rsidRPr="00BC0121" w:rsidRDefault="00256481" w:rsidP="00CA0142">
            <w:pPr>
              <w:pStyle w:val="CETBodytext"/>
              <w:ind w:right="-1"/>
              <w:jc w:val="left"/>
              <w:rPr>
                <w:rFonts w:cs="Arial"/>
                <w:szCs w:val="18"/>
                <w:lang w:val="en-GB"/>
              </w:rPr>
            </w:pPr>
            <w:r w:rsidRPr="00BC0121">
              <w:rPr>
                <w:rFonts w:cs="Arial"/>
                <w:szCs w:val="18"/>
                <w:lang w:val="en-GB"/>
              </w:rPr>
              <w:t>2</w:t>
            </w:r>
          </w:p>
        </w:tc>
        <w:tc>
          <w:tcPr>
            <w:tcW w:w="1079" w:type="pct"/>
            <w:shd w:val="clear" w:color="auto" w:fill="FFFFFF"/>
          </w:tcPr>
          <w:p w14:paraId="55EE054E" w14:textId="06F6FCA8" w:rsidR="00256481" w:rsidRPr="00BC0121" w:rsidRDefault="00256481" w:rsidP="00CA0142">
            <w:pPr>
              <w:pStyle w:val="CETBodytext"/>
              <w:ind w:right="-1"/>
              <w:jc w:val="left"/>
              <w:rPr>
                <w:rFonts w:cs="Arial"/>
                <w:szCs w:val="18"/>
                <w:lang w:val="en-GB"/>
              </w:rPr>
            </w:pPr>
            <w:r w:rsidRPr="00BC0121">
              <w:rPr>
                <w:rFonts w:cs="Arial"/>
                <w:szCs w:val="18"/>
                <w:lang w:val="en-GB"/>
              </w:rPr>
              <w:t>ALARP</w:t>
            </w:r>
          </w:p>
        </w:tc>
      </w:tr>
      <w:tr w:rsidR="00256481" w:rsidRPr="00BC0121" w14:paraId="63960880" w14:textId="56726EC7" w:rsidTr="00D50D87">
        <w:tc>
          <w:tcPr>
            <w:tcW w:w="908" w:type="pct"/>
            <w:shd w:val="clear" w:color="auto" w:fill="FFFFFF"/>
            <w:vAlign w:val="center"/>
          </w:tcPr>
          <w:p w14:paraId="075D826F" w14:textId="0A33097E" w:rsidR="00256481" w:rsidRPr="00BC0121" w:rsidRDefault="00256481" w:rsidP="00CA0142">
            <w:pPr>
              <w:pStyle w:val="CETBodytext"/>
              <w:ind w:right="-1"/>
              <w:jc w:val="left"/>
              <w:rPr>
                <w:rFonts w:cs="Arial"/>
                <w:szCs w:val="18"/>
                <w:lang w:val="en-GB"/>
              </w:rPr>
            </w:pPr>
            <w:r w:rsidRPr="00BC0121">
              <w:rPr>
                <w:rFonts w:cs="Arial"/>
                <w:szCs w:val="18"/>
                <w:lang w:val="en-GB"/>
              </w:rPr>
              <w:t>2</w:t>
            </w:r>
          </w:p>
        </w:tc>
        <w:tc>
          <w:tcPr>
            <w:tcW w:w="1754" w:type="pct"/>
            <w:shd w:val="clear" w:color="auto" w:fill="FFFFFF"/>
            <w:vAlign w:val="center"/>
          </w:tcPr>
          <w:p w14:paraId="296197E5" w14:textId="071F6E67" w:rsidR="00256481" w:rsidRPr="00BC0121" w:rsidRDefault="00256481" w:rsidP="00CA0142">
            <w:pPr>
              <w:pStyle w:val="CETBodytext"/>
              <w:ind w:right="-1"/>
              <w:jc w:val="left"/>
              <w:rPr>
                <w:rFonts w:cs="Arial"/>
                <w:szCs w:val="18"/>
                <w:lang w:val="en-GB"/>
              </w:rPr>
            </w:pPr>
            <w:r w:rsidRPr="00BC0121">
              <w:rPr>
                <w:rFonts w:cs="Arial"/>
                <w:szCs w:val="18"/>
                <w:lang w:val="en-GB"/>
              </w:rPr>
              <w:t xml:space="preserve">Jet fire from 4’’ </w:t>
            </w:r>
            <w:r w:rsidR="00D50D87" w:rsidRPr="00BC0121">
              <w:rPr>
                <w:rFonts w:cs="Arial"/>
                <w:szCs w:val="18"/>
                <w:lang w:val="en-GB"/>
              </w:rPr>
              <w:t>(</w:t>
            </w:r>
            <w:r w:rsidR="00D50D87" w:rsidRPr="00BC0121">
              <w:rPr>
                <w:lang w:val="en-GB"/>
              </w:rPr>
              <w:t>101.6 mm)</w:t>
            </w:r>
            <w:r w:rsidR="00D50D87" w:rsidRPr="00BC0121">
              <w:rPr>
                <w:rFonts w:cs="Arial"/>
                <w:szCs w:val="18"/>
                <w:lang w:val="en-GB"/>
              </w:rPr>
              <w:t xml:space="preserve"> </w:t>
            </w:r>
            <w:r w:rsidRPr="00BC0121">
              <w:rPr>
                <w:rFonts w:cs="Arial"/>
                <w:szCs w:val="18"/>
                <w:lang w:val="en-GB"/>
              </w:rPr>
              <w:t>hole</w:t>
            </w:r>
          </w:p>
        </w:tc>
        <w:tc>
          <w:tcPr>
            <w:tcW w:w="484" w:type="pct"/>
            <w:shd w:val="clear" w:color="auto" w:fill="FFFFFF"/>
          </w:tcPr>
          <w:p w14:paraId="1520E1BB" w14:textId="68076091" w:rsidR="00256481" w:rsidRPr="00BC0121" w:rsidRDefault="00E25BE0" w:rsidP="00CA0142">
            <w:pPr>
              <w:pStyle w:val="CETBodytext"/>
              <w:ind w:right="-1"/>
              <w:jc w:val="left"/>
              <w:rPr>
                <w:rFonts w:cs="Arial"/>
                <w:szCs w:val="18"/>
                <w:lang w:val="en-GB"/>
              </w:rPr>
            </w:pPr>
            <w:r w:rsidRPr="00BC0121">
              <w:rPr>
                <w:rFonts w:cs="Arial"/>
                <w:szCs w:val="18"/>
                <w:lang w:val="en-GB"/>
              </w:rPr>
              <w:t>0.</w:t>
            </w:r>
            <w:r w:rsidR="003D3BA3" w:rsidRPr="00BC0121">
              <w:rPr>
                <w:rFonts w:cs="Arial"/>
                <w:szCs w:val="18"/>
                <w:lang w:val="en-GB"/>
              </w:rPr>
              <w:t>86</w:t>
            </w:r>
          </w:p>
        </w:tc>
        <w:tc>
          <w:tcPr>
            <w:tcW w:w="403" w:type="pct"/>
            <w:shd w:val="clear" w:color="auto" w:fill="FFFFFF"/>
            <w:vAlign w:val="center"/>
          </w:tcPr>
          <w:p w14:paraId="200CEF2E" w14:textId="060D2408" w:rsidR="00256481" w:rsidRPr="00BC0121" w:rsidRDefault="00D76E01" w:rsidP="00CA0142">
            <w:pPr>
              <w:pStyle w:val="CETBodytext"/>
              <w:ind w:right="-1"/>
              <w:jc w:val="left"/>
              <w:rPr>
                <w:rFonts w:cs="Arial"/>
                <w:szCs w:val="18"/>
                <w:lang w:val="en-GB"/>
              </w:rPr>
            </w:pPr>
            <w:r w:rsidRPr="00BC0121">
              <w:rPr>
                <w:rFonts w:cs="Arial"/>
                <w:szCs w:val="18"/>
                <w:lang w:val="en-GB"/>
              </w:rPr>
              <w:t>5</w:t>
            </w:r>
          </w:p>
        </w:tc>
        <w:tc>
          <w:tcPr>
            <w:tcW w:w="372" w:type="pct"/>
            <w:shd w:val="clear" w:color="auto" w:fill="FFFFFF"/>
            <w:vAlign w:val="center"/>
          </w:tcPr>
          <w:p w14:paraId="2B407A06" w14:textId="2B4ABB21" w:rsidR="00256481" w:rsidRPr="00BC0121" w:rsidRDefault="00256481" w:rsidP="00CA0142">
            <w:pPr>
              <w:pStyle w:val="CETBodytext"/>
              <w:ind w:right="-1"/>
              <w:jc w:val="left"/>
              <w:rPr>
                <w:rFonts w:cs="Arial"/>
                <w:szCs w:val="18"/>
                <w:lang w:val="en-GB"/>
              </w:rPr>
            </w:pPr>
            <w:r w:rsidRPr="00BC0121">
              <w:rPr>
                <w:rFonts w:cs="Arial"/>
                <w:szCs w:val="18"/>
                <w:lang w:val="en-GB"/>
              </w:rPr>
              <w:t>3</w:t>
            </w:r>
          </w:p>
        </w:tc>
        <w:tc>
          <w:tcPr>
            <w:tcW w:w="1079" w:type="pct"/>
            <w:shd w:val="clear" w:color="auto" w:fill="FFFFFF"/>
          </w:tcPr>
          <w:p w14:paraId="7F10B1DD" w14:textId="5D71C0AD" w:rsidR="00256481" w:rsidRPr="00BC0121" w:rsidRDefault="00256481" w:rsidP="00CA0142">
            <w:pPr>
              <w:pStyle w:val="CETBodytext"/>
              <w:ind w:right="-1"/>
              <w:jc w:val="left"/>
              <w:rPr>
                <w:rFonts w:cs="Arial"/>
                <w:szCs w:val="18"/>
                <w:lang w:val="en-GB"/>
              </w:rPr>
            </w:pPr>
            <w:r w:rsidRPr="00BC0121">
              <w:rPr>
                <w:rFonts w:cs="Arial"/>
                <w:szCs w:val="18"/>
                <w:lang w:val="en-GB"/>
              </w:rPr>
              <w:t>High risk level</w:t>
            </w:r>
          </w:p>
        </w:tc>
      </w:tr>
    </w:tbl>
    <w:p w14:paraId="73C66506" w14:textId="77777777" w:rsidR="00364B9C" w:rsidRPr="00BC0121" w:rsidRDefault="00364B9C" w:rsidP="00364B9C">
      <w:pPr>
        <w:pStyle w:val="CETBodytext"/>
      </w:pPr>
    </w:p>
    <w:p w14:paraId="1D1E86FA" w14:textId="56A07D2F" w:rsidR="00364B9C" w:rsidRPr="00BC0121" w:rsidRDefault="00B73F64" w:rsidP="00364B9C">
      <w:pPr>
        <w:pStyle w:val="CETBodytext"/>
      </w:pPr>
      <w:r w:rsidRPr="00BC0121">
        <w:t>For both scenario</w:t>
      </w:r>
      <w:r w:rsidR="002C154D" w:rsidRPr="00BC0121">
        <w:t xml:space="preserve">s, the frequency </w:t>
      </w:r>
      <w:r w:rsidR="00DE4EFD" w:rsidRPr="00BC0121">
        <w:t xml:space="preserve">falls into the category 5, which means that </w:t>
      </w:r>
      <w:r w:rsidR="00C83B5E" w:rsidRPr="00BC0121">
        <w:t>a</w:t>
      </w:r>
      <w:r w:rsidR="006727C5" w:rsidRPr="00BC0121">
        <w:t xml:space="preserve"> successful</w:t>
      </w:r>
      <w:r w:rsidR="00C83B5E" w:rsidRPr="00BC0121">
        <w:t xml:space="preserve"> external attack </w:t>
      </w:r>
      <w:r w:rsidR="002C154D" w:rsidRPr="00BC0121">
        <w:t xml:space="preserve">is </w:t>
      </w:r>
      <w:r w:rsidR="00D76E01" w:rsidRPr="00BC0121">
        <w:t>probable</w:t>
      </w:r>
      <w:r w:rsidR="00461F1B" w:rsidRPr="00BC0121">
        <w:t xml:space="preserve"> following the present qualitative classification.</w:t>
      </w:r>
      <w:r w:rsidR="00283260" w:rsidRPr="00BC0121">
        <w:t xml:space="preserve"> </w:t>
      </w:r>
      <w:r w:rsidR="00461F1B" w:rsidRPr="00BC0121">
        <w:t>T</w:t>
      </w:r>
      <w:r w:rsidR="00283260" w:rsidRPr="00BC0121">
        <w:t xml:space="preserve">his </w:t>
      </w:r>
      <w:r w:rsidR="00461F1B" w:rsidRPr="00BC0121">
        <w:t xml:space="preserve">may be explained considering </w:t>
      </w:r>
      <w:r w:rsidR="00283260" w:rsidRPr="00BC0121">
        <w:t xml:space="preserve">two factors: firstly, the plant operates in a critical geographical area, which </w:t>
      </w:r>
      <w:r w:rsidR="00574814" w:rsidRPr="00BC0121">
        <w:t>causes</w:t>
      </w:r>
      <w:r w:rsidR="00283260" w:rsidRPr="00BC0121">
        <w:t xml:space="preserve"> </w:t>
      </w:r>
      <w:r w:rsidR="00574814" w:rsidRPr="00BC0121">
        <w:t>a very high</w:t>
      </w:r>
      <w:r w:rsidR="00283260" w:rsidRPr="00BC0121">
        <w:t xml:space="preserve"> threat and attractiveness level</w:t>
      </w:r>
      <w:r w:rsidR="000979E1" w:rsidRPr="00BC0121">
        <w:t xml:space="preserve"> (see </w:t>
      </w:r>
      <w:r w:rsidR="00656A74" w:rsidRPr="00BC0121">
        <w:t>Table 1</w:t>
      </w:r>
      <w:r w:rsidR="000979E1" w:rsidRPr="00BC0121">
        <w:t>)</w:t>
      </w:r>
      <w:r w:rsidR="00283260" w:rsidRPr="00BC0121">
        <w:t>.</w:t>
      </w:r>
      <w:r w:rsidR="003D4719" w:rsidRPr="00BC0121">
        <w:t xml:space="preserve"> Moreover,</w:t>
      </w:r>
      <w:r w:rsidR="007215B0" w:rsidRPr="00BC0121">
        <w:t xml:space="preserve"> </w:t>
      </w:r>
      <w:r w:rsidR="002C154D" w:rsidRPr="00BC0121">
        <w:t xml:space="preserve">the low effectiveness of PPS in detecting and consequently stopping an </w:t>
      </w:r>
      <w:r w:rsidR="00274C86" w:rsidRPr="00BC0121">
        <w:t>intruder</w:t>
      </w:r>
      <w:r w:rsidR="000A0C42" w:rsidRPr="00BC0121">
        <w:t xml:space="preserve"> reduces the</w:t>
      </w:r>
      <w:r w:rsidR="00AD0CD4" w:rsidRPr="00BC0121">
        <w:t xml:space="preserve"> vulnerability V</w:t>
      </w:r>
      <w:r w:rsidR="00446E5C" w:rsidRPr="00BC0121">
        <w:t xml:space="preserve"> only by 14%; th</w:t>
      </w:r>
      <w:r w:rsidR="000979E1" w:rsidRPr="00BC0121">
        <w:t>us,</w:t>
      </w:r>
      <w:r w:rsidR="00446E5C" w:rsidRPr="00BC0121">
        <w:t xml:space="preserve"> </w:t>
      </w:r>
      <w:r w:rsidR="000979E1" w:rsidRPr="00BC0121">
        <w:t xml:space="preserve">both </w:t>
      </w:r>
      <w:r w:rsidR="00AD0CD4" w:rsidRPr="00BC0121">
        <w:t xml:space="preserve">the external </w:t>
      </w:r>
      <w:r w:rsidR="00446E5C" w:rsidRPr="00BC0121">
        <w:t xml:space="preserve">attack </w:t>
      </w:r>
      <w:r w:rsidR="00AD0CD4" w:rsidRPr="00BC0121">
        <w:t xml:space="preserve">scenario (1) and </w:t>
      </w:r>
      <w:r w:rsidR="000979E1" w:rsidRPr="00BC0121">
        <w:t xml:space="preserve">the </w:t>
      </w:r>
      <w:r w:rsidR="00AD0CD4" w:rsidRPr="00BC0121">
        <w:t xml:space="preserve">internal </w:t>
      </w:r>
      <w:r w:rsidR="00446E5C" w:rsidRPr="00BC0121">
        <w:t xml:space="preserve">attack </w:t>
      </w:r>
      <w:r w:rsidR="00AD0CD4" w:rsidRPr="00BC0121">
        <w:t xml:space="preserve">scenario (2) </w:t>
      </w:r>
      <w:r w:rsidR="0022249F" w:rsidRPr="00BC0121">
        <w:t xml:space="preserve">fall in the same </w:t>
      </w:r>
      <w:r w:rsidR="00C517C7" w:rsidRPr="00BC0121">
        <w:t>f</w:t>
      </w:r>
      <w:r w:rsidR="0022249F" w:rsidRPr="00BC0121">
        <w:t>requency category.</w:t>
      </w:r>
    </w:p>
    <w:p w14:paraId="7DC5135A" w14:textId="4CD3FE0C" w:rsidR="005E5B9A" w:rsidRPr="00BC0121" w:rsidRDefault="00E9793C" w:rsidP="00364B9C">
      <w:pPr>
        <w:pStyle w:val="CETBodytext"/>
      </w:pPr>
      <w:r w:rsidRPr="00BC0121">
        <w:t>The consequence</w:t>
      </w:r>
      <w:r w:rsidR="007215B0" w:rsidRPr="00BC0121">
        <w:t>s</w:t>
      </w:r>
      <w:r w:rsidRPr="00BC0121">
        <w:t xml:space="preserve"> of scenario 1 only </w:t>
      </w:r>
      <w:r w:rsidR="00323A08" w:rsidRPr="00BC0121">
        <w:t>affect</w:t>
      </w:r>
      <w:r w:rsidRPr="00BC0121">
        <w:t xml:space="preserve"> </w:t>
      </w:r>
      <w:r w:rsidR="005E5B9A" w:rsidRPr="00BC0121">
        <w:t xml:space="preserve">a small portion of </w:t>
      </w:r>
      <w:r w:rsidR="00F15F67" w:rsidRPr="00BC0121">
        <w:t>the plant section where it</w:t>
      </w:r>
      <w:r w:rsidR="005E5B9A" w:rsidRPr="00BC0121">
        <w:t xml:space="preserve"> is</w:t>
      </w:r>
      <w:r w:rsidR="00F15F67" w:rsidRPr="00BC0121">
        <w:t xml:space="preserve"> located</w:t>
      </w:r>
      <w:r w:rsidR="00597305" w:rsidRPr="00BC0121">
        <w:t>. O</w:t>
      </w:r>
      <w:r w:rsidR="005E5B9A" w:rsidRPr="00BC0121">
        <w:t xml:space="preserve">n the other hand, </w:t>
      </w:r>
      <w:r w:rsidR="00826B64" w:rsidRPr="00BC0121">
        <w:t>the</w:t>
      </w:r>
      <w:r w:rsidR="00F15F67" w:rsidRPr="00BC0121">
        <w:t xml:space="preserve"> consequence contour </w:t>
      </w:r>
      <w:r w:rsidR="00826B64" w:rsidRPr="00BC0121">
        <w:t xml:space="preserve">of scenario 2 </w:t>
      </w:r>
      <w:r w:rsidR="00113F0E" w:rsidRPr="00BC0121">
        <w:t>is extended towards a different</w:t>
      </w:r>
      <w:r w:rsidR="0026574D" w:rsidRPr="00BC0121">
        <w:t xml:space="preserve"> plant </w:t>
      </w:r>
      <w:r w:rsidR="00597305" w:rsidRPr="00BC0121">
        <w:t>section</w:t>
      </w:r>
      <w:r w:rsidR="00826B64" w:rsidRPr="00BC0121">
        <w:t>.</w:t>
      </w:r>
      <w:r w:rsidR="0026574D" w:rsidRPr="00BC0121">
        <w:t xml:space="preserve"> </w:t>
      </w:r>
      <w:r w:rsidR="00826B64" w:rsidRPr="00BC0121">
        <w:t>H</w:t>
      </w:r>
      <w:r w:rsidR="0026574D" w:rsidRPr="00BC0121">
        <w:t>owever</w:t>
      </w:r>
      <w:r w:rsidR="00597305" w:rsidRPr="00BC0121">
        <w:t>,</w:t>
      </w:r>
      <w:r w:rsidR="0026574D" w:rsidRPr="00BC0121">
        <w:t xml:space="preserve"> </w:t>
      </w:r>
      <w:r w:rsidR="00BF0712" w:rsidRPr="00BC0121">
        <w:t>it also involves an empty area and for this reason consequence category 3 has been chosen.</w:t>
      </w:r>
      <w:r w:rsidR="00597305" w:rsidRPr="00BC0121">
        <w:t xml:space="preserve"> </w:t>
      </w:r>
      <w:r w:rsidR="005E5B9A" w:rsidRPr="00BC0121">
        <w:t>This raise in consequences is reasonable given the higher release diameter of scenario 2 compared to scenario 1.</w:t>
      </w:r>
    </w:p>
    <w:p w14:paraId="5A006529" w14:textId="37F626E9" w:rsidR="0046630A" w:rsidRPr="00BC0121" w:rsidRDefault="0046630A" w:rsidP="00364B9C">
      <w:pPr>
        <w:pStyle w:val="CETBodytext"/>
      </w:pPr>
      <w:r w:rsidRPr="00BC0121">
        <w:t xml:space="preserve">For what concern the risk screening (see Table 2), </w:t>
      </w:r>
      <w:r w:rsidR="00597305" w:rsidRPr="00BC0121">
        <w:t>scenario 1</w:t>
      </w:r>
      <w:r w:rsidR="00826B64" w:rsidRPr="00BC0121">
        <w:t xml:space="preserve"> </w:t>
      </w:r>
      <w:r w:rsidR="00597305" w:rsidRPr="00BC0121">
        <w:t>falls into the ALARP zone</w:t>
      </w:r>
      <w:r w:rsidRPr="00BC0121">
        <w:t>, while</w:t>
      </w:r>
      <w:r w:rsidR="00D9546A" w:rsidRPr="00BC0121">
        <w:t xml:space="preserve"> </w:t>
      </w:r>
      <w:r w:rsidRPr="00BC0121">
        <w:t xml:space="preserve">an </w:t>
      </w:r>
      <w:r w:rsidR="00DA6588" w:rsidRPr="00BC0121">
        <w:t>intolerable</w:t>
      </w:r>
      <w:r w:rsidRPr="00BC0121">
        <w:t xml:space="preserve"> risk level is associated with </w:t>
      </w:r>
      <w:r w:rsidR="008228A0" w:rsidRPr="00BC0121">
        <w:t>Scenario 2</w:t>
      </w:r>
      <w:r w:rsidRPr="00BC0121">
        <w:t xml:space="preserve">. </w:t>
      </w:r>
      <w:r w:rsidR="00DA6588" w:rsidRPr="00BC0121">
        <w:t xml:space="preserve">Moreover, the jet fire may affect neighboring process units, with the potential of </w:t>
      </w:r>
      <w:r w:rsidR="00C52F04" w:rsidRPr="00BC0121">
        <w:t>higher-level</w:t>
      </w:r>
      <w:r w:rsidR="00DA6588" w:rsidRPr="00BC0121">
        <w:t xml:space="preserve"> domino effects</w:t>
      </w:r>
      <w:r w:rsidR="00C52F04" w:rsidRPr="00BC0121">
        <w:t>,</w:t>
      </w:r>
      <w:r w:rsidR="00DA6588" w:rsidRPr="00BC0121">
        <w:t xml:space="preserve"> with amplification of consequences (</w:t>
      </w:r>
      <w:r w:rsidR="00881BDE" w:rsidRPr="00BC0121">
        <w:t>Landucci et al., 2013</w:t>
      </w:r>
      <w:r w:rsidR="00DA6588" w:rsidRPr="00BC0121">
        <w:t>). Hence, the contribution of integrated safety and security barriers is critical in the view of reducing the risk induced by intentional scenarios (</w:t>
      </w:r>
      <w:r w:rsidR="00813890" w:rsidRPr="00BC0121">
        <w:t>Chen et al., 2019</w:t>
      </w:r>
      <w:r w:rsidR="00DA6588" w:rsidRPr="00BC0121">
        <w:t>).</w:t>
      </w:r>
    </w:p>
    <w:p w14:paraId="0F30CF43" w14:textId="1919AD3F" w:rsidR="00DA3967" w:rsidRPr="00BC0121" w:rsidRDefault="00C52F04" w:rsidP="00364B9C">
      <w:pPr>
        <w:pStyle w:val="CETBodytext"/>
      </w:pPr>
      <w:r w:rsidRPr="00BC0121">
        <w:t xml:space="preserve">Finally, it is worth mentioning that the probabilistic assessment was </w:t>
      </w:r>
      <w:r w:rsidR="006208C6" w:rsidRPr="00BC0121">
        <w:t>extremely</w:t>
      </w:r>
      <w:r w:rsidRPr="00BC0121">
        <w:t xml:space="preserve"> simplified</w:t>
      </w:r>
      <w:r w:rsidR="006208C6" w:rsidRPr="00BC0121">
        <w:t xml:space="preserve"> but able</w:t>
      </w:r>
      <w:r w:rsidRPr="00BC0121">
        <w:t xml:space="preserve"> to derive straightforward indications on the relevant security-related scenarios</w:t>
      </w:r>
      <w:r w:rsidR="00113F0E" w:rsidRPr="00BC0121">
        <w:t xml:space="preserve"> and a more systematic assessment compared to the available standard techniques (API, 2013)</w:t>
      </w:r>
      <w:r w:rsidRPr="00BC0121">
        <w:t xml:space="preserve">. </w:t>
      </w:r>
      <w:r w:rsidR="006208C6" w:rsidRPr="00BC0121">
        <w:t>However, likelihood assessment may be improved my means of more advanced probabilistic techniques, such as Bayesian Networks</w:t>
      </w:r>
      <w:r w:rsidR="00E67D40" w:rsidRPr="00BC0121">
        <w:t xml:space="preserve"> or other graph theoretical approaches</w:t>
      </w:r>
      <w:r w:rsidR="006208C6" w:rsidRPr="00BC0121">
        <w:t xml:space="preserve"> (</w:t>
      </w:r>
      <w:r w:rsidR="00E67D40" w:rsidRPr="00BC0121">
        <w:t>Chen et al., 2019</w:t>
      </w:r>
      <w:r w:rsidR="006208C6" w:rsidRPr="00BC0121">
        <w:t>)</w:t>
      </w:r>
      <w:r w:rsidR="00E67D40" w:rsidRPr="00BC0121">
        <w:t xml:space="preserve">, </w:t>
      </w:r>
      <w:r w:rsidR="006208C6" w:rsidRPr="00BC0121">
        <w:t xml:space="preserve">and </w:t>
      </w:r>
      <w:r w:rsidRPr="00BC0121">
        <w:t xml:space="preserve">PPS performance data </w:t>
      </w:r>
      <w:r w:rsidR="006208C6" w:rsidRPr="00BC0121">
        <w:t xml:space="preserve">may be as well improved to better estimate the site vulnerability. In fact, </w:t>
      </w:r>
      <w:r w:rsidR="00E67D40" w:rsidRPr="00BC0121">
        <w:t xml:space="preserve">baseline literature </w:t>
      </w:r>
      <w:r w:rsidR="006208C6" w:rsidRPr="00BC0121">
        <w:t xml:space="preserve">PPS data </w:t>
      </w:r>
      <w:r w:rsidRPr="00BC0121">
        <w:t xml:space="preserve">were </w:t>
      </w:r>
      <w:r w:rsidR="00E67D40" w:rsidRPr="00BC0121">
        <w:t>adopted in this study</w:t>
      </w:r>
      <w:r w:rsidRPr="00BC0121">
        <w:t xml:space="preserve">, whilst a tailored PPS assessment for the specific context may lead to a better performance </w:t>
      </w:r>
      <w:r w:rsidR="006208C6" w:rsidRPr="00BC0121">
        <w:t xml:space="preserve">analysis </w:t>
      </w:r>
      <w:r w:rsidRPr="00BC0121">
        <w:t>of the protections.</w:t>
      </w:r>
    </w:p>
    <w:p w14:paraId="39398A58" w14:textId="77777777" w:rsidR="00364B9C" w:rsidRPr="00BC0121" w:rsidRDefault="00364B9C" w:rsidP="00364B9C">
      <w:pPr>
        <w:pStyle w:val="CETHeading1"/>
        <w:tabs>
          <w:tab w:val="num" w:pos="360"/>
        </w:tabs>
      </w:pPr>
      <w:r w:rsidRPr="00BC0121">
        <w:lastRenderedPageBreak/>
        <w:t>Conclusions and future works</w:t>
      </w:r>
    </w:p>
    <w:p w14:paraId="77177555" w14:textId="77777777" w:rsidR="00520BCD" w:rsidRPr="00BC0121" w:rsidRDefault="002742C7" w:rsidP="00240195">
      <w:pPr>
        <w:pStyle w:val="CETBodytext"/>
      </w:pPr>
      <w:r w:rsidRPr="00BC0121">
        <w:t xml:space="preserve">In this work, </w:t>
      </w:r>
      <w:r w:rsidR="00B06293" w:rsidRPr="00BC0121">
        <w:t>an interdisciplinary approach to security sc</w:t>
      </w:r>
      <w:r w:rsidR="004F52F1" w:rsidRPr="00BC0121">
        <w:t>enarios</w:t>
      </w:r>
      <w:r w:rsidR="00B06293" w:rsidRPr="00BC0121">
        <w:t xml:space="preserve"> </w:t>
      </w:r>
      <w:r w:rsidR="00AE7330" w:rsidRPr="00BC0121">
        <w:t xml:space="preserve">was </w:t>
      </w:r>
      <w:r w:rsidR="00996E64" w:rsidRPr="00BC0121">
        <w:t xml:space="preserve">used for </w:t>
      </w:r>
      <w:r w:rsidR="00520BCD" w:rsidRPr="00BC0121">
        <w:t>an integrated safety-</w:t>
      </w:r>
      <w:r w:rsidR="00996E64" w:rsidRPr="00BC0121">
        <w:t>security risk assessment</w:t>
      </w:r>
      <w:r w:rsidR="00B06293" w:rsidRPr="00BC0121">
        <w:t xml:space="preserve"> with particular focus on the Maghreb</w:t>
      </w:r>
      <w:r w:rsidR="00996E64" w:rsidRPr="00BC0121">
        <w:t xml:space="preserve"> region</w:t>
      </w:r>
      <w:r w:rsidR="00AE7330" w:rsidRPr="00BC0121">
        <w:t>.</w:t>
      </w:r>
      <w:r w:rsidR="004D0596" w:rsidRPr="00BC0121">
        <w:t xml:space="preserve"> </w:t>
      </w:r>
      <w:r w:rsidR="00520BCD" w:rsidRPr="00BC0121">
        <w:t>Qualitative and quantitative techniques were combined in order to apply a simplified</w:t>
      </w:r>
      <w:r w:rsidR="00C31B53" w:rsidRPr="00BC0121">
        <w:t xml:space="preserve"> risk matrix approac</w:t>
      </w:r>
      <w:r w:rsidR="00520BCD" w:rsidRPr="00BC0121">
        <w:t>h</w:t>
      </w:r>
      <w:r w:rsidR="00C31B53" w:rsidRPr="00BC0121">
        <w:t xml:space="preserve">. </w:t>
      </w:r>
    </w:p>
    <w:p w14:paraId="11947BE1" w14:textId="77777777" w:rsidR="006208C6" w:rsidRPr="00BC0121" w:rsidRDefault="009935FA" w:rsidP="00240195">
      <w:pPr>
        <w:pStyle w:val="CETBodytext"/>
      </w:pPr>
      <w:r w:rsidRPr="00BC0121">
        <w:t>The results show the high criticality of security scenarios</w:t>
      </w:r>
      <w:r w:rsidR="00520BCD" w:rsidRPr="00BC0121">
        <w:t xml:space="preserve"> affecting chemical and process facilities operating</w:t>
      </w:r>
      <w:r w:rsidRPr="00BC0121">
        <w:t xml:space="preserve"> in the Maghreb area. The </w:t>
      </w:r>
      <w:r w:rsidR="00927B3A" w:rsidRPr="00BC0121">
        <w:t xml:space="preserve">improvement of PPS performance </w:t>
      </w:r>
      <w:r w:rsidR="00520BCD" w:rsidRPr="00BC0121">
        <w:t xml:space="preserve">and, at the same time, gathering specific performance data for the PPS </w:t>
      </w:r>
      <w:r w:rsidR="00927B3A" w:rsidRPr="00BC0121">
        <w:t>is</w:t>
      </w:r>
      <w:r w:rsidR="00E355FA" w:rsidRPr="00BC0121">
        <w:t xml:space="preserve"> </w:t>
      </w:r>
      <w:r w:rsidR="00520BCD" w:rsidRPr="00BC0121">
        <w:t>of utmost importance</w:t>
      </w:r>
      <w:r w:rsidR="00927B3A" w:rsidRPr="00BC0121">
        <w:t>, given that both an external and internal attack scenario fall under the same attack frequency category.</w:t>
      </w:r>
      <w:r w:rsidR="00A57682" w:rsidRPr="00BC0121">
        <w:t xml:space="preserve"> </w:t>
      </w:r>
    </w:p>
    <w:p w14:paraId="026D4958" w14:textId="374DF131" w:rsidR="00631508" w:rsidRPr="00BC0121" w:rsidRDefault="001109D8" w:rsidP="00240195">
      <w:pPr>
        <w:pStyle w:val="CETBodytext"/>
      </w:pPr>
      <w:r w:rsidRPr="00BC0121">
        <w:t xml:space="preserve">Future works are devoted to the improvement of the current approach by means of a systematic likelihood and vulnerability assessment. Moreover, </w:t>
      </w:r>
      <w:r w:rsidR="00A9504D" w:rsidRPr="00BC0121">
        <w:t>other risk assessment metrics</w:t>
      </w:r>
      <w:r w:rsidRPr="00BC0121">
        <w:t xml:space="preserve"> may be adopted. For instance, </w:t>
      </w:r>
      <w:r w:rsidR="00996E64" w:rsidRPr="00BC0121">
        <w:t>a specific GIS (</w:t>
      </w:r>
      <w:r w:rsidR="00950DCF" w:rsidRPr="00950DCF">
        <w:t>Geographic Information System</w:t>
      </w:r>
      <w:r w:rsidR="00996E64" w:rsidRPr="00BC0121">
        <w:t xml:space="preserve">) </w:t>
      </w:r>
      <w:r w:rsidR="00E355FA" w:rsidRPr="00BC0121">
        <w:t xml:space="preserve">tool </w:t>
      </w:r>
      <w:r w:rsidR="00520BCD" w:rsidRPr="00BC0121">
        <w:t xml:space="preserve">is under development </w:t>
      </w:r>
      <w:r w:rsidR="00E355FA" w:rsidRPr="00BC0121">
        <w:t>to allow for the visualization and georeferencing of the results, obtaining security vulnerability and risk maps in the areas considered in the analysis.</w:t>
      </w:r>
      <w:r w:rsidR="00A57682" w:rsidRPr="00BC0121">
        <w:t xml:space="preserve"> </w:t>
      </w:r>
      <w:r w:rsidR="00240195" w:rsidRPr="00BC0121">
        <w:t xml:space="preserve">In conclusion, the present contribution shows the effectiveness of using an interdisciplinary approach </w:t>
      </w:r>
      <w:r w:rsidR="00520BCD" w:rsidRPr="00BC0121">
        <w:t>towards the complex integration of safety and security aspects.</w:t>
      </w:r>
    </w:p>
    <w:p w14:paraId="35A370B0" w14:textId="5A342353" w:rsidR="00631508" w:rsidRPr="00BC0121" w:rsidRDefault="00631508" w:rsidP="00631508">
      <w:pPr>
        <w:pStyle w:val="CETAcknowledgementstitle"/>
      </w:pPr>
      <w:r w:rsidRPr="00BC0121">
        <w:t>Acknowledgments</w:t>
      </w:r>
    </w:p>
    <w:p w14:paraId="4E822E89" w14:textId="7F2E2847" w:rsidR="00782381" w:rsidRPr="00BC0121" w:rsidRDefault="00631508" w:rsidP="00240195">
      <w:pPr>
        <w:pStyle w:val="CETBodytext"/>
      </w:pPr>
      <w:r w:rsidRPr="00BC0121">
        <w:t>Support by the University of Pisa through the “</w:t>
      </w:r>
      <w:proofErr w:type="spellStart"/>
      <w:r w:rsidRPr="00BC0121">
        <w:t>Progetti</w:t>
      </w:r>
      <w:proofErr w:type="spellEnd"/>
      <w:r w:rsidRPr="00BC0121">
        <w:t xml:space="preserve"> di Ricerca</w:t>
      </w:r>
      <w:r w:rsidR="00B923AE" w:rsidRPr="00BC0121">
        <w:t xml:space="preserve"> </w:t>
      </w:r>
      <w:r w:rsidRPr="00BC0121">
        <w:t>di Ateneo PRA 2020-2021” funding program is gratefully acknowledged.</w:t>
      </w:r>
    </w:p>
    <w:p w14:paraId="1739E9E3" w14:textId="77777777" w:rsidR="00364B9C" w:rsidRPr="00BC0121" w:rsidRDefault="00364B9C" w:rsidP="00364B9C">
      <w:pPr>
        <w:pStyle w:val="CETHeading1"/>
        <w:numPr>
          <w:ilvl w:val="0"/>
          <w:numId w:val="0"/>
        </w:numPr>
      </w:pPr>
      <w:r w:rsidRPr="00BC0121">
        <w:t>References</w:t>
      </w:r>
    </w:p>
    <w:p w14:paraId="2FE4AD99" w14:textId="77777777" w:rsidR="007E7EFB" w:rsidRDefault="007E7EFB" w:rsidP="007E7EFB">
      <w:pPr>
        <w:pStyle w:val="CETReferencetext"/>
      </w:pPr>
      <w:r>
        <w:t>American Petroleum Institute (API), 2013, ANSI/API Standard 780 – Security Risk Assessment Methodology for the Petroleum and Petrochemical Industry, American Petroleum Institute, Washington, District of Columbia, USA.</w:t>
      </w:r>
    </w:p>
    <w:p w14:paraId="72E49A59" w14:textId="77777777" w:rsidR="007E7EFB" w:rsidRDefault="007E7EFB" w:rsidP="007E7EFB">
      <w:pPr>
        <w:pStyle w:val="CETReferencetext"/>
      </w:pPr>
      <w:r>
        <w:t>Argenti F., Landucci G., 2016, Advanced attractiveness assessment of process facilities with respect to malevolent external attacks, Chemical Engineering Transactions, 53, 133–138.</w:t>
      </w:r>
    </w:p>
    <w:p w14:paraId="47024B62" w14:textId="77777777" w:rsidR="007E7EFB" w:rsidRDefault="007E7EFB" w:rsidP="007E7EFB">
      <w:pPr>
        <w:pStyle w:val="CETReferencetext"/>
      </w:pPr>
      <w:r>
        <w:t>Baybutt P., Reddy V., 2003, Strategies for protecting process plants against terrorism, sabotage and other criminal acts, Homeland Defence Journal, 2, 1.</w:t>
      </w:r>
    </w:p>
    <w:p w14:paraId="3E12BC9A" w14:textId="77777777" w:rsidR="007E7EFB" w:rsidRDefault="007E7EFB" w:rsidP="007E7EFB">
      <w:pPr>
        <w:pStyle w:val="CETReferencetext"/>
      </w:pPr>
      <w:r>
        <w:t>Casson Moreno V., Reniers G., Salzano E., Cozzani V., 2018, Analysis of physical and cyber security-related events in the chemical and process industry, Process Safety and Environmental Protection, 116, 621–631.</w:t>
      </w:r>
    </w:p>
    <w:p w14:paraId="6FDA3D27" w14:textId="77777777" w:rsidR="007E7EFB" w:rsidRDefault="007E7EFB" w:rsidP="007E7EFB">
      <w:pPr>
        <w:pStyle w:val="CETReferencetext"/>
      </w:pPr>
      <w:proofErr w:type="spellStart"/>
      <w:r>
        <w:t>Center</w:t>
      </w:r>
      <w:proofErr w:type="spellEnd"/>
      <w:r>
        <w:t xml:space="preserve"> for Chemical Process Safety (CCPS), 2003, Guidelines for Analysing and Managing the Security Vulnerabilities of Fixed Chemical Sites, American Institute of Chemical Engineers, CCPS, New York, USA.</w:t>
      </w:r>
    </w:p>
    <w:p w14:paraId="2268FFE0" w14:textId="77777777" w:rsidR="007E7EFB" w:rsidRDefault="007E7EFB" w:rsidP="007E7EFB">
      <w:pPr>
        <w:pStyle w:val="CETReferencetext"/>
      </w:pPr>
      <w:r>
        <w:t>Chen C., Reniers G., Khakzad N., 2019, Integrating safety and security resources to protect chemical industrial parks from man-made domino effects: A dynamic graph approach, Reliability Engineering and System Safety, 191, 106470.</w:t>
      </w:r>
    </w:p>
    <w:p w14:paraId="312CEDD9" w14:textId="77777777" w:rsidR="007E7EFB" w:rsidRDefault="007E7EFB" w:rsidP="007E7EFB">
      <w:pPr>
        <w:pStyle w:val="CETReferencetext"/>
      </w:pPr>
      <w:r>
        <w:t>Garcia M. L., 2008, The Design and Evaluation of Physical Protection Systems, Butterworth-Heinemann, Newtown, Massachusetts, USA.</w:t>
      </w:r>
    </w:p>
    <w:p w14:paraId="23AD5D86" w14:textId="77777777" w:rsidR="007E7EFB" w:rsidRDefault="007E7EFB" w:rsidP="007E7EFB">
      <w:pPr>
        <w:pStyle w:val="CETReferencetext"/>
      </w:pPr>
      <w:proofErr w:type="spellStart"/>
      <w:r>
        <w:t>Iaiani</w:t>
      </w:r>
      <w:proofErr w:type="spellEnd"/>
      <w:r>
        <w:t xml:space="preserve"> M., Casson Moreno V., Reniers G., Tugnoli A., Cozzani V., 2021, Analysis of events involving the intentional release of hazardous substances from industrial facilities, Reliability Engineering and System Safety, 212, 107593.</w:t>
      </w:r>
    </w:p>
    <w:p w14:paraId="4CE9A04A" w14:textId="77777777" w:rsidR="007E7EFB" w:rsidRDefault="007E7EFB" w:rsidP="007E7EFB">
      <w:pPr>
        <w:pStyle w:val="CETReferencetext"/>
      </w:pPr>
      <w:r>
        <w:t xml:space="preserve">Italian Ministry of Public Works, 2001, </w:t>
      </w:r>
      <w:proofErr w:type="spellStart"/>
      <w:r>
        <w:t>Requisiti</w:t>
      </w:r>
      <w:proofErr w:type="spellEnd"/>
      <w:r>
        <w:t xml:space="preserve"> </w:t>
      </w:r>
      <w:proofErr w:type="spellStart"/>
      <w:r>
        <w:t>minimi</w:t>
      </w:r>
      <w:proofErr w:type="spellEnd"/>
      <w:r>
        <w:t xml:space="preserve"> di </w:t>
      </w:r>
      <w:proofErr w:type="spellStart"/>
      <w:r>
        <w:t>sicurezza</w:t>
      </w:r>
      <w:proofErr w:type="spellEnd"/>
      <w:r>
        <w:t xml:space="preserve"> in </w:t>
      </w:r>
      <w:proofErr w:type="spellStart"/>
      <w:r>
        <w:t>materia</w:t>
      </w:r>
      <w:proofErr w:type="spellEnd"/>
      <w:r>
        <w:t xml:space="preserve"> di </w:t>
      </w:r>
      <w:proofErr w:type="spellStart"/>
      <w:r>
        <w:t>pianificazione</w:t>
      </w:r>
      <w:proofErr w:type="spellEnd"/>
      <w:r>
        <w:t xml:space="preserve"> </w:t>
      </w:r>
      <w:proofErr w:type="spellStart"/>
      <w:r>
        <w:t>urbanistica</w:t>
      </w:r>
      <w:proofErr w:type="spellEnd"/>
      <w:r>
        <w:t xml:space="preserve"> e </w:t>
      </w:r>
      <w:proofErr w:type="spellStart"/>
      <w:r>
        <w:t>territoriale</w:t>
      </w:r>
      <w:proofErr w:type="spellEnd"/>
      <w:r>
        <w:t xml:space="preserve"> per le zone </w:t>
      </w:r>
      <w:proofErr w:type="spellStart"/>
      <w:r>
        <w:t>interessate</w:t>
      </w:r>
      <w:proofErr w:type="spellEnd"/>
      <w:r>
        <w:t xml:space="preserve"> da </w:t>
      </w:r>
      <w:proofErr w:type="spellStart"/>
      <w:r>
        <w:t>stabilimenti</w:t>
      </w:r>
      <w:proofErr w:type="spellEnd"/>
      <w:r>
        <w:t xml:space="preserve"> a </w:t>
      </w:r>
      <w:proofErr w:type="spellStart"/>
      <w:r>
        <w:t>rischio</w:t>
      </w:r>
      <w:proofErr w:type="spellEnd"/>
      <w:r>
        <w:t xml:space="preserve"> di </w:t>
      </w:r>
      <w:proofErr w:type="spellStart"/>
      <w:r>
        <w:t>incidente</w:t>
      </w:r>
      <w:proofErr w:type="spellEnd"/>
      <w:r>
        <w:t xml:space="preserve"> </w:t>
      </w:r>
      <w:proofErr w:type="spellStart"/>
      <w:r>
        <w:t>rilevante</w:t>
      </w:r>
      <w:proofErr w:type="spellEnd"/>
      <w:r>
        <w:t>, DM 9 May 2001</w:t>
      </w:r>
    </w:p>
    <w:p w14:paraId="39B72314" w14:textId="77777777" w:rsidR="007E7EFB" w:rsidRDefault="007E7EFB" w:rsidP="007E7EFB">
      <w:pPr>
        <w:pStyle w:val="CETReferencetext"/>
      </w:pPr>
      <w:r>
        <w:t>Landucci G., Cozzani V., Birk A.M., 2013, Heat radiation effects, Chapter in: G Reniers, V Cozzani (Ed.), Domino effect in the process industries: modelling, prevention and managing, Elsevier, Amsterdam, the Netherlands, 70–115.</w:t>
      </w:r>
    </w:p>
    <w:p w14:paraId="41C99B32" w14:textId="77777777" w:rsidR="007E7EFB" w:rsidRDefault="007E7EFB" w:rsidP="007E7EFB">
      <w:pPr>
        <w:pStyle w:val="CETReferencetext"/>
      </w:pPr>
      <w:r>
        <w:t xml:space="preserve">Landucci G., Pupillo A., </w:t>
      </w:r>
      <w:proofErr w:type="spellStart"/>
      <w:r>
        <w:t>Mencaroni</w:t>
      </w:r>
      <w:proofErr w:type="spellEnd"/>
      <w:r>
        <w:t xml:space="preserve"> A., Pannocchia G., 2018, Quantitative consequence assessment of industrial accidents supported by dynamic process simulators, Chemical Engineering Transactions, 67, 139-144. </w:t>
      </w:r>
    </w:p>
    <w:p w14:paraId="6E539A56" w14:textId="77777777" w:rsidR="007E7EFB" w:rsidRDefault="007E7EFB" w:rsidP="007E7EFB">
      <w:pPr>
        <w:pStyle w:val="CETReferencetext"/>
      </w:pPr>
      <w:r>
        <w:t xml:space="preserve">Martinez L., </w:t>
      </w:r>
      <w:proofErr w:type="spellStart"/>
      <w:r>
        <w:t>Boserup</w:t>
      </w:r>
      <w:proofErr w:type="spellEnd"/>
      <w:r>
        <w:t xml:space="preserve"> R.A., 2017, Beyond Western Sahara, the Sahel-Maghreb Axis Looms Large, Chapter in: R Ojeda-García, I Fernández-Molina, V </w:t>
      </w:r>
      <w:proofErr w:type="spellStart"/>
      <w:r>
        <w:t>Veguilla</w:t>
      </w:r>
      <w:proofErr w:type="spellEnd"/>
      <w:r>
        <w:t xml:space="preserve"> (Ed.), Global, Regional and Local Dimensions of Western Sahara’s Protracted Decolonization, Palgrave Macmillan, New York, USA, 143-163.</w:t>
      </w:r>
    </w:p>
    <w:p w14:paraId="1854D8E5" w14:textId="77777777" w:rsidR="007E7EFB" w:rsidRDefault="007E7EFB" w:rsidP="007E7EFB">
      <w:pPr>
        <w:pStyle w:val="CETReferencetext"/>
      </w:pPr>
      <w:proofErr w:type="spellStart"/>
      <w:r>
        <w:t>Petrone</w:t>
      </w:r>
      <w:proofErr w:type="spellEnd"/>
      <w:r>
        <w:t xml:space="preserve"> A., </w:t>
      </w:r>
      <w:proofErr w:type="spellStart"/>
      <w:r>
        <w:t>Scataglini</w:t>
      </w:r>
      <w:proofErr w:type="spellEnd"/>
      <w:r>
        <w:t xml:space="preserve"> L., Cherubin P., 2011, B.A.R.T (Baseline Risk Assessment Tool): A Step Change in Traditional Risk Assessment Techniques for Process Safety and Asset Integrity Management, SPE Annual Technical Conference and Exhibition, Denver, Colorado, USA</w:t>
      </w:r>
    </w:p>
    <w:p w14:paraId="0A118237" w14:textId="77777777" w:rsidR="007E7EFB" w:rsidRDefault="007E7EFB" w:rsidP="007E7EFB">
      <w:pPr>
        <w:pStyle w:val="CETReferencetext"/>
      </w:pPr>
      <w:proofErr w:type="spellStart"/>
      <w:r>
        <w:t>Tichy</w:t>
      </w:r>
      <w:proofErr w:type="spellEnd"/>
      <w:r>
        <w:t xml:space="preserve"> L., Eichler J., 2018, Terrorist attacks on the energy sector: The case of Al Qaeda and the Islamic state. Studies in Conflict &amp; Terrorism, 41(6), 450–473. </w:t>
      </w:r>
    </w:p>
    <w:p w14:paraId="2394C9B7" w14:textId="5CBD3439" w:rsidR="0038325B" w:rsidRPr="00DD665D" w:rsidRDefault="007E7EFB" w:rsidP="007E7EFB">
      <w:pPr>
        <w:pStyle w:val="CETReferencetext"/>
      </w:pPr>
      <w:r>
        <w:t xml:space="preserve">Van Den Bosh C.J.H., </w:t>
      </w:r>
      <w:proofErr w:type="spellStart"/>
      <w:r>
        <w:t>Weterings</w:t>
      </w:r>
      <w:proofErr w:type="spellEnd"/>
      <w:r>
        <w:t xml:space="preserve"> R.A.P.M., 2005, Methods for the calculation of physical effects (Yellow Book), Committee for the Prevention of Disasters, The Hague, The Netherlands.</w:t>
      </w:r>
    </w:p>
    <w:sectPr w:rsidR="0038325B" w:rsidRPr="00DD665D" w:rsidSect="00C812C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F2AA81" w14:textId="77777777" w:rsidR="00EF52DA" w:rsidRDefault="00EF52DA" w:rsidP="004F5E36">
      <w:r>
        <w:separator/>
      </w:r>
    </w:p>
  </w:endnote>
  <w:endnote w:type="continuationSeparator" w:id="0">
    <w:p w14:paraId="3CF8C621" w14:textId="77777777" w:rsidR="00EF52DA" w:rsidRDefault="00EF52DA"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7ACAF6" w14:textId="77777777" w:rsidR="00EF52DA" w:rsidRDefault="00EF52DA" w:rsidP="004F5E36">
      <w:r>
        <w:separator/>
      </w:r>
    </w:p>
  </w:footnote>
  <w:footnote w:type="continuationSeparator" w:id="0">
    <w:p w14:paraId="20AE10E3" w14:textId="77777777" w:rsidR="00EF52DA" w:rsidRDefault="00EF52DA"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4C061332"/>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8979EF"/>
    <w:multiLevelType w:val="hybridMultilevel"/>
    <w:tmpl w:val="971217D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6"/>
  </w:num>
  <w:num w:numId="20">
    <w:abstractNumId w:val="15"/>
  </w:num>
  <w:num w:numId="21">
    <w:abstractNumId w:val="14"/>
  </w:num>
  <w:num w:numId="22">
    <w:abstractNumId w:val="13"/>
  </w:num>
  <w:num w:numId="23">
    <w:abstractNumId w:val="18"/>
  </w:num>
  <w:num w:numId="24">
    <w:abstractNumId w:val="10"/>
    <w:lvlOverride w:ilvl="0">
      <w:startOverride w:val="4"/>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393C"/>
    <w:rsid w:val="000052FB"/>
    <w:rsid w:val="00005A0D"/>
    <w:rsid w:val="000117CB"/>
    <w:rsid w:val="00011F90"/>
    <w:rsid w:val="00012FC6"/>
    <w:rsid w:val="00014D33"/>
    <w:rsid w:val="000227F8"/>
    <w:rsid w:val="00026DC1"/>
    <w:rsid w:val="0003148D"/>
    <w:rsid w:val="00031EEC"/>
    <w:rsid w:val="00034813"/>
    <w:rsid w:val="000469A8"/>
    <w:rsid w:val="00051566"/>
    <w:rsid w:val="00053E13"/>
    <w:rsid w:val="00062A9A"/>
    <w:rsid w:val="00063236"/>
    <w:rsid w:val="00064349"/>
    <w:rsid w:val="00065058"/>
    <w:rsid w:val="000672F1"/>
    <w:rsid w:val="00072B36"/>
    <w:rsid w:val="00072B5C"/>
    <w:rsid w:val="00080209"/>
    <w:rsid w:val="00083B33"/>
    <w:rsid w:val="00086C39"/>
    <w:rsid w:val="0008731E"/>
    <w:rsid w:val="0008782B"/>
    <w:rsid w:val="00091B31"/>
    <w:rsid w:val="000925DA"/>
    <w:rsid w:val="000943B1"/>
    <w:rsid w:val="000979E1"/>
    <w:rsid w:val="000A03B2"/>
    <w:rsid w:val="000A0432"/>
    <w:rsid w:val="000A0C42"/>
    <w:rsid w:val="000A35E1"/>
    <w:rsid w:val="000B0DB1"/>
    <w:rsid w:val="000B7CE6"/>
    <w:rsid w:val="000C1FA0"/>
    <w:rsid w:val="000C341E"/>
    <w:rsid w:val="000D0268"/>
    <w:rsid w:val="000D055D"/>
    <w:rsid w:val="000D34BE"/>
    <w:rsid w:val="000D4760"/>
    <w:rsid w:val="000D592E"/>
    <w:rsid w:val="000E102F"/>
    <w:rsid w:val="000E212C"/>
    <w:rsid w:val="000E264C"/>
    <w:rsid w:val="000E36F1"/>
    <w:rsid w:val="000E3A73"/>
    <w:rsid w:val="000E414A"/>
    <w:rsid w:val="000E64CD"/>
    <w:rsid w:val="000F093C"/>
    <w:rsid w:val="000F4CF4"/>
    <w:rsid w:val="000F787B"/>
    <w:rsid w:val="00100858"/>
    <w:rsid w:val="001109D8"/>
    <w:rsid w:val="00111320"/>
    <w:rsid w:val="001116C8"/>
    <w:rsid w:val="00111BAC"/>
    <w:rsid w:val="00113F0E"/>
    <w:rsid w:val="00115603"/>
    <w:rsid w:val="0011611A"/>
    <w:rsid w:val="0012091F"/>
    <w:rsid w:val="001225D8"/>
    <w:rsid w:val="00126BC2"/>
    <w:rsid w:val="001308B6"/>
    <w:rsid w:val="00130CE0"/>
    <w:rsid w:val="0013121F"/>
    <w:rsid w:val="00131FE6"/>
    <w:rsid w:val="00132564"/>
    <w:rsid w:val="0013263F"/>
    <w:rsid w:val="001331DF"/>
    <w:rsid w:val="00134DE4"/>
    <w:rsid w:val="0013511B"/>
    <w:rsid w:val="00135815"/>
    <w:rsid w:val="001368C5"/>
    <w:rsid w:val="0014034D"/>
    <w:rsid w:val="001415DF"/>
    <w:rsid w:val="0014217A"/>
    <w:rsid w:val="00144D16"/>
    <w:rsid w:val="00147A5E"/>
    <w:rsid w:val="00150E59"/>
    <w:rsid w:val="00152DE3"/>
    <w:rsid w:val="0015433C"/>
    <w:rsid w:val="0015628C"/>
    <w:rsid w:val="00164CF9"/>
    <w:rsid w:val="001667A6"/>
    <w:rsid w:val="00166DF9"/>
    <w:rsid w:val="0017382D"/>
    <w:rsid w:val="00173D55"/>
    <w:rsid w:val="00184AD6"/>
    <w:rsid w:val="001869C4"/>
    <w:rsid w:val="00192A82"/>
    <w:rsid w:val="00192F87"/>
    <w:rsid w:val="00193BA6"/>
    <w:rsid w:val="00196C24"/>
    <w:rsid w:val="001A4AF7"/>
    <w:rsid w:val="001A70A4"/>
    <w:rsid w:val="001A7F5F"/>
    <w:rsid w:val="001B0349"/>
    <w:rsid w:val="001B03D3"/>
    <w:rsid w:val="001B13C6"/>
    <w:rsid w:val="001B15E6"/>
    <w:rsid w:val="001B1E93"/>
    <w:rsid w:val="001B4D5F"/>
    <w:rsid w:val="001B65C1"/>
    <w:rsid w:val="001B7777"/>
    <w:rsid w:val="001C04F0"/>
    <w:rsid w:val="001C17DE"/>
    <w:rsid w:val="001C1E2A"/>
    <w:rsid w:val="001C684B"/>
    <w:rsid w:val="001C7458"/>
    <w:rsid w:val="001C7853"/>
    <w:rsid w:val="001D06EE"/>
    <w:rsid w:val="001D0CFB"/>
    <w:rsid w:val="001D53FC"/>
    <w:rsid w:val="001D642C"/>
    <w:rsid w:val="001D6B9B"/>
    <w:rsid w:val="001D7FD0"/>
    <w:rsid w:val="001E4B09"/>
    <w:rsid w:val="001E4B5C"/>
    <w:rsid w:val="001F1DB9"/>
    <w:rsid w:val="001F2057"/>
    <w:rsid w:val="001F3AE7"/>
    <w:rsid w:val="001F42A5"/>
    <w:rsid w:val="001F5F6E"/>
    <w:rsid w:val="001F6800"/>
    <w:rsid w:val="001F6E80"/>
    <w:rsid w:val="001F7B9D"/>
    <w:rsid w:val="00201C93"/>
    <w:rsid w:val="00203072"/>
    <w:rsid w:val="00204992"/>
    <w:rsid w:val="00205EF9"/>
    <w:rsid w:val="00214CF6"/>
    <w:rsid w:val="00217E81"/>
    <w:rsid w:val="00221933"/>
    <w:rsid w:val="0022249F"/>
    <w:rsid w:val="002224B4"/>
    <w:rsid w:val="00222E52"/>
    <w:rsid w:val="002250FE"/>
    <w:rsid w:val="00225FD3"/>
    <w:rsid w:val="00226766"/>
    <w:rsid w:val="002277E9"/>
    <w:rsid w:val="0023468C"/>
    <w:rsid w:val="00236FD3"/>
    <w:rsid w:val="00240195"/>
    <w:rsid w:val="002407AB"/>
    <w:rsid w:val="002447EF"/>
    <w:rsid w:val="00250515"/>
    <w:rsid w:val="0025077D"/>
    <w:rsid w:val="00251550"/>
    <w:rsid w:val="00252265"/>
    <w:rsid w:val="002539C4"/>
    <w:rsid w:val="00254680"/>
    <w:rsid w:val="00254813"/>
    <w:rsid w:val="00256481"/>
    <w:rsid w:val="00257414"/>
    <w:rsid w:val="00257D0F"/>
    <w:rsid w:val="0026317D"/>
    <w:rsid w:val="00263B05"/>
    <w:rsid w:val="0026574D"/>
    <w:rsid w:val="00266F40"/>
    <w:rsid w:val="0027221A"/>
    <w:rsid w:val="00273AC4"/>
    <w:rsid w:val="002742C7"/>
    <w:rsid w:val="00274C86"/>
    <w:rsid w:val="00275B61"/>
    <w:rsid w:val="00280675"/>
    <w:rsid w:val="00280FAF"/>
    <w:rsid w:val="00282656"/>
    <w:rsid w:val="00283260"/>
    <w:rsid w:val="00296B83"/>
    <w:rsid w:val="002978F5"/>
    <w:rsid w:val="002A08A1"/>
    <w:rsid w:val="002A4446"/>
    <w:rsid w:val="002A4933"/>
    <w:rsid w:val="002B2D4A"/>
    <w:rsid w:val="002B4015"/>
    <w:rsid w:val="002B4D06"/>
    <w:rsid w:val="002B78CE"/>
    <w:rsid w:val="002C154D"/>
    <w:rsid w:val="002C1FDF"/>
    <w:rsid w:val="002C2FB6"/>
    <w:rsid w:val="002C322D"/>
    <w:rsid w:val="002C67BD"/>
    <w:rsid w:val="002D2994"/>
    <w:rsid w:val="002D3A70"/>
    <w:rsid w:val="002D3E87"/>
    <w:rsid w:val="002E491E"/>
    <w:rsid w:val="002E5FA7"/>
    <w:rsid w:val="002F3309"/>
    <w:rsid w:val="003008CE"/>
    <w:rsid w:val="003009B7"/>
    <w:rsid w:val="00300E56"/>
    <w:rsid w:val="00303E0A"/>
    <w:rsid w:val="0030453E"/>
    <w:rsid w:val="0030469C"/>
    <w:rsid w:val="00307055"/>
    <w:rsid w:val="003106F2"/>
    <w:rsid w:val="003155F0"/>
    <w:rsid w:val="00315FED"/>
    <w:rsid w:val="00321CA6"/>
    <w:rsid w:val="003230C2"/>
    <w:rsid w:val="00323763"/>
    <w:rsid w:val="00323A08"/>
    <w:rsid w:val="00330209"/>
    <w:rsid w:val="00333AF5"/>
    <w:rsid w:val="003340EC"/>
    <w:rsid w:val="00334C09"/>
    <w:rsid w:val="00337E77"/>
    <w:rsid w:val="00342819"/>
    <w:rsid w:val="003517AC"/>
    <w:rsid w:val="00360651"/>
    <w:rsid w:val="00362EF6"/>
    <w:rsid w:val="00364B9C"/>
    <w:rsid w:val="00364EA6"/>
    <w:rsid w:val="003678FF"/>
    <w:rsid w:val="003723D4"/>
    <w:rsid w:val="00374CFC"/>
    <w:rsid w:val="00380D78"/>
    <w:rsid w:val="00381905"/>
    <w:rsid w:val="00382CF4"/>
    <w:rsid w:val="0038325B"/>
    <w:rsid w:val="0038408C"/>
    <w:rsid w:val="00384CC8"/>
    <w:rsid w:val="00384ED0"/>
    <w:rsid w:val="003871FD"/>
    <w:rsid w:val="00390913"/>
    <w:rsid w:val="003910CE"/>
    <w:rsid w:val="00397A2B"/>
    <w:rsid w:val="003A0FF7"/>
    <w:rsid w:val="003A1E30"/>
    <w:rsid w:val="003A2829"/>
    <w:rsid w:val="003A3179"/>
    <w:rsid w:val="003A37F3"/>
    <w:rsid w:val="003A7D1C"/>
    <w:rsid w:val="003B1C23"/>
    <w:rsid w:val="003B1CE4"/>
    <w:rsid w:val="003B2256"/>
    <w:rsid w:val="003B304B"/>
    <w:rsid w:val="003B3146"/>
    <w:rsid w:val="003B7DB5"/>
    <w:rsid w:val="003C2F11"/>
    <w:rsid w:val="003C3DD4"/>
    <w:rsid w:val="003C463C"/>
    <w:rsid w:val="003D0B5A"/>
    <w:rsid w:val="003D16C8"/>
    <w:rsid w:val="003D3BA3"/>
    <w:rsid w:val="003D4719"/>
    <w:rsid w:val="003D66C9"/>
    <w:rsid w:val="003D78AB"/>
    <w:rsid w:val="003E0672"/>
    <w:rsid w:val="003E2913"/>
    <w:rsid w:val="003E3C52"/>
    <w:rsid w:val="003E4513"/>
    <w:rsid w:val="003E5D34"/>
    <w:rsid w:val="003F015E"/>
    <w:rsid w:val="003F1DB1"/>
    <w:rsid w:val="003F7560"/>
    <w:rsid w:val="003F759F"/>
    <w:rsid w:val="003F7A0E"/>
    <w:rsid w:val="00400414"/>
    <w:rsid w:val="00410547"/>
    <w:rsid w:val="00410765"/>
    <w:rsid w:val="004117A1"/>
    <w:rsid w:val="00413137"/>
    <w:rsid w:val="00414430"/>
    <w:rsid w:val="0041446B"/>
    <w:rsid w:val="00416066"/>
    <w:rsid w:val="00417A5C"/>
    <w:rsid w:val="004212AA"/>
    <w:rsid w:val="004237FF"/>
    <w:rsid w:val="004342F1"/>
    <w:rsid w:val="00435F5B"/>
    <w:rsid w:val="00440E9D"/>
    <w:rsid w:val="0044329C"/>
    <w:rsid w:val="00446351"/>
    <w:rsid w:val="00446E5C"/>
    <w:rsid w:val="00451041"/>
    <w:rsid w:val="00453B0E"/>
    <w:rsid w:val="00453C3B"/>
    <w:rsid w:val="00453E24"/>
    <w:rsid w:val="00457456"/>
    <w:rsid w:val="004575C3"/>
    <w:rsid w:val="004577FE"/>
    <w:rsid w:val="00457B9C"/>
    <w:rsid w:val="0046164A"/>
    <w:rsid w:val="00461F1B"/>
    <w:rsid w:val="004628D2"/>
    <w:rsid w:val="00462D1D"/>
    <w:rsid w:val="00462D39"/>
    <w:rsid w:val="00462DCD"/>
    <w:rsid w:val="0046364A"/>
    <w:rsid w:val="004648AD"/>
    <w:rsid w:val="00465816"/>
    <w:rsid w:val="0046630A"/>
    <w:rsid w:val="004703A9"/>
    <w:rsid w:val="00472EDA"/>
    <w:rsid w:val="00473235"/>
    <w:rsid w:val="004746EE"/>
    <w:rsid w:val="004760DE"/>
    <w:rsid w:val="004763D7"/>
    <w:rsid w:val="00484FAF"/>
    <w:rsid w:val="00486BD4"/>
    <w:rsid w:val="00490C52"/>
    <w:rsid w:val="00497AE2"/>
    <w:rsid w:val="004A003E"/>
    <w:rsid w:val="004A004E"/>
    <w:rsid w:val="004A24CF"/>
    <w:rsid w:val="004B1670"/>
    <w:rsid w:val="004B1ED5"/>
    <w:rsid w:val="004B6241"/>
    <w:rsid w:val="004B79F9"/>
    <w:rsid w:val="004C1E5C"/>
    <w:rsid w:val="004C3D1D"/>
    <w:rsid w:val="004C5440"/>
    <w:rsid w:val="004C6A75"/>
    <w:rsid w:val="004C732F"/>
    <w:rsid w:val="004C7516"/>
    <w:rsid w:val="004C7913"/>
    <w:rsid w:val="004D0485"/>
    <w:rsid w:val="004D0596"/>
    <w:rsid w:val="004D0CE4"/>
    <w:rsid w:val="004E06C2"/>
    <w:rsid w:val="004E4B49"/>
    <w:rsid w:val="004E4DD6"/>
    <w:rsid w:val="004E5AF8"/>
    <w:rsid w:val="004E662A"/>
    <w:rsid w:val="004E6F48"/>
    <w:rsid w:val="004F0345"/>
    <w:rsid w:val="004F0BF0"/>
    <w:rsid w:val="004F0F97"/>
    <w:rsid w:val="004F52F1"/>
    <w:rsid w:val="004F5E36"/>
    <w:rsid w:val="004F5ECF"/>
    <w:rsid w:val="00501131"/>
    <w:rsid w:val="0050234D"/>
    <w:rsid w:val="00502B4F"/>
    <w:rsid w:val="00503A49"/>
    <w:rsid w:val="005045E1"/>
    <w:rsid w:val="00507B47"/>
    <w:rsid w:val="00507BEF"/>
    <w:rsid w:val="00507CC9"/>
    <w:rsid w:val="005119A5"/>
    <w:rsid w:val="00515A55"/>
    <w:rsid w:val="00520A4F"/>
    <w:rsid w:val="00520BCD"/>
    <w:rsid w:val="005211E2"/>
    <w:rsid w:val="00523008"/>
    <w:rsid w:val="005260FC"/>
    <w:rsid w:val="005269BB"/>
    <w:rsid w:val="005278B7"/>
    <w:rsid w:val="00530876"/>
    <w:rsid w:val="00532016"/>
    <w:rsid w:val="005346C8"/>
    <w:rsid w:val="005359DE"/>
    <w:rsid w:val="00535B1F"/>
    <w:rsid w:val="00540492"/>
    <w:rsid w:val="00543E7D"/>
    <w:rsid w:val="00544F41"/>
    <w:rsid w:val="00546B14"/>
    <w:rsid w:val="0054764B"/>
    <w:rsid w:val="00547A68"/>
    <w:rsid w:val="005509F3"/>
    <w:rsid w:val="005531C9"/>
    <w:rsid w:val="00557569"/>
    <w:rsid w:val="0056190F"/>
    <w:rsid w:val="005667C0"/>
    <w:rsid w:val="00566A02"/>
    <w:rsid w:val="00570C43"/>
    <w:rsid w:val="00572705"/>
    <w:rsid w:val="00574814"/>
    <w:rsid w:val="00574B17"/>
    <w:rsid w:val="00576C02"/>
    <w:rsid w:val="00580498"/>
    <w:rsid w:val="0058069F"/>
    <w:rsid w:val="0058520A"/>
    <w:rsid w:val="00587622"/>
    <w:rsid w:val="00593DA3"/>
    <w:rsid w:val="00597305"/>
    <w:rsid w:val="00597446"/>
    <w:rsid w:val="005A26C9"/>
    <w:rsid w:val="005A2A71"/>
    <w:rsid w:val="005A4165"/>
    <w:rsid w:val="005A626E"/>
    <w:rsid w:val="005B2110"/>
    <w:rsid w:val="005B61E6"/>
    <w:rsid w:val="005B695E"/>
    <w:rsid w:val="005C77E1"/>
    <w:rsid w:val="005D1A79"/>
    <w:rsid w:val="005D1AD0"/>
    <w:rsid w:val="005D22D4"/>
    <w:rsid w:val="005D668A"/>
    <w:rsid w:val="005D6A2F"/>
    <w:rsid w:val="005E1A82"/>
    <w:rsid w:val="005E21CE"/>
    <w:rsid w:val="005E247D"/>
    <w:rsid w:val="005E25CF"/>
    <w:rsid w:val="005E52A2"/>
    <w:rsid w:val="005E5B9A"/>
    <w:rsid w:val="005E63B3"/>
    <w:rsid w:val="005E775C"/>
    <w:rsid w:val="005E794C"/>
    <w:rsid w:val="005F0A28"/>
    <w:rsid w:val="005F0E5E"/>
    <w:rsid w:val="005F15B8"/>
    <w:rsid w:val="005F36E7"/>
    <w:rsid w:val="005F3D1F"/>
    <w:rsid w:val="005F5537"/>
    <w:rsid w:val="005F55AA"/>
    <w:rsid w:val="005F5F4C"/>
    <w:rsid w:val="005F6378"/>
    <w:rsid w:val="00600535"/>
    <w:rsid w:val="0060203A"/>
    <w:rsid w:val="0060495E"/>
    <w:rsid w:val="00605686"/>
    <w:rsid w:val="006069EC"/>
    <w:rsid w:val="00610CD6"/>
    <w:rsid w:val="00611787"/>
    <w:rsid w:val="006166BB"/>
    <w:rsid w:val="006208C6"/>
    <w:rsid w:val="00620DEE"/>
    <w:rsid w:val="00621F92"/>
    <w:rsid w:val="0062280A"/>
    <w:rsid w:val="00625639"/>
    <w:rsid w:val="00630011"/>
    <w:rsid w:val="00630424"/>
    <w:rsid w:val="00631508"/>
    <w:rsid w:val="00631B33"/>
    <w:rsid w:val="0064184D"/>
    <w:rsid w:val="006422CC"/>
    <w:rsid w:val="0064249A"/>
    <w:rsid w:val="00656A74"/>
    <w:rsid w:val="00656CE1"/>
    <w:rsid w:val="00657639"/>
    <w:rsid w:val="00660E3E"/>
    <w:rsid w:val="00662E74"/>
    <w:rsid w:val="00667A44"/>
    <w:rsid w:val="006727C5"/>
    <w:rsid w:val="00680C23"/>
    <w:rsid w:val="00684363"/>
    <w:rsid w:val="00692EA6"/>
    <w:rsid w:val="00693766"/>
    <w:rsid w:val="00696BFA"/>
    <w:rsid w:val="00697772"/>
    <w:rsid w:val="006A028B"/>
    <w:rsid w:val="006A30E8"/>
    <w:rsid w:val="006A3281"/>
    <w:rsid w:val="006A3CC5"/>
    <w:rsid w:val="006A58D9"/>
    <w:rsid w:val="006A5A78"/>
    <w:rsid w:val="006A6810"/>
    <w:rsid w:val="006A7FAA"/>
    <w:rsid w:val="006B0446"/>
    <w:rsid w:val="006B4888"/>
    <w:rsid w:val="006B701E"/>
    <w:rsid w:val="006B792F"/>
    <w:rsid w:val="006C1A58"/>
    <w:rsid w:val="006C2E45"/>
    <w:rsid w:val="006C359C"/>
    <w:rsid w:val="006C5579"/>
    <w:rsid w:val="006C63BD"/>
    <w:rsid w:val="006D6E8B"/>
    <w:rsid w:val="006E0B1A"/>
    <w:rsid w:val="006E180A"/>
    <w:rsid w:val="006E737D"/>
    <w:rsid w:val="006F13A0"/>
    <w:rsid w:val="006F13A2"/>
    <w:rsid w:val="006F1490"/>
    <w:rsid w:val="006F3423"/>
    <w:rsid w:val="006F3C6D"/>
    <w:rsid w:val="006F7411"/>
    <w:rsid w:val="00706CF5"/>
    <w:rsid w:val="00710F79"/>
    <w:rsid w:val="00711462"/>
    <w:rsid w:val="00713431"/>
    <w:rsid w:val="00713637"/>
    <w:rsid w:val="00713973"/>
    <w:rsid w:val="00715D48"/>
    <w:rsid w:val="00716926"/>
    <w:rsid w:val="00720A24"/>
    <w:rsid w:val="007215B0"/>
    <w:rsid w:val="00721797"/>
    <w:rsid w:val="00727385"/>
    <w:rsid w:val="00732386"/>
    <w:rsid w:val="00733037"/>
    <w:rsid w:val="0073337D"/>
    <w:rsid w:val="0073514D"/>
    <w:rsid w:val="0073785A"/>
    <w:rsid w:val="007447F3"/>
    <w:rsid w:val="007450DA"/>
    <w:rsid w:val="00745D31"/>
    <w:rsid w:val="00751D49"/>
    <w:rsid w:val="0075499F"/>
    <w:rsid w:val="007558F8"/>
    <w:rsid w:val="00761E7D"/>
    <w:rsid w:val="007632D0"/>
    <w:rsid w:val="00764ECF"/>
    <w:rsid w:val="007661C8"/>
    <w:rsid w:val="0077098D"/>
    <w:rsid w:val="00770E1B"/>
    <w:rsid w:val="007723FE"/>
    <w:rsid w:val="00773CD2"/>
    <w:rsid w:val="00777A37"/>
    <w:rsid w:val="00782381"/>
    <w:rsid w:val="007831A4"/>
    <w:rsid w:val="00784A25"/>
    <w:rsid w:val="00784C0F"/>
    <w:rsid w:val="00784EDB"/>
    <w:rsid w:val="00787428"/>
    <w:rsid w:val="007931FA"/>
    <w:rsid w:val="0079330B"/>
    <w:rsid w:val="00795268"/>
    <w:rsid w:val="007A4861"/>
    <w:rsid w:val="007A6D86"/>
    <w:rsid w:val="007A7BBA"/>
    <w:rsid w:val="007B0C50"/>
    <w:rsid w:val="007B48F9"/>
    <w:rsid w:val="007B4942"/>
    <w:rsid w:val="007B5DC0"/>
    <w:rsid w:val="007B6866"/>
    <w:rsid w:val="007C1A43"/>
    <w:rsid w:val="007C1ACC"/>
    <w:rsid w:val="007D0C37"/>
    <w:rsid w:val="007D19D3"/>
    <w:rsid w:val="007D1AFF"/>
    <w:rsid w:val="007D556E"/>
    <w:rsid w:val="007D697E"/>
    <w:rsid w:val="007D6BA2"/>
    <w:rsid w:val="007E1A7F"/>
    <w:rsid w:val="007E20FD"/>
    <w:rsid w:val="007E2E13"/>
    <w:rsid w:val="007E390C"/>
    <w:rsid w:val="007E3B17"/>
    <w:rsid w:val="007E48A5"/>
    <w:rsid w:val="007E4B66"/>
    <w:rsid w:val="007E7EFB"/>
    <w:rsid w:val="007F4A88"/>
    <w:rsid w:val="007F4D4B"/>
    <w:rsid w:val="0080013E"/>
    <w:rsid w:val="008030DC"/>
    <w:rsid w:val="00803245"/>
    <w:rsid w:val="00803E37"/>
    <w:rsid w:val="00804087"/>
    <w:rsid w:val="008055BD"/>
    <w:rsid w:val="00805B32"/>
    <w:rsid w:val="00805B9D"/>
    <w:rsid w:val="00810B24"/>
    <w:rsid w:val="00812BB3"/>
    <w:rsid w:val="00813288"/>
    <w:rsid w:val="00813890"/>
    <w:rsid w:val="008141D2"/>
    <w:rsid w:val="008168FC"/>
    <w:rsid w:val="00816BA8"/>
    <w:rsid w:val="00816F47"/>
    <w:rsid w:val="00822686"/>
    <w:rsid w:val="008228A0"/>
    <w:rsid w:val="00822968"/>
    <w:rsid w:val="00826B64"/>
    <w:rsid w:val="00827DF4"/>
    <w:rsid w:val="008300D9"/>
    <w:rsid w:val="00830996"/>
    <w:rsid w:val="00831DB6"/>
    <w:rsid w:val="00832682"/>
    <w:rsid w:val="008345F1"/>
    <w:rsid w:val="00840259"/>
    <w:rsid w:val="00842DE7"/>
    <w:rsid w:val="00846710"/>
    <w:rsid w:val="00855798"/>
    <w:rsid w:val="00857152"/>
    <w:rsid w:val="00860949"/>
    <w:rsid w:val="008653EB"/>
    <w:rsid w:val="00865838"/>
    <w:rsid w:val="00865B07"/>
    <w:rsid w:val="008667EA"/>
    <w:rsid w:val="008703CC"/>
    <w:rsid w:val="00870497"/>
    <w:rsid w:val="00875506"/>
    <w:rsid w:val="0087637F"/>
    <w:rsid w:val="00877412"/>
    <w:rsid w:val="0088027E"/>
    <w:rsid w:val="00880396"/>
    <w:rsid w:val="00881BDE"/>
    <w:rsid w:val="00887F4E"/>
    <w:rsid w:val="00890C68"/>
    <w:rsid w:val="008912E2"/>
    <w:rsid w:val="00892AD5"/>
    <w:rsid w:val="008A1512"/>
    <w:rsid w:val="008A1DCD"/>
    <w:rsid w:val="008A3FE0"/>
    <w:rsid w:val="008B52D1"/>
    <w:rsid w:val="008C03DD"/>
    <w:rsid w:val="008C224C"/>
    <w:rsid w:val="008D139C"/>
    <w:rsid w:val="008D32B9"/>
    <w:rsid w:val="008D433B"/>
    <w:rsid w:val="008E0366"/>
    <w:rsid w:val="008E10A0"/>
    <w:rsid w:val="008E50EA"/>
    <w:rsid w:val="008E566E"/>
    <w:rsid w:val="008E5680"/>
    <w:rsid w:val="008E57D3"/>
    <w:rsid w:val="008E6AD7"/>
    <w:rsid w:val="008F1F57"/>
    <w:rsid w:val="008F36CB"/>
    <w:rsid w:val="0090161A"/>
    <w:rsid w:val="00901EB6"/>
    <w:rsid w:val="00902673"/>
    <w:rsid w:val="00902BF9"/>
    <w:rsid w:val="009047F1"/>
    <w:rsid w:val="00904C62"/>
    <w:rsid w:val="00907003"/>
    <w:rsid w:val="00912E83"/>
    <w:rsid w:val="00922BA8"/>
    <w:rsid w:val="00922E1E"/>
    <w:rsid w:val="00924C97"/>
    <w:rsid w:val="00924DAC"/>
    <w:rsid w:val="00925651"/>
    <w:rsid w:val="00927058"/>
    <w:rsid w:val="00927B3A"/>
    <w:rsid w:val="00931200"/>
    <w:rsid w:val="009354AD"/>
    <w:rsid w:val="00941476"/>
    <w:rsid w:val="00942750"/>
    <w:rsid w:val="00943EC9"/>
    <w:rsid w:val="00944CAA"/>
    <w:rsid w:val="009450CE"/>
    <w:rsid w:val="00945159"/>
    <w:rsid w:val="00947179"/>
    <w:rsid w:val="00950BAD"/>
    <w:rsid w:val="00950DCF"/>
    <w:rsid w:val="0095103B"/>
    <w:rsid w:val="0095164B"/>
    <w:rsid w:val="009521CC"/>
    <w:rsid w:val="0095240E"/>
    <w:rsid w:val="00954090"/>
    <w:rsid w:val="00955718"/>
    <w:rsid w:val="009573E7"/>
    <w:rsid w:val="00957906"/>
    <w:rsid w:val="00961332"/>
    <w:rsid w:val="00963E05"/>
    <w:rsid w:val="009647D2"/>
    <w:rsid w:val="00966007"/>
    <w:rsid w:val="00967843"/>
    <w:rsid w:val="00967D54"/>
    <w:rsid w:val="00971028"/>
    <w:rsid w:val="00972B89"/>
    <w:rsid w:val="0097528A"/>
    <w:rsid w:val="0098766B"/>
    <w:rsid w:val="009905ED"/>
    <w:rsid w:val="009935FA"/>
    <w:rsid w:val="00993B84"/>
    <w:rsid w:val="00996483"/>
    <w:rsid w:val="00996E64"/>
    <w:rsid w:val="00996F5A"/>
    <w:rsid w:val="00997898"/>
    <w:rsid w:val="00997F1B"/>
    <w:rsid w:val="009A4738"/>
    <w:rsid w:val="009A54C7"/>
    <w:rsid w:val="009B03B6"/>
    <w:rsid w:val="009B041A"/>
    <w:rsid w:val="009B42ED"/>
    <w:rsid w:val="009C0929"/>
    <w:rsid w:val="009C37C3"/>
    <w:rsid w:val="009C58AF"/>
    <w:rsid w:val="009C7C86"/>
    <w:rsid w:val="009D0140"/>
    <w:rsid w:val="009D2FF7"/>
    <w:rsid w:val="009D3D63"/>
    <w:rsid w:val="009D63AB"/>
    <w:rsid w:val="009E1732"/>
    <w:rsid w:val="009E23DB"/>
    <w:rsid w:val="009E2438"/>
    <w:rsid w:val="009E408C"/>
    <w:rsid w:val="009E57AB"/>
    <w:rsid w:val="009E6029"/>
    <w:rsid w:val="009E7867"/>
    <w:rsid w:val="009E7884"/>
    <w:rsid w:val="009E788A"/>
    <w:rsid w:val="009F0E08"/>
    <w:rsid w:val="00A00A73"/>
    <w:rsid w:val="00A01CC1"/>
    <w:rsid w:val="00A17312"/>
    <w:rsid w:val="00A1763D"/>
    <w:rsid w:val="00A17CEC"/>
    <w:rsid w:val="00A2142B"/>
    <w:rsid w:val="00A21A22"/>
    <w:rsid w:val="00A27EF0"/>
    <w:rsid w:val="00A30DD9"/>
    <w:rsid w:val="00A34852"/>
    <w:rsid w:val="00A4115D"/>
    <w:rsid w:val="00A42361"/>
    <w:rsid w:val="00A50B20"/>
    <w:rsid w:val="00A51390"/>
    <w:rsid w:val="00A53916"/>
    <w:rsid w:val="00A57682"/>
    <w:rsid w:val="00A60D13"/>
    <w:rsid w:val="00A61B04"/>
    <w:rsid w:val="00A6281B"/>
    <w:rsid w:val="00A63050"/>
    <w:rsid w:val="00A711B1"/>
    <w:rsid w:val="00A72745"/>
    <w:rsid w:val="00A7420A"/>
    <w:rsid w:val="00A74D6D"/>
    <w:rsid w:val="00A76EFC"/>
    <w:rsid w:val="00A82A79"/>
    <w:rsid w:val="00A86324"/>
    <w:rsid w:val="00A87A50"/>
    <w:rsid w:val="00A906E4"/>
    <w:rsid w:val="00A91010"/>
    <w:rsid w:val="00A93358"/>
    <w:rsid w:val="00A9504D"/>
    <w:rsid w:val="00A95111"/>
    <w:rsid w:val="00A9641B"/>
    <w:rsid w:val="00A96774"/>
    <w:rsid w:val="00A97F29"/>
    <w:rsid w:val="00AA1C5A"/>
    <w:rsid w:val="00AA4FEE"/>
    <w:rsid w:val="00AA67A8"/>
    <w:rsid w:val="00AA6DF0"/>
    <w:rsid w:val="00AA702E"/>
    <w:rsid w:val="00AB01A5"/>
    <w:rsid w:val="00AB0964"/>
    <w:rsid w:val="00AB284E"/>
    <w:rsid w:val="00AB30DE"/>
    <w:rsid w:val="00AB34B3"/>
    <w:rsid w:val="00AB3D3F"/>
    <w:rsid w:val="00AB4251"/>
    <w:rsid w:val="00AB5011"/>
    <w:rsid w:val="00AB5499"/>
    <w:rsid w:val="00AB5A6E"/>
    <w:rsid w:val="00AB5F8E"/>
    <w:rsid w:val="00AC0DEB"/>
    <w:rsid w:val="00AC0FD6"/>
    <w:rsid w:val="00AC327F"/>
    <w:rsid w:val="00AC7368"/>
    <w:rsid w:val="00AD0CD4"/>
    <w:rsid w:val="00AD16B9"/>
    <w:rsid w:val="00AD1C64"/>
    <w:rsid w:val="00AE377D"/>
    <w:rsid w:val="00AE66FB"/>
    <w:rsid w:val="00AE7330"/>
    <w:rsid w:val="00AF0EBA"/>
    <w:rsid w:val="00AF2BC4"/>
    <w:rsid w:val="00AF7E5E"/>
    <w:rsid w:val="00B02C8A"/>
    <w:rsid w:val="00B06293"/>
    <w:rsid w:val="00B131C4"/>
    <w:rsid w:val="00B136F3"/>
    <w:rsid w:val="00B14AEE"/>
    <w:rsid w:val="00B17FBD"/>
    <w:rsid w:val="00B24949"/>
    <w:rsid w:val="00B2589A"/>
    <w:rsid w:val="00B273B6"/>
    <w:rsid w:val="00B30838"/>
    <w:rsid w:val="00B315A6"/>
    <w:rsid w:val="00B31813"/>
    <w:rsid w:val="00B31A1E"/>
    <w:rsid w:val="00B33365"/>
    <w:rsid w:val="00B36D49"/>
    <w:rsid w:val="00B4361A"/>
    <w:rsid w:val="00B44785"/>
    <w:rsid w:val="00B53022"/>
    <w:rsid w:val="00B57B36"/>
    <w:rsid w:val="00B57E6F"/>
    <w:rsid w:val="00B61766"/>
    <w:rsid w:val="00B62E1A"/>
    <w:rsid w:val="00B67266"/>
    <w:rsid w:val="00B73A95"/>
    <w:rsid w:val="00B73F64"/>
    <w:rsid w:val="00B75602"/>
    <w:rsid w:val="00B757F2"/>
    <w:rsid w:val="00B80987"/>
    <w:rsid w:val="00B81C47"/>
    <w:rsid w:val="00B831BF"/>
    <w:rsid w:val="00B84A10"/>
    <w:rsid w:val="00B8686D"/>
    <w:rsid w:val="00B87859"/>
    <w:rsid w:val="00B906FF"/>
    <w:rsid w:val="00B923AE"/>
    <w:rsid w:val="00B93F69"/>
    <w:rsid w:val="00B961FD"/>
    <w:rsid w:val="00B970B9"/>
    <w:rsid w:val="00B97222"/>
    <w:rsid w:val="00BA0526"/>
    <w:rsid w:val="00BA2CF6"/>
    <w:rsid w:val="00BA5877"/>
    <w:rsid w:val="00BB1DDC"/>
    <w:rsid w:val="00BB2BAB"/>
    <w:rsid w:val="00BB4297"/>
    <w:rsid w:val="00BC0121"/>
    <w:rsid w:val="00BC30C9"/>
    <w:rsid w:val="00BC4A4A"/>
    <w:rsid w:val="00BC74E0"/>
    <w:rsid w:val="00BD077D"/>
    <w:rsid w:val="00BD0FBB"/>
    <w:rsid w:val="00BD1341"/>
    <w:rsid w:val="00BD258C"/>
    <w:rsid w:val="00BE16EB"/>
    <w:rsid w:val="00BE24A9"/>
    <w:rsid w:val="00BE3E58"/>
    <w:rsid w:val="00BE3EAB"/>
    <w:rsid w:val="00BE753A"/>
    <w:rsid w:val="00BE78CF"/>
    <w:rsid w:val="00BF0712"/>
    <w:rsid w:val="00BF10F2"/>
    <w:rsid w:val="00BF2E00"/>
    <w:rsid w:val="00BF476B"/>
    <w:rsid w:val="00BF6027"/>
    <w:rsid w:val="00BF68B7"/>
    <w:rsid w:val="00C01616"/>
    <w:rsid w:val="00C0162B"/>
    <w:rsid w:val="00C035C6"/>
    <w:rsid w:val="00C04352"/>
    <w:rsid w:val="00C0533F"/>
    <w:rsid w:val="00C068ED"/>
    <w:rsid w:val="00C070B4"/>
    <w:rsid w:val="00C070CB"/>
    <w:rsid w:val="00C119DD"/>
    <w:rsid w:val="00C1217D"/>
    <w:rsid w:val="00C1523F"/>
    <w:rsid w:val="00C15BB1"/>
    <w:rsid w:val="00C173EA"/>
    <w:rsid w:val="00C17C3D"/>
    <w:rsid w:val="00C22E0C"/>
    <w:rsid w:val="00C31B53"/>
    <w:rsid w:val="00C33480"/>
    <w:rsid w:val="00C345B1"/>
    <w:rsid w:val="00C35750"/>
    <w:rsid w:val="00C36565"/>
    <w:rsid w:val="00C40142"/>
    <w:rsid w:val="00C45E24"/>
    <w:rsid w:val="00C517C7"/>
    <w:rsid w:val="00C52C3C"/>
    <w:rsid w:val="00C52F04"/>
    <w:rsid w:val="00C5308E"/>
    <w:rsid w:val="00C55368"/>
    <w:rsid w:val="00C57182"/>
    <w:rsid w:val="00C57863"/>
    <w:rsid w:val="00C60257"/>
    <w:rsid w:val="00C63BFB"/>
    <w:rsid w:val="00C655FD"/>
    <w:rsid w:val="00C72E5C"/>
    <w:rsid w:val="00C75407"/>
    <w:rsid w:val="00C76616"/>
    <w:rsid w:val="00C80ED9"/>
    <w:rsid w:val="00C812C9"/>
    <w:rsid w:val="00C82E5C"/>
    <w:rsid w:val="00C835E0"/>
    <w:rsid w:val="00C83710"/>
    <w:rsid w:val="00C83913"/>
    <w:rsid w:val="00C83B5E"/>
    <w:rsid w:val="00C84ADE"/>
    <w:rsid w:val="00C85377"/>
    <w:rsid w:val="00C870A8"/>
    <w:rsid w:val="00C874EB"/>
    <w:rsid w:val="00C878DC"/>
    <w:rsid w:val="00C94434"/>
    <w:rsid w:val="00C97276"/>
    <w:rsid w:val="00CA0142"/>
    <w:rsid w:val="00CA0D75"/>
    <w:rsid w:val="00CA1C95"/>
    <w:rsid w:val="00CA5A9C"/>
    <w:rsid w:val="00CA6607"/>
    <w:rsid w:val="00CB1014"/>
    <w:rsid w:val="00CB1E8E"/>
    <w:rsid w:val="00CB7708"/>
    <w:rsid w:val="00CC1F69"/>
    <w:rsid w:val="00CC4C20"/>
    <w:rsid w:val="00CC52F3"/>
    <w:rsid w:val="00CC6100"/>
    <w:rsid w:val="00CC7FC0"/>
    <w:rsid w:val="00CD3517"/>
    <w:rsid w:val="00CD3BA5"/>
    <w:rsid w:val="00CD3E1B"/>
    <w:rsid w:val="00CD5FE2"/>
    <w:rsid w:val="00CD6B42"/>
    <w:rsid w:val="00CD7444"/>
    <w:rsid w:val="00CE19CD"/>
    <w:rsid w:val="00CE2376"/>
    <w:rsid w:val="00CE7C68"/>
    <w:rsid w:val="00CF12A7"/>
    <w:rsid w:val="00CF17A4"/>
    <w:rsid w:val="00CF5573"/>
    <w:rsid w:val="00CF7906"/>
    <w:rsid w:val="00D013A6"/>
    <w:rsid w:val="00D0140D"/>
    <w:rsid w:val="00D02B4C"/>
    <w:rsid w:val="00D040C4"/>
    <w:rsid w:val="00D125B3"/>
    <w:rsid w:val="00D1741E"/>
    <w:rsid w:val="00D1793A"/>
    <w:rsid w:val="00D206C8"/>
    <w:rsid w:val="00D23F36"/>
    <w:rsid w:val="00D2455F"/>
    <w:rsid w:val="00D263A6"/>
    <w:rsid w:val="00D27399"/>
    <w:rsid w:val="00D27878"/>
    <w:rsid w:val="00D30582"/>
    <w:rsid w:val="00D354F7"/>
    <w:rsid w:val="00D36E72"/>
    <w:rsid w:val="00D372CD"/>
    <w:rsid w:val="00D376D4"/>
    <w:rsid w:val="00D40D80"/>
    <w:rsid w:val="00D41C5F"/>
    <w:rsid w:val="00D46B7E"/>
    <w:rsid w:val="00D505F9"/>
    <w:rsid w:val="00D50D87"/>
    <w:rsid w:val="00D56371"/>
    <w:rsid w:val="00D57C84"/>
    <w:rsid w:val="00D6057D"/>
    <w:rsid w:val="00D61137"/>
    <w:rsid w:val="00D62EB8"/>
    <w:rsid w:val="00D63346"/>
    <w:rsid w:val="00D63B6D"/>
    <w:rsid w:val="00D6591C"/>
    <w:rsid w:val="00D70456"/>
    <w:rsid w:val="00D73DDB"/>
    <w:rsid w:val="00D74162"/>
    <w:rsid w:val="00D76E01"/>
    <w:rsid w:val="00D836C5"/>
    <w:rsid w:val="00D84576"/>
    <w:rsid w:val="00D9546A"/>
    <w:rsid w:val="00D9777D"/>
    <w:rsid w:val="00DA1399"/>
    <w:rsid w:val="00DA24C6"/>
    <w:rsid w:val="00DA3967"/>
    <w:rsid w:val="00DA4102"/>
    <w:rsid w:val="00DA42D0"/>
    <w:rsid w:val="00DA4D7B"/>
    <w:rsid w:val="00DA6588"/>
    <w:rsid w:val="00DB2B83"/>
    <w:rsid w:val="00DC1A03"/>
    <w:rsid w:val="00DC264B"/>
    <w:rsid w:val="00DC26DF"/>
    <w:rsid w:val="00DC3D0E"/>
    <w:rsid w:val="00DC7168"/>
    <w:rsid w:val="00DD001F"/>
    <w:rsid w:val="00DD2725"/>
    <w:rsid w:val="00DD665D"/>
    <w:rsid w:val="00DE264A"/>
    <w:rsid w:val="00DE4EFD"/>
    <w:rsid w:val="00DF29C7"/>
    <w:rsid w:val="00DF364B"/>
    <w:rsid w:val="00DF3850"/>
    <w:rsid w:val="00DF5072"/>
    <w:rsid w:val="00DF5741"/>
    <w:rsid w:val="00E02D18"/>
    <w:rsid w:val="00E037F4"/>
    <w:rsid w:val="00E041E7"/>
    <w:rsid w:val="00E05F2E"/>
    <w:rsid w:val="00E15312"/>
    <w:rsid w:val="00E20729"/>
    <w:rsid w:val="00E21F48"/>
    <w:rsid w:val="00E23CA1"/>
    <w:rsid w:val="00E25BE0"/>
    <w:rsid w:val="00E266AF"/>
    <w:rsid w:val="00E27F1C"/>
    <w:rsid w:val="00E3047C"/>
    <w:rsid w:val="00E355FA"/>
    <w:rsid w:val="00E409A8"/>
    <w:rsid w:val="00E42068"/>
    <w:rsid w:val="00E42C4F"/>
    <w:rsid w:val="00E43E62"/>
    <w:rsid w:val="00E43E7A"/>
    <w:rsid w:val="00E46765"/>
    <w:rsid w:val="00E46F82"/>
    <w:rsid w:val="00E46FDE"/>
    <w:rsid w:val="00E50C12"/>
    <w:rsid w:val="00E5516B"/>
    <w:rsid w:val="00E63F7C"/>
    <w:rsid w:val="00E65B91"/>
    <w:rsid w:val="00E67D40"/>
    <w:rsid w:val="00E7033A"/>
    <w:rsid w:val="00E7209D"/>
    <w:rsid w:val="00E72EAD"/>
    <w:rsid w:val="00E73687"/>
    <w:rsid w:val="00E76429"/>
    <w:rsid w:val="00E77223"/>
    <w:rsid w:val="00E81EBA"/>
    <w:rsid w:val="00E84371"/>
    <w:rsid w:val="00E8528B"/>
    <w:rsid w:val="00E8540F"/>
    <w:rsid w:val="00E85B94"/>
    <w:rsid w:val="00E90520"/>
    <w:rsid w:val="00E94BB5"/>
    <w:rsid w:val="00E95108"/>
    <w:rsid w:val="00E978D0"/>
    <w:rsid w:val="00E9793C"/>
    <w:rsid w:val="00EA294A"/>
    <w:rsid w:val="00EA4613"/>
    <w:rsid w:val="00EA6610"/>
    <w:rsid w:val="00EA7F91"/>
    <w:rsid w:val="00EB1523"/>
    <w:rsid w:val="00EB344C"/>
    <w:rsid w:val="00EB7B12"/>
    <w:rsid w:val="00EC0E49"/>
    <w:rsid w:val="00EC101F"/>
    <w:rsid w:val="00EC1D9F"/>
    <w:rsid w:val="00EC4C6D"/>
    <w:rsid w:val="00ED32AA"/>
    <w:rsid w:val="00ED364A"/>
    <w:rsid w:val="00ED4C71"/>
    <w:rsid w:val="00ED5773"/>
    <w:rsid w:val="00ED7245"/>
    <w:rsid w:val="00EE0131"/>
    <w:rsid w:val="00EE17B0"/>
    <w:rsid w:val="00EE2630"/>
    <w:rsid w:val="00EE3C56"/>
    <w:rsid w:val="00EE722D"/>
    <w:rsid w:val="00EE7D6E"/>
    <w:rsid w:val="00EF06D9"/>
    <w:rsid w:val="00EF1CFF"/>
    <w:rsid w:val="00EF52DA"/>
    <w:rsid w:val="00EF6B53"/>
    <w:rsid w:val="00F00F92"/>
    <w:rsid w:val="00F00FC4"/>
    <w:rsid w:val="00F01EC5"/>
    <w:rsid w:val="00F04FD6"/>
    <w:rsid w:val="00F106C1"/>
    <w:rsid w:val="00F1181F"/>
    <w:rsid w:val="00F15F67"/>
    <w:rsid w:val="00F16F1E"/>
    <w:rsid w:val="00F231C2"/>
    <w:rsid w:val="00F23F03"/>
    <w:rsid w:val="00F30C64"/>
    <w:rsid w:val="00F32BA2"/>
    <w:rsid w:val="00F32CDB"/>
    <w:rsid w:val="00F3713E"/>
    <w:rsid w:val="00F41F8E"/>
    <w:rsid w:val="00F4374A"/>
    <w:rsid w:val="00F446C6"/>
    <w:rsid w:val="00F467BF"/>
    <w:rsid w:val="00F565FE"/>
    <w:rsid w:val="00F57ED0"/>
    <w:rsid w:val="00F60D6A"/>
    <w:rsid w:val="00F63A70"/>
    <w:rsid w:val="00F64E83"/>
    <w:rsid w:val="00F64EBC"/>
    <w:rsid w:val="00F653BE"/>
    <w:rsid w:val="00F67083"/>
    <w:rsid w:val="00F7534E"/>
    <w:rsid w:val="00F765AB"/>
    <w:rsid w:val="00F80139"/>
    <w:rsid w:val="00F8469A"/>
    <w:rsid w:val="00F90340"/>
    <w:rsid w:val="00FA21D0"/>
    <w:rsid w:val="00FA5E37"/>
    <w:rsid w:val="00FA5F5F"/>
    <w:rsid w:val="00FA6253"/>
    <w:rsid w:val="00FB6CA7"/>
    <w:rsid w:val="00FB730C"/>
    <w:rsid w:val="00FC2150"/>
    <w:rsid w:val="00FC2695"/>
    <w:rsid w:val="00FC3E03"/>
    <w:rsid w:val="00FC3E55"/>
    <w:rsid w:val="00FC3FC1"/>
    <w:rsid w:val="00FD04D7"/>
    <w:rsid w:val="00FD4699"/>
    <w:rsid w:val="00FD628E"/>
    <w:rsid w:val="00FD7871"/>
    <w:rsid w:val="00FE0EA3"/>
    <w:rsid w:val="00FE213C"/>
    <w:rsid w:val="00FE5172"/>
    <w:rsid w:val="00FE7CC4"/>
    <w:rsid w:val="00FF1E7A"/>
    <w:rsid w:val="00FF3488"/>
    <w:rsid w:val="00FF60C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AE0CC22"/>
  <w14:defaultImageDpi w14:val="330"/>
  <w15:docId w15:val="{676D99AE-430C-4F90-85CF-9D162E72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aragrafoelenco">
    <w:name w:val="List Paragraph"/>
    <w:basedOn w:val="Normale"/>
    <w:uiPriority w:val="34"/>
    <w:qFormat/>
    <w:rsid w:val="00280FAF"/>
    <w:pPr>
      <w:ind w:left="720"/>
      <w:contextualSpacing/>
    </w:pPr>
  </w:style>
  <w:style w:type="character" w:styleId="Menzionenonrisolta">
    <w:name w:val="Unresolved Mention"/>
    <w:basedOn w:val="Carpredefinitoparagrafo"/>
    <w:uiPriority w:val="99"/>
    <w:semiHidden/>
    <w:unhideWhenUsed/>
    <w:rsid w:val="00132564"/>
    <w:rPr>
      <w:color w:val="605E5C"/>
      <w:shd w:val="clear" w:color="auto" w:fill="E1DFDD"/>
    </w:rPr>
  </w:style>
  <w:style w:type="character" w:styleId="Numeroriga">
    <w:name w:val="line number"/>
    <w:basedOn w:val="Carpredefinitoparagrafo"/>
    <w:uiPriority w:val="99"/>
    <w:semiHidden/>
    <w:unhideWhenUsed/>
    <w:rsid w:val="006F14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746599">
      <w:bodyDiv w:val="1"/>
      <w:marLeft w:val="0"/>
      <w:marRight w:val="0"/>
      <w:marTop w:val="0"/>
      <w:marBottom w:val="0"/>
      <w:divBdr>
        <w:top w:val="none" w:sz="0" w:space="0" w:color="auto"/>
        <w:left w:val="none" w:sz="0" w:space="0" w:color="auto"/>
        <w:bottom w:val="none" w:sz="0" w:space="0" w:color="auto"/>
        <w:right w:val="none" w:sz="0" w:space="0" w:color="auto"/>
      </w:divBdr>
    </w:div>
    <w:div w:id="77891733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93270658">
      <w:bodyDiv w:val="1"/>
      <w:marLeft w:val="0"/>
      <w:marRight w:val="0"/>
      <w:marTop w:val="0"/>
      <w:marBottom w:val="0"/>
      <w:divBdr>
        <w:top w:val="none" w:sz="0" w:space="0" w:color="auto"/>
        <w:left w:val="none" w:sz="0" w:space="0" w:color="auto"/>
        <w:bottom w:val="none" w:sz="0" w:space="0" w:color="auto"/>
        <w:right w:val="none" w:sz="0" w:space="0" w:color="auto"/>
      </w:divBdr>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659662">
      <w:bodyDiv w:val="1"/>
      <w:marLeft w:val="0"/>
      <w:marRight w:val="0"/>
      <w:marTop w:val="0"/>
      <w:marBottom w:val="0"/>
      <w:divBdr>
        <w:top w:val="none" w:sz="0" w:space="0" w:color="auto"/>
        <w:left w:val="none" w:sz="0" w:space="0" w:color="auto"/>
        <w:bottom w:val="none" w:sz="0" w:space="0" w:color="auto"/>
        <w:right w:val="none" w:sz="0" w:space="0" w:color="auto"/>
      </w:divBdr>
    </w:div>
    <w:div w:id="1083644150">
      <w:bodyDiv w:val="1"/>
      <w:marLeft w:val="0"/>
      <w:marRight w:val="0"/>
      <w:marTop w:val="0"/>
      <w:marBottom w:val="0"/>
      <w:divBdr>
        <w:top w:val="none" w:sz="0" w:space="0" w:color="auto"/>
        <w:left w:val="none" w:sz="0" w:space="0" w:color="auto"/>
        <w:bottom w:val="none" w:sz="0" w:space="0" w:color="auto"/>
        <w:right w:val="none" w:sz="0" w:space="0" w:color="auto"/>
      </w:divBdr>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gabriele.landucci@unipi.i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300F71-191D-47BC-A8C1-3D0E84510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3460</Words>
  <Characters>19728</Characters>
  <Application>Microsoft Office Word</Application>
  <DocSecurity>0</DocSecurity>
  <Lines>164</Lines>
  <Paragraphs>46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Gabriele Landucci</cp:lastModifiedBy>
  <cp:revision>8</cp:revision>
  <cp:lastPrinted>2015-05-12T18:31:00Z</cp:lastPrinted>
  <dcterms:created xsi:type="dcterms:W3CDTF">2022-02-24T11:55:00Z</dcterms:created>
  <dcterms:modified xsi:type="dcterms:W3CDTF">2022-02-25T14:33:00Z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