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AB607F" w:rsidTr="00DE264A">
        <w:trPr>
          <w:trHeight w:val="852"/>
          <w:jc w:val="center"/>
        </w:trPr>
        <w:tc>
          <w:tcPr>
            <w:tcW w:w="6946" w:type="dxa"/>
            <w:vMerge w:val="restart"/>
            <w:tcBorders>
              <w:right w:val="single" w:sz="4" w:space="0" w:color="auto"/>
            </w:tcBorders>
          </w:tcPr>
          <w:p w:rsidR="000A03B2" w:rsidRPr="00B57B36" w:rsidRDefault="00F326AA"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pt-BR" w:eastAsia="pt-BR"/>
              </w:rPr>
              <w:drawing>
                <wp:inline distT="0" distB="0" distL="0" distR="0">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3" descr="cetlogo"/>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p>
          <w:p w:rsidR="000A03B2" w:rsidRPr="00B57B36" w:rsidRDefault="000A03B2" w:rsidP="00DE264A">
            <w:pPr>
              <w:tabs>
                <w:tab w:val="left" w:pos="-108"/>
              </w:tabs>
              <w:ind w:left="-108"/>
              <w:jc w:val="left"/>
              <w:rPr>
                <w:rFonts w:cs="Arial"/>
                <w:b/>
                <w:bCs/>
                <w:i/>
                <w:iCs/>
                <w:color w:val="000066"/>
                <w:sz w:val="12"/>
                <w:szCs w:val="12"/>
                <w:lang w:eastAsia="it-IT"/>
              </w:rPr>
            </w:pPr>
          </w:p>
          <w:p w:rsidR="000A03B2" w:rsidRPr="00B57B36" w:rsidRDefault="00F326AA" w:rsidP="004C3D1D">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p>
        </w:tc>
        <w:tc>
          <w:tcPr>
            <w:tcW w:w="1843" w:type="dxa"/>
            <w:tcBorders>
              <w:left w:val="single" w:sz="4" w:space="0" w:color="auto"/>
              <w:bottom w:val="nil"/>
              <w:right w:val="single" w:sz="4" w:space="0" w:color="auto"/>
            </w:tcBorders>
          </w:tcPr>
          <w:p w:rsidR="000A03B2" w:rsidRPr="00B57B36" w:rsidRDefault="00F326AA" w:rsidP="00CD5FE2">
            <w:pPr>
              <w:spacing w:line="140" w:lineRule="atLeast"/>
              <w:jc w:val="right"/>
              <w:rPr>
                <w:rFonts w:cs="Arial"/>
                <w:sz w:val="14"/>
                <w:szCs w:val="14"/>
              </w:rPr>
            </w:pPr>
            <w:r w:rsidRPr="00B57B36">
              <w:rPr>
                <w:rFonts w:cs="Arial"/>
                <w:sz w:val="14"/>
                <w:szCs w:val="14"/>
              </w:rPr>
              <w:t>A publication of</w:t>
            </w:r>
          </w:p>
          <w:p w:rsidR="000A03B2" w:rsidRPr="00B57B36" w:rsidRDefault="00F326AA" w:rsidP="00CD5FE2">
            <w:pPr>
              <w:jc w:val="right"/>
            </w:pPr>
            <w:r w:rsidRPr="00B57B36">
              <w:rPr>
                <w:noProof/>
                <w:lang w:val="pt-BR" w:eastAsia="pt-BR"/>
              </w:rPr>
              <w:drawing>
                <wp:inline distT="0" distB="0" distL="0" distR="0">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4" descr="aidiclogo_grande"/>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70560" cy="358140"/>
                          </a:xfrm>
                          <a:prstGeom prst="rect">
                            <a:avLst/>
                          </a:prstGeom>
                          <a:noFill/>
                          <a:ln>
                            <a:noFill/>
                          </a:ln>
                        </pic:spPr>
                      </pic:pic>
                    </a:graphicData>
                  </a:graphic>
                </wp:inline>
              </w:drawing>
            </w:r>
          </w:p>
        </w:tc>
      </w:tr>
      <w:tr w:rsidR="00AB607F" w:rsidTr="00DE264A">
        <w:trPr>
          <w:trHeight w:val="567"/>
          <w:jc w:val="center"/>
        </w:trPr>
        <w:tc>
          <w:tcPr>
            <w:tcW w:w="6946" w:type="dxa"/>
            <w:vMerge/>
            <w:tcBorders>
              <w:right w:val="single" w:sz="4" w:space="0" w:color="auto"/>
            </w:tcBorders>
          </w:tcPr>
          <w:p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rsidR="000A03B2" w:rsidRPr="00B57B36" w:rsidRDefault="00F326AA" w:rsidP="00CD5FE2">
            <w:pPr>
              <w:spacing w:line="140" w:lineRule="atLeast"/>
              <w:jc w:val="right"/>
              <w:rPr>
                <w:rFonts w:cs="Arial"/>
                <w:sz w:val="14"/>
                <w:szCs w:val="14"/>
              </w:rPr>
            </w:pPr>
            <w:r w:rsidRPr="00B57B36">
              <w:rPr>
                <w:rFonts w:cs="Arial"/>
                <w:sz w:val="14"/>
                <w:szCs w:val="14"/>
              </w:rPr>
              <w:t>The Italian Association</w:t>
            </w:r>
          </w:p>
          <w:p w:rsidR="000A03B2" w:rsidRPr="00B57B36" w:rsidRDefault="00F326AA" w:rsidP="00CD5FE2">
            <w:pPr>
              <w:spacing w:line="140" w:lineRule="atLeast"/>
              <w:jc w:val="right"/>
              <w:rPr>
                <w:rFonts w:cs="Arial"/>
                <w:sz w:val="14"/>
                <w:szCs w:val="14"/>
              </w:rPr>
            </w:pPr>
            <w:r w:rsidRPr="00B57B36">
              <w:rPr>
                <w:rFonts w:cs="Arial"/>
                <w:sz w:val="14"/>
                <w:szCs w:val="14"/>
              </w:rPr>
              <w:t>of Chemical Engineering</w:t>
            </w:r>
          </w:p>
          <w:p w:rsidR="000A03B2" w:rsidRPr="00B57B36" w:rsidRDefault="00F326AA" w:rsidP="00CD5FE2">
            <w:pPr>
              <w:spacing w:line="140" w:lineRule="atLeast"/>
              <w:jc w:val="right"/>
              <w:rPr>
                <w:rFonts w:cs="Arial"/>
                <w:sz w:val="14"/>
                <w:szCs w:val="14"/>
              </w:rPr>
            </w:pPr>
            <w:r w:rsidRPr="000D0268">
              <w:rPr>
                <w:rFonts w:cs="Arial"/>
                <w:sz w:val="13"/>
                <w:szCs w:val="13"/>
              </w:rPr>
              <w:t>Online at www.cetjournal.it</w:t>
            </w:r>
          </w:p>
        </w:tc>
      </w:tr>
      <w:tr w:rsidR="00AB607F" w:rsidTr="00DE264A">
        <w:trPr>
          <w:trHeight w:val="68"/>
          <w:jc w:val="center"/>
        </w:trPr>
        <w:tc>
          <w:tcPr>
            <w:tcW w:w="8789" w:type="dxa"/>
            <w:gridSpan w:val="2"/>
          </w:tcPr>
          <w:p w:rsidR="00300E56" w:rsidRPr="0014464F" w:rsidRDefault="00F326AA" w:rsidP="00EC0E49">
            <w:pPr>
              <w:tabs>
                <w:tab w:val="left" w:pos="-108"/>
              </w:tabs>
              <w:spacing w:line="140" w:lineRule="atLeast"/>
              <w:ind w:left="-108"/>
              <w:jc w:val="left"/>
              <w:rPr>
                <w:rFonts w:ascii="Tahoma" w:hAnsi="Tahoma" w:cs="Tahoma"/>
                <w:iCs/>
                <w:color w:val="333333"/>
                <w:sz w:val="14"/>
                <w:szCs w:val="14"/>
                <w:lang w:val="en-US" w:eastAsia="it-IT"/>
              </w:rPr>
            </w:pPr>
            <w:r w:rsidRPr="0014464F">
              <w:rPr>
                <w:rFonts w:ascii="Tahoma" w:hAnsi="Tahoma" w:cs="Tahoma"/>
                <w:iCs/>
                <w:color w:val="333333"/>
                <w:sz w:val="14"/>
                <w:szCs w:val="14"/>
                <w:lang w:val="en-US" w:eastAsia="it-IT"/>
              </w:rPr>
              <w:t>Guest Editors:</w:t>
            </w:r>
            <w:r w:rsidR="00904C62" w:rsidRPr="0014464F">
              <w:rPr>
                <w:rFonts w:ascii="Tahoma" w:hAnsi="Tahoma" w:cs="Tahoma"/>
                <w:iCs/>
                <w:color w:val="333333"/>
                <w:sz w:val="14"/>
                <w:szCs w:val="14"/>
                <w:lang w:val="en-US" w:eastAsia="it-IT"/>
              </w:rPr>
              <w:t xml:space="preserve"> </w:t>
            </w:r>
          </w:p>
          <w:p w:rsidR="000A03B2" w:rsidRPr="00B57B36" w:rsidRDefault="00F326AA" w:rsidP="00180860">
            <w:pPr>
              <w:tabs>
                <w:tab w:val="left" w:pos="-108"/>
              </w:tabs>
              <w:spacing w:line="140" w:lineRule="atLeast"/>
              <w:ind w:left="-108"/>
              <w:jc w:val="left"/>
            </w:pPr>
            <w:r>
              <w:rPr>
                <w:rFonts w:ascii="Tahoma" w:hAnsi="Tahoma" w:cs="Tahoma"/>
                <w:iCs/>
                <w:color w:val="333333"/>
                <w:sz w:val="14"/>
                <w:szCs w:val="14"/>
                <w:lang w:eastAsia="it-IT"/>
              </w:rPr>
              <w:t xml:space="preserve">Copyright </w:t>
            </w:r>
            <w:proofErr w:type="gramStart"/>
            <w:r>
              <w:rPr>
                <w:rFonts w:ascii="Tahoma" w:hAnsi="Tahoma" w:cs="Tahoma"/>
                <w:iCs/>
                <w:color w:val="333333"/>
                <w:sz w:val="14"/>
                <w:szCs w:val="14"/>
                <w:lang w:eastAsia="it-IT"/>
              </w:rPr>
              <w:t xml:space="preserve">© </w:t>
            </w:r>
            <w:r w:rsidR="00904C62" w:rsidRPr="00B57B36">
              <w:rPr>
                <w:rFonts w:ascii="Tahoma" w:hAnsi="Tahoma" w:cs="Tahoma"/>
                <w:iCs/>
                <w:color w:val="333333"/>
                <w:sz w:val="14"/>
                <w:szCs w:val="14"/>
                <w:lang w:eastAsia="it-IT"/>
              </w:rPr>
              <w:t xml:space="preserve"> AIDIC</w:t>
            </w:r>
            <w:proofErr w:type="gram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p>
          <w:p w:rsidR="000A03B2" w:rsidRPr="00B57B36" w:rsidRDefault="00F326AA" w:rsidP="00180860">
            <w:pPr>
              <w:tabs>
                <w:tab w:val="left" w:pos="-108"/>
              </w:tabs>
              <w:spacing w:line="140" w:lineRule="atLeast"/>
              <w:ind w:left="-108"/>
              <w:jc w:val="left"/>
            </w:pPr>
            <w:r w:rsidRPr="00B57B36">
              <w:rPr>
                <w:rFonts w:ascii="Tahoma" w:hAnsi="Tahoma" w:cs="Tahoma"/>
                <w:b/>
                <w:iCs/>
                <w:color w:val="333333"/>
                <w:sz w:val="14"/>
                <w:szCs w:val="14"/>
                <w:lang w:eastAsia="it-IT"/>
              </w:rPr>
              <w:t>IS</w:t>
            </w:r>
            <w:r>
              <w:rPr>
                <w:rFonts w:ascii="Tahoma" w:hAnsi="Tahoma" w:cs="Tahoma"/>
                <w:b/>
                <w:iCs/>
                <w:color w:val="333333"/>
                <w:sz w:val="14"/>
                <w:szCs w:val="14"/>
                <w:lang w:eastAsia="it-IT"/>
              </w:rPr>
              <w:t xml:space="preserve">BN </w:t>
            </w:r>
            <w:r w:rsidRPr="00D642A9">
              <w:rPr>
                <w:rFonts w:ascii="Tahoma" w:hAnsi="Tahoma" w:cs="Tahoma"/>
                <w:sz w:val="14"/>
                <w:szCs w:val="14"/>
                <w:lang w:val="en-US"/>
              </w:rPr>
              <w:t>978-88-95608</w:t>
            </w:r>
            <w:r>
              <w:rPr>
                <w:rFonts w:ascii="Tahoma" w:hAnsi="Tahoma" w:cs="Tahoma"/>
                <w:sz w:val="14"/>
                <w:szCs w:val="14"/>
                <w:lang w:val="en-US"/>
              </w:rPr>
              <w:t xml:space="preserve">-xx-x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rsidR="00E978D0" w:rsidRPr="00B57B36" w:rsidRDefault="00F326AA" w:rsidP="00E978D0">
      <w:pPr>
        <w:pStyle w:val="CETTitle"/>
      </w:pPr>
      <w:r w:rsidRPr="00B64707">
        <w:t xml:space="preserve">Performance Assessment </w:t>
      </w:r>
      <w:r>
        <w:t>o</w:t>
      </w:r>
      <w:r w:rsidRPr="00B64707">
        <w:t xml:space="preserve">f </w:t>
      </w:r>
      <w:r>
        <w:t>a</w:t>
      </w:r>
      <w:r w:rsidRPr="00B64707">
        <w:t>n Eco-Industrial Park:</w:t>
      </w:r>
      <w:r>
        <w:rPr>
          <w:szCs w:val="32"/>
        </w:rPr>
        <w:t xml:space="preserve"> </w:t>
      </w:r>
      <w:r w:rsidR="00124814">
        <w:rPr>
          <w:szCs w:val="32"/>
        </w:rPr>
        <w:t>A Strategic Tool to Help Recovering Energy and Industrial Waste</w:t>
      </w:r>
    </w:p>
    <w:p w:rsidR="00E978D0" w:rsidRPr="00A81A26" w:rsidRDefault="00F326AA" w:rsidP="00AB5011">
      <w:pPr>
        <w:pStyle w:val="CETAuthors"/>
        <w:rPr>
          <w:lang w:val="it-IT"/>
        </w:rPr>
      </w:pPr>
      <w:r w:rsidRPr="00A81A26">
        <w:rPr>
          <w:lang w:val="it-IT"/>
        </w:rPr>
        <w:t>Cristiane Maurer Koch</w:t>
      </w:r>
      <w:r w:rsidR="00600535" w:rsidRPr="00A81A26">
        <w:rPr>
          <w:vertAlign w:val="superscript"/>
          <w:lang w:val="it-IT"/>
        </w:rPr>
        <w:t>a</w:t>
      </w:r>
      <w:r w:rsidR="00600535" w:rsidRPr="00A81A26">
        <w:rPr>
          <w:lang w:val="it-IT"/>
        </w:rPr>
        <w:t xml:space="preserve">, </w:t>
      </w:r>
      <w:r w:rsidRPr="00A81A26">
        <w:rPr>
          <w:lang w:val="it-IT"/>
        </w:rPr>
        <w:t>Leandro Tomasin</w:t>
      </w:r>
      <w:r w:rsidRPr="00A81A26">
        <w:rPr>
          <w:vertAlign w:val="superscript"/>
          <w:lang w:val="it-IT"/>
        </w:rPr>
        <w:t>a</w:t>
      </w:r>
      <w:r w:rsidRPr="00A81A26">
        <w:rPr>
          <w:lang w:val="it-IT"/>
        </w:rPr>
        <w:t>, Francesco Lolli</w:t>
      </w:r>
      <w:r w:rsidRPr="00A81A26">
        <w:rPr>
          <w:vertAlign w:val="superscript"/>
          <w:lang w:val="it-IT"/>
        </w:rPr>
        <w:t>b</w:t>
      </w:r>
      <w:r w:rsidRPr="00A81A26">
        <w:rPr>
          <w:lang w:val="it-IT"/>
        </w:rPr>
        <w:t>, Maria Angela Butturi</w:t>
      </w:r>
      <w:r w:rsidRPr="00A81A26">
        <w:rPr>
          <w:vertAlign w:val="superscript"/>
          <w:lang w:val="it-IT"/>
        </w:rPr>
        <w:t>b</w:t>
      </w:r>
      <w:r w:rsidRPr="00A81A26">
        <w:rPr>
          <w:lang w:val="it-IT"/>
        </w:rPr>
        <w:t>, Miguel Afonso Sellitto</w:t>
      </w:r>
      <w:r w:rsidRPr="00A81A26">
        <w:rPr>
          <w:vertAlign w:val="superscript"/>
          <w:lang w:val="it-IT"/>
        </w:rPr>
        <w:t>a</w:t>
      </w:r>
      <w:r w:rsidR="00600535" w:rsidRPr="00A81A26">
        <w:rPr>
          <w:vertAlign w:val="superscript"/>
          <w:lang w:val="it-IT"/>
        </w:rPr>
        <w:t>,</w:t>
      </w:r>
      <w:r w:rsidR="00600535" w:rsidRPr="00A81A26">
        <w:rPr>
          <w:lang w:val="it-IT"/>
        </w:rPr>
        <w:t>*</w:t>
      </w:r>
    </w:p>
    <w:p w:rsidR="00E978D0" w:rsidRPr="00A81A26" w:rsidRDefault="00F326AA" w:rsidP="00E978D0">
      <w:pPr>
        <w:pStyle w:val="CETAddress"/>
        <w:rPr>
          <w:lang w:val="pt-BR"/>
        </w:rPr>
      </w:pPr>
      <w:r w:rsidRPr="00A81A26">
        <w:rPr>
          <w:vertAlign w:val="superscript"/>
          <w:lang w:val="pt-BR"/>
        </w:rPr>
        <w:t>a</w:t>
      </w:r>
      <w:r w:rsidR="00B64707" w:rsidRPr="00A81A26">
        <w:rPr>
          <w:lang w:val="pt-BR"/>
        </w:rPr>
        <w:t xml:space="preserve">PPGEPS UNISINOS, Av. Unisinos 950, São Leopoldo, </w:t>
      </w:r>
      <w:r w:rsidR="00B45B20" w:rsidRPr="00A81A26">
        <w:rPr>
          <w:lang w:val="pt-BR"/>
        </w:rPr>
        <w:t xml:space="preserve">93022-000, </w:t>
      </w:r>
      <w:r w:rsidR="00B64707" w:rsidRPr="00A81A26">
        <w:rPr>
          <w:lang w:val="pt-BR"/>
        </w:rPr>
        <w:t xml:space="preserve">Brazil </w:t>
      </w:r>
    </w:p>
    <w:p w:rsidR="00E978D0" w:rsidRPr="00B45B20" w:rsidRDefault="00F326AA" w:rsidP="00E978D0">
      <w:pPr>
        <w:pStyle w:val="CETAddress"/>
        <w:rPr>
          <w:lang w:val="it-IT"/>
        </w:rPr>
      </w:pPr>
      <w:r w:rsidRPr="00B45B20">
        <w:rPr>
          <w:vertAlign w:val="superscript"/>
          <w:lang w:val="it-IT"/>
        </w:rPr>
        <w:t>b</w:t>
      </w:r>
      <w:r w:rsidR="00B64707" w:rsidRPr="00B45B20">
        <w:rPr>
          <w:lang w:val="it-IT"/>
        </w:rPr>
        <w:t xml:space="preserve">DISMI UNIMORE, </w:t>
      </w:r>
      <w:r w:rsidR="00B45B20" w:rsidRPr="00B45B20">
        <w:rPr>
          <w:lang w:val="it-IT"/>
        </w:rPr>
        <w:t>Via Amendola 2, Padiglione Morselli, 42122 Reggio Emilia, Italy</w:t>
      </w:r>
      <w:r w:rsidRPr="00B45B20">
        <w:rPr>
          <w:lang w:val="it-IT"/>
        </w:rPr>
        <w:t xml:space="preserve"> </w:t>
      </w:r>
    </w:p>
    <w:p w:rsidR="00E978D0" w:rsidRPr="00B57B36" w:rsidRDefault="00F326AA" w:rsidP="00E978D0">
      <w:pPr>
        <w:pStyle w:val="CETemail"/>
      </w:pPr>
      <w:r w:rsidRPr="00B45B20">
        <w:rPr>
          <w:lang w:val="it-IT"/>
        </w:rPr>
        <w:t xml:space="preserve"> </w:t>
      </w:r>
      <w:r w:rsidR="00B64707">
        <w:t>sellitto</w:t>
      </w:r>
      <w:r w:rsidR="00600535" w:rsidRPr="00B57B36">
        <w:t>@</w:t>
      </w:r>
      <w:r w:rsidR="00B64707">
        <w:t>un</w:t>
      </w:r>
      <w:r w:rsidR="00600535" w:rsidRPr="00B57B36">
        <w:t>i</w:t>
      </w:r>
      <w:r w:rsidR="00B64707">
        <w:t>si</w:t>
      </w:r>
      <w:r w:rsidR="00600535" w:rsidRPr="00B57B36">
        <w:t>n</w:t>
      </w:r>
      <w:r w:rsidR="00B64707">
        <w:t>os</w:t>
      </w:r>
      <w:r w:rsidR="00600535" w:rsidRPr="00B57B36">
        <w:t>.</w:t>
      </w:r>
      <w:r w:rsidR="00B64707">
        <w:t>br</w:t>
      </w:r>
    </w:p>
    <w:p w:rsidR="00EA3AD0" w:rsidRPr="009033C0" w:rsidRDefault="00F326AA" w:rsidP="009033C0">
      <w:pPr>
        <w:pStyle w:val="CETBodytext"/>
        <w:rPr>
          <w:color w:val="000000" w:themeColor="text1"/>
          <w:highlight w:val="white"/>
        </w:rPr>
      </w:pPr>
      <w:r w:rsidRPr="009033C0">
        <w:rPr>
          <w:color w:val="000000" w:themeColor="text1"/>
        </w:rPr>
        <w:t xml:space="preserve">The purpose of this study is to propose and test a </w:t>
      </w:r>
      <w:r w:rsidR="00EA4163">
        <w:rPr>
          <w:color w:val="000000" w:themeColor="text1"/>
        </w:rPr>
        <w:t>tree-like structure</w:t>
      </w:r>
      <w:r w:rsidRPr="009033C0">
        <w:rPr>
          <w:color w:val="000000" w:themeColor="text1"/>
        </w:rPr>
        <w:t xml:space="preserve"> for </w:t>
      </w:r>
      <w:r w:rsidR="009F6CA8">
        <w:rPr>
          <w:color w:val="000000" w:themeColor="text1"/>
        </w:rPr>
        <w:t>assess</w:t>
      </w:r>
      <w:r w:rsidRPr="009033C0">
        <w:rPr>
          <w:color w:val="000000" w:themeColor="text1"/>
        </w:rPr>
        <w:t xml:space="preserve">ing the </w:t>
      </w:r>
      <w:r w:rsidR="00EA4163">
        <w:rPr>
          <w:color w:val="000000" w:themeColor="text1"/>
        </w:rPr>
        <w:t xml:space="preserve">operational </w:t>
      </w:r>
      <w:r w:rsidRPr="009033C0">
        <w:rPr>
          <w:color w:val="000000" w:themeColor="text1"/>
        </w:rPr>
        <w:t xml:space="preserve">performance of an eco-industrial park composed of a managerial, focal company, and </w:t>
      </w:r>
      <w:r w:rsidR="001161BD">
        <w:rPr>
          <w:color w:val="000000" w:themeColor="text1"/>
        </w:rPr>
        <w:t>five</w:t>
      </w:r>
      <w:r w:rsidRPr="009033C0">
        <w:rPr>
          <w:color w:val="000000" w:themeColor="text1"/>
        </w:rPr>
        <w:t xml:space="preserve"> manufacturing companies that exchange, generate, or reuse energy, </w:t>
      </w:r>
      <w:r w:rsidR="00FD7426" w:rsidRPr="009033C0">
        <w:rPr>
          <w:color w:val="000000" w:themeColor="text1"/>
        </w:rPr>
        <w:t>waste,</w:t>
      </w:r>
      <w:r w:rsidRPr="009033C0">
        <w:rPr>
          <w:color w:val="000000" w:themeColor="text1"/>
        </w:rPr>
        <w:t xml:space="preserve"> and by-products from different sources. The top term is </w:t>
      </w:r>
      <w:r w:rsidR="00EA4163">
        <w:rPr>
          <w:color w:val="000000" w:themeColor="text1"/>
        </w:rPr>
        <w:t xml:space="preserve">the EIP operational </w:t>
      </w:r>
      <w:r w:rsidRPr="009033C0">
        <w:rPr>
          <w:color w:val="000000" w:themeColor="text1"/>
        </w:rPr>
        <w:t>overall performance</w:t>
      </w:r>
      <w:r w:rsidR="00EA4163">
        <w:rPr>
          <w:color w:val="000000" w:themeColor="text1"/>
        </w:rPr>
        <w:t>, supported by indicators retrieved from the literature and organized in four c</w:t>
      </w:r>
      <w:r w:rsidRPr="009033C0">
        <w:rPr>
          <w:color w:val="000000" w:themeColor="text1"/>
        </w:rPr>
        <w:t>onstructs</w:t>
      </w:r>
      <w:r w:rsidR="00EA4163" w:rsidRPr="009033C0">
        <w:rPr>
          <w:color w:val="000000" w:themeColor="text1"/>
        </w:rPr>
        <w:t>: (</w:t>
      </w:r>
      <w:proofErr w:type="spellStart"/>
      <w:r w:rsidR="00EA4163" w:rsidRPr="009033C0">
        <w:rPr>
          <w:color w:val="000000" w:themeColor="text1"/>
        </w:rPr>
        <w:t>i</w:t>
      </w:r>
      <w:proofErr w:type="spellEnd"/>
      <w:r w:rsidR="00EA4163" w:rsidRPr="009033C0">
        <w:rPr>
          <w:color w:val="000000" w:themeColor="text1"/>
        </w:rPr>
        <w:t>) internal relationships; (ii) external relations; (iii) ene</w:t>
      </w:r>
      <w:r w:rsidR="00EA4163">
        <w:rPr>
          <w:color w:val="000000" w:themeColor="text1"/>
        </w:rPr>
        <w:t>rgy recovery</w:t>
      </w:r>
      <w:proofErr w:type="gramStart"/>
      <w:r w:rsidR="00EA4163">
        <w:rPr>
          <w:color w:val="000000" w:themeColor="text1"/>
        </w:rPr>
        <w:t>;</w:t>
      </w:r>
      <w:proofErr w:type="gramEnd"/>
      <w:r w:rsidR="00EA4163">
        <w:rPr>
          <w:color w:val="000000" w:themeColor="text1"/>
        </w:rPr>
        <w:t xml:space="preserve"> and (iv) materials</w:t>
      </w:r>
      <w:r w:rsidR="00EA4163" w:rsidRPr="009033C0">
        <w:rPr>
          <w:color w:val="000000" w:themeColor="text1"/>
        </w:rPr>
        <w:t xml:space="preserve"> recovery</w:t>
      </w:r>
      <w:r w:rsidR="00EA4163">
        <w:rPr>
          <w:color w:val="000000" w:themeColor="text1"/>
        </w:rPr>
        <w:t xml:space="preserve">. </w:t>
      </w:r>
      <w:r w:rsidRPr="009033C0">
        <w:rPr>
          <w:color w:val="000000" w:themeColor="text1"/>
        </w:rPr>
        <w:t xml:space="preserve">The </w:t>
      </w:r>
      <w:r w:rsidR="00EA4163">
        <w:rPr>
          <w:color w:val="000000" w:themeColor="text1"/>
        </w:rPr>
        <w:t>first</w:t>
      </w:r>
      <w:r w:rsidRPr="009033C0">
        <w:rPr>
          <w:color w:val="000000" w:themeColor="text1"/>
        </w:rPr>
        <w:t xml:space="preserve"> construct encompasses relationships between companies, </w:t>
      </w:r>
      <w:r>
        <w:rPr>
          <w:color w:val="000000" w:themeColor="text1"/>
        </w:rPr>
        <w:t xml:space="preserve">leadership, </w:t>
      </w:r>
      <w:r w:rsidRPr="009033C0">
        <w:rPr>
          <w:color w:val="000000" w:themeColor="text1"/>
        </w:rPr>
        <w:t xml:space="preserve">mutual </w:t>
      </w:r>
      <w:proofErr w:type="gramStart"/>
      <w:r w:rsidRPr="009033C0">
        <w:rPr>
          <w:color w:val="000000" w:themeColor="text1"/>
        </w:rPr>
        <w:t>trust</w:t>
      </w:r>
      <w:proofErr w:type="gramEnd"/>
      <w:r w:rsidRPr="009033C0">
        <w:rPr>
          <w:color w:val="000000" w:themeColor="text1"/>
        </w:rPr>
        <w:t xml:space="preserve"> and technological exchange</w:t>
      </w:r>
      <w:r>
        <w:rPr>
          <w:color w:val="000000" w:themeColor="text1"/>
        </w:rPr>
        <w:t>,</w:t>
      </w:r>
      <w:r w:rsidRPr="009033C0">
        <w:rPr>
          <w:color w:val="000000" w:themeColor="text1"/>
        </w:rPr>
        <w:t xml:space="preserve"> </w:t>
      </w:r>
      <w:r>
        <w:rPr>
          <w:color w:val="000000" w:themeColor="text1"/>
        </w:rPr>
        <w:t>communication, and integrated information systems</w:t>
      </w:r>
      <w:r w:rsidRPr="009033C0">
        <w:rPr>
          <w:color w:val="000000" w:themeColor="text1"/>
        </w:rPr>
        <w:t xml:space="preserve">. The </w:t>
      </w:r>
      <w:r w:rsidR="00EA4163">
        <w:rPr>
          <w:color w:val="000000" w:themeColor="text1"/>
        </w:rPr>
        <w:t xml:space="preserve">second </w:t>
      </w:r>
      <w:r w:rsidRPr="009033C0">
        <w:rPr>
          <w:color w:val="000000" w:themeColor="text1"/>
        </w:rPr>
        <w:t xml:space="preserve">encompasses </w:t>
      </w:r>
      <w:r w:rsidR="00EA4163">
        <w:rPr>
          <w:color w:val="000000" w:themeColor="text1"/>
        </w:rPr>
        <w:t xml:space="preserve">relations with </w:t>
      </w:r>
      <w:r w:rsidRPr="009033C0">
        <w:rPr>
          <w:color w:val="000000" w:themeColor="text1"/>
        </w:rPr>
        <w:t xml:space="preserve">government, stakeholder communication, compliance, and social responsibility. The </w:t>
      </w:r>
      <w:r w:rsidR="00EA4163">
        <w:rPr>
          <w:color w:val="000000" w:themeColor="text1"/>
        </w:rPr>
        <w:t xml:space="preserve">third </w:t>
      </w:r>
      <w:r w:rsidRPr="009033C0">
        <w:rPr>
          <w:color w:val="000000" w:themeColor="text1"/>
        </w:rPr>
        <w:t xml:space="preserve">encompasses the reuse of biomass, </w:t>
      </w:r>
      <w:r w:rsidR="004D7675">
        <w:rPr>
          <w:color w:val="000000" w:themeColor="text1"/>
        </w:rPr>
        <w:t xml:space="preserve">refuse-derived fuels, </w:t>
      </w:r>
      <w:r w:rsidRPr="009033C0">
        <w:rPr>
          <w:color w:val="000000" w:themeColor="text1"/>
        </w:rPr>
        <w:t xml:space="preserve">heat, fluids (water, gases, steam), and the energy efficiency of facilities. The </w:t>
      </w:r>
      <w:r w:rsidR="00EA4163">
        <w:rPr>
          <w:color w:val="000000" w:themeColor="text1"/>
        </w:rPr>
        <w:t>last</w:t>
      </w:r>
      <w:r w:rsidRPr="009033C0">
        <w:rPr>
          <w:color w:val="000000" w:themeColor="text1"/>
        </w:rPr>
        <w:t xml:space="preserve"> encompasses reuse of waste, reuse of byproducts, efficiency in the logistical process, and efficiency in the manufacturing process. The </w:t>
      </w:r>
      <w:r w:rsidR="00EA4163">
        <w:rPr>
          <w:color w:val="000000" w:themeColor="text1"/>
        </w:rPr>
        <w:t>structure</w:t>
      </w:r>
      <w:r w:rsidRPr="009033C0">
        <w:rPr>
          <w:color w:val="000000" w:themeColor="text1"/>
        </w:rPr>
        <w:t xml:space="preserve"> embraces the three main pillars of sustainability</w:t>
      </w:r>
      <w:r w:rsidR="00EA4163">
        <w:rPr>
          <w:color w:val="000000" w:themeColor="text1"/>
        </w:rPr>
        <w:t>, since t</w:t>
      </w:r>
      <w:r w:rsidRPr="009033C0">
        <w:rPr>
          <w:color w:val="000000" w:themeColor="text1"/>
        </w:rPr>
        <w:t xml:space="preserve">he </w:t>
      </w:r>
      <w:r w:rsidR="001161BD">
        <w:rPr>
          <w:color w:val="000000" w:themeColor="text1"/>
        </w:rPr>
        <w:t xml:space="preserve">first and </w:t>
      </w:r>
      <w:r w:rsidRPr="009033C0">
        <w:rPr>
          <w:color w:val="000000" w:themeColor="text1"/>
        </w:rPr>
        <w:t>second constructs include social issues, whereas the third and fourth include economic a</w:t>
      </w:r>
      <w:r w:rsidR="001161BD">
        <w:rPr>
          <w:color w:val="000000" w:themeColor="text1"/>
        </w:rPr>
        <w:t>nd</w:t>
      </w:r>
      <w:r w:rsidRPr="009033C0">
        <w:rPr>
          <w:color w:val="000000" w:themeColor="text1"/>
        </w:rPr>
        <w:t xml:space="preserve"> environmental </w:t>
      </w:r>
      <w:r w:rsidR="001161BD">
        <w:rPr>
          <w:color w:val="000000" w:themeColor="text1"/>
        </w:rPr>
        <w:t>on</w:t>
      </w:r>
      <w:r w:rsidRPr="009033C0">
        <w:rPr>
          <w:color w:val="000000" w:themeColor="text1"/>
        </w:rPr>
        <w:t xml:space="preserve">es. The research method is qualitative modeling. </w:t>
      </w:r>
      <w:r w:rsidR="00EA4163">
        <w:rPr>
          <w:color w:val="000000" w:themeColor="text1"/>
        </w:rPr>
        <w:t xml:space="preserve">Managers employed a </w:t>
      </w:r>
      <w:r w:rsidR="00EA4163" w:rsidRPr="009033C0">
        <w:rPr>
          <w:color w:val="000000" w:themeColor="text1"/>
        </w:rPr>
        <w:t>Likert scale of agreement [</w:t>
      </w:r>
      <w:proofErr w:type="gramStart"/>
      <w:r w:rsidR="00EA4163" w:rsidRPr="009033C0">
        <w:rPr>
          <w:color w:val="000000" w:themeColor="text1"/>
        </w:rPr>
        <w:t>0</w:t>
      </w:r>
      <w:proofErr w:type="gramEnd"/>
      <w:r w:rsidR="00EA4163" w:rsidRPr="009033C0">
        <w:rPr>
          <w:color w:val="000000" w:themeColor="text1"/>
        </w:rPr>
        <w:t xml:space="preserve"> = strongly disagree ... 1 = </w:t>
      </w:r>
      <w:r w:rsidR="00EA4163" w:rsidRPr="009033C0">
        <w:rPr>
          <w:color w:val="000000" w:themeColor="text1"/>
          <w:highlight w:val="white"/>
        </w:rPr>
        <w:t>strongly agree]</w:t>
      </w:r>
      <w:r w:rsidR="00EA4163">
        <w:rPr>
          <w:color w:val="000000" w:themeColor="text1"/>
        </w:rPr>
        <w:t xml:space="preserve"> to evaluate t</w:t>
      </w:r>
      <w:r w:rsidR="002D08A3">
        <w:rPr>
          <w:color w:val="000000" w:themeColor="text1"/>
        </w:rPr>
        <w:t xml:space="preserve">he importance and performance of </w:t>
      </w:r>
      <w:r w:rsidRPr="009033C0">
        <w:rPr>
          <w:color w:val="000000" w:themeColor="text1"/>
        </w:rPr>
        <w:t>indicator</w:t>
      </w:r>
      <w:r w:rsidR="00EA4163">
        <w:rPr>
          <w:color w:val="000000" w:themeColor="text1"/>
        </w:rPr>
        <w:t>s</w:t>
      </w:r>
      <w:r w:rsidRPr="009033C0">
        <w:rPr>
          <w:color w:val="000000" w:themeColor="text1"/>
          <w:highlight w:val="white"/>
        </w:rPr>
        <w:t>. The importance depend</w:t>
      </w:r>
      <w:r w:rsidR="001161BD">
        <w:rPr>
          <w:color w:val="000000" w:themeColor="text1"/>
          <w:highlight w:val="white"/>
        </w:rPr>
        <w:t>s</w:t>
      </w:r>
      <w:r w:rsidRPr="009033C0">
        <w:rPr>
          <w:color w:val="000000" w:themeColor="text1"/>
          <w:highlight w:val="white"/>
        </w:rPr>
        <w:t xml:space="preserve"> on the influence on the construct and the influence that the c</w:t>
      </w:r>
      <w:r w:rsidR="004D7675">
        <w:rPr>
          <w:color w:val="000000" w:themeColor="text1"/>
          <w:highlight w:val="white"/>
        </w:rPr>
        <w:t>onstruct exerts on the top term</w:t>
      </w:r>
      <w:r w:rsidRPr="009033C0">
        <w:rPr>
          <w:color w:val="000000" w:themeColor="text1"/>
          <w:highlight w:val="white"/>
        </w:rPr>
        <w:t xml:space="preserve">. </w:t>
      </w:r>
      <w:r w:rsidR="00BF748D">
        <w:rPr>
          <w:color w:val="000000" w:themeColor="text1"/>
          <w:highlight w:val="white"/>
        </w:rPr>
        <w:t>The performance depends on the contribution of the indicator</w:t>
      </w:r>
      <w:r w:rsidR="001161BD">
        <w:rPr>
          <w:color w:val="000000" w:themeColor="text1"/>
          <w:highlight w:val="white"/>
        </w:rPr>
        <w:t xml:space="preserve"> to the </w:t>
      </w:r>
      <w:r w:rsidR="00EA4163">
        <w:rPr>
          <w:color w:val="000000" w:themeColor="text1"/>
          <w:highlight w:val="white"/>
        </w:rPr>
        <w:t>over</w:t>
      </w:r>
      <w:r w:rsidR="001161BD">
        <w:rPr>
          <w:color w:val="000000" w:themeColor="text1"/>
          <w:highlight w:val="white"/>
        </w:rPr>
        <w:t>a</w:t>
      </w:r>
      <w:r w:rsidR="00EA4163">
        <w:rPr>
          <w:color w:val="000000" w:themeColor="text1"/>
          <w:highlight w:val="white"/>
        </w:rPr>
        <w:t>l</w:t>
      </w:r>
      <w:r w:rsidR="001161BD">
        <w:rPr>
          <w:color w:val="000000" w:themeColor="text1"/>
          <w:highlight w:val="white"/>
        </w:rPr>
        <w:t xml:space="preserve">l </w:t>
      </w:r>
      <w:r w:rsidR="00EA4163">
        <w:rPr>
          <w:color w:val="000000" w:themeColor="text1"/>
          <w:highlight w:val="white"/>
        </w:rPr>
        <w:t xml:space="preserve">operational </w:t>
      </w:r>
      <w:r w:rsidR="001161BD">
        <w:rPr>
          <w:color w:val="000000" w:themeColor="text1"/>
          <w:highlight w:val="white"/>
        </w:rPr>
        <w:t>result of the EIP</w:t>
      </w:r>
      <w:r w:rsidRPr="009033C0">
        <w:rPr>
          <w:color w:val="000000" w:themeColor="text1"/>
          <w:highlight w:val="white"/>
        </w:rPr>
        <w:t>.</w:t>
      </w:r>
      <w:r w:rsidR="001161BD">
        <w:rPr>
          <w:color w:val="000000" w:themeColor="text1"/>
          <w:highlight w:val="white"/>
        </w:rPr>
        <w:t xml:space="preserve"> Results show that there is no need to reallocate or replace strategic resources among the constructs, but also show that</w:t>
      </w:r>
      <w:r w:rsidR="00EA4163">
        <w:rPr>
          <w:color w:val="000000" w:themeColor="text1"/>
          <w:highlight w:val="white"/>
        </w:rPr>
        <w:t xml:space="preserve"> the overall performance is only 59 % of the maximum possible.</w:t>
      </w:r>
      <w:r w:rsidR="001161BD">
        <w:rPr>
          <w:color w:val="000000" w:themeColor="text1"/>
          <w:highlight w:val="white"/>
        </w:rPr>
        <w:t xml:space="preserve"> </w:t>
      </w:r>
      <w:r w:rsidR="00EA4163">
        <w:rPr>
          <w:color w:val="000000" w:themeColor="text1"/>
          <w:highlight w:val="white"/>
        </w:rPr>
        <w:t>T</w:t>
      </w:r>
      <w:r w:rsidR="001161BD">
        <w:rPr>
          <w:color w:val="000000" w:themeColor="text1"/>
          <w:highlight w:val="white"/>
        </w:rPr>
        <w:t>wo constructs, internal relationships, and energy recovery</w:t>
      </w:r>
      <w:r w:rsidR="00EA4163">
        <w:rPr>
          <w:color w:val="000000" w:themeColor="text1"/>
          <w:highlight w:val="white"/>
        </w:rPr>
        <w:t xml:space="preserve"> require control actions and f</w:t>
      </w:r>
      <w:r w:rsidR="001161BD">
        <w:rPr>
          <w:color w:val="000000" w:themeColor="text1"/>
          <w:highlight w:val="white"/>
        </w:rPr>
        <w:t xml:space="preserve">urther </w:t>
      </w:r>
      <w:r w:rsidR="00063935">
        <w:rPr>
          <w:color w:val="000000" w:themeColor="text1"/>
          <w:highlight w:val="white"/>
        </w:rPr>
        <w:t xml:space="preserve">managerial </w:t>
      </w:r>
      <w:r w:rsidR="001161BD">
        <w:rPr>
          <w:color w:val="000000" w:themeColor="text1"/>
          <w:highlight w:val="white"/>
        </w:rPr>
        <w:t xml:space="preserve">improvement. </w:t>
      </w:r>
    </w:p>
    <w:p w:rsidR="00600535" w:rsidRPr="00B57B36" w:rsidRDefault="00F326AA" w:rsidP="00600535">
      <w:pPr>
        <w:pStyle w:val="CETHeading1"/>
        <w:rPr>
          <w:lang w:val="en-GB"/>
        </w:rPr>
      </w:pPr>
      <w:r w:rsidRPr="00B57B36">
        <w:rPr>
          <w:lang w:val="en-GB"/>
        </w:rPr>
        <w:t>Introduction</w:t>
      </w:r>
    </w:p>
    <w:p w:rsidR="00AB6B45" w:rsidRPr="00B848D2" w:rsidRDefault="00F326AA" w:rsidP="0001692F">
      <w:pPr>
        <w:pStyle w:val="CETBodytext"/>
        <w:rPr>
          <w:b/>
        </w:rPr>
      </w:pPr>
      <w:r w:rsidRPr="00AB6B45">
        <w:t>In eco-industrial parks</w:t>
      </w:r>
      <w:r w:rsidR="00AB64B8">
        <w:t xml:space="preserve"> (EIP)</w:t>
      </w:r>
      <w:r w:rsidRPr="00AB6B45">
        <w:t xml:space="preserve">, solid waste and energy exchanges can contribute to reducing the carbon footprint </w:t>
      </w:r>
      <w:r>
        <w:t>and simultaneously</w:t>
      </w:r>
      <w:r w:rsidRPr="00AB6B45">
        <w:t xml:space="preserve"> increas</w:t>
      </w:r>
      <w:r>
        <w:t>e</w:t>
      </w:r>
      <w:r w:rsidRPr="00AB6B45">
        <w:t xml:space="preserve"> the efficiency of manufacturing units </w:t>
      </w:r>
      <w:r w:rsidR="0001692F" w:rsidRPr="0001692F">
        <w:t>(Gil et al., 2021)</w:t>
      </w:r>
      <w:r w:rsidRPr="00AB6B45">
        <w:t xml:space="preserve">. Some industries, such as </w:t>
      </w:r>
      <w:r w:rsidR="004C44F4">
        <w:t>power generation,</w:t>
      </w:r>
      <w:r w:rsidR="004C44F4" w:rsidRPr="00AB6B45">
        <w:t xml:space="preserve"> </w:t>
      </w:r>
      <w:r w:rsidRPr="00AB6B45">
        <w:t>cement</w:t>
      </w:r>
      <w:r w:rsidR="004C44F4">
        <w:t>, and steelmaking manufacturing</w:t>
      </w:r>
      <w:r w:rsidRPr="00AB6B45">
        <w:t xml:space="preserve"> use solid waste and energy leftovers from partner companies as raw material and secondary fuel </w:t>
      </w:r>
      <w:r>
        <w:t xml:space="preserve">to increase industrial efficiency </w:t>
      </w:r>
      <w:r w:rsidRPr="00AB6B45">
        <w:t>(Sellitto</w:t>
      </w:r>
      <w:r>
        <w:t xml:space="preserve"> et al., 202</w:t>
      </w:r>
      <w:r w:rsidR="006046E6">
        <w:t>1</w:t>
      </w:r>
      <w:r>
        <w:t xml:space="preserve">). </w:t>
      </w:r>
      <w:r w:rsidRPr="00B848D2">
        <w:t xml:space="preserve">Waste from </w:t>
      </w:r>
      <w:proofErr w:type="spellStart"/>
      <w:r w:rsidRPr="00B848D2">
        <w:t>agri</w:t>
      </w:r>
      <w:proofErr w:type="spellEnd"/>
      <w:r w:rsidR="00B6240B" w:rsidRPr="00B848D2">
        <w:t>-</w:t>
      </w:r>
      <w:r w:rsidRPr="00B848D2">
        <w:t xml:space="preserve">food supply chains </w:t>
      </w:r>
      <w:r w:rsidR="00B848D2" w:rsidRPr="00B848D2">
        <w:t xml:space="preserve">(Sellitto and Hermann, 2016) and </w:t>
      </w:r>
      <w:r w:rsidR="004C44F4">
        <w:t>municipal solid waste (MSW)</w:t>
      </w:r>
      <w:r w:rsidR="00B848D2">
        <w:t>, including useless appliances</w:t>
      </w:r>
      <w:r w:rsidR="00B848D2" w:rsidRPr="00B848D2">
        <w:t xml:space="preserve"> (Sellitto and Hermann, 2019)</w:t>
      </w:r>
      <w:r w:rsidR="00B848D2">
        <w:t>,</w:t>
      </w:r>
      <w:r w:rsidR="00B848D2" w:rsidRPr="00B848D2">
        <w:t xml:space="preserve"> </w:t>
      </w:r>
      <w:r w:rsidRPr="00B848D2">
        <w:t>can also route for industrial reuse.</w:t>
      </w:r>
    </w:p>
    <w:p w:rsidR="00A81A26" w:rsidRDefault="00F326AA" w:rsidP="00A87393">
      <w:pPr>
        <w:pStyle w:val="CETBodytext"/>
      </w:pPr>
      <w:r w:rsidRPr="00A81A26">
        <w:t xml:space="preserve">One way to manage the strategic performance of </w:t>
      </w:r>
      <w:r w:rsidR="00AB64B8">
        <w:rPr>
          <w:color w:val="000000" w:themeColor="text1"/>
          <w:highlight w:val="white"/>
        </w:rPr>
        <w:t>EIP</w:t>
      </w:r>
      <w:r w:rsidR="00F97932" w:rsidRPr="009033C0">
        <w:rPr>
          <w:color w:val="000000" w:themeColor="text1"/>
          <w:highlight w:val="white"/>
        </w:rPr>
        <w:t>s</w:t>
      </w:r>
      <w:r w:rsidR="00F97932" w:rsidRPr="00A81A26">
        <w:t xml:space="preserve"> </w:t>
      </w:r>
      <w:r w:rsidR="00E572B8">
        <w:t xml:space="preserve">and similar </w:t>
      </w:r>
      <w:r w:rsidR="0004178C">
        <w:t>network</w:t>
      </w:r>
      <w:r w:rsidR="00E572B8">
        <w:t xml:space="preserve">s </w:t>
      </w:r>
      <w:r w:rsidRPr="00A81A26">
        <w:t>includes systematic assessments of economic and environmental aspects</w:t>
      </w:r>
      <w:r w:rsidR="00E572B8">
        <w:t xml:space="preserve"> (</w:t>
      </w:r>
      <w:proofErr w:type="spellStart"/>
      <w:r w:rsidR="00E572B8">
        <w:t>Baierle</w:t>
      </w:r>
      <w:proofErr w:type="spellEnd"/>
      <w:r w:rsidR="00E572B8">
        <w:t xml:space="preserve"> et al., 2020)</w:t>
      </w:r>
      <w:r w:rsidRPr="00A81A26">
        <w:t xml:space="preserve">. Such assessments consider practices such as industrial </w:t>
      </w:r>
      <w:r w:rsidR="00E572B8">
        <w:t>and</w:t>
      </w:r>
      <w:r w:rsidRPr="00A81A26">
        <w:t xml:space="preserve"> energy symbiosis in managing the use of multiple renewable energy sources (</w:t>
      </w:r>
      <w:proofErr w:type="spellStart"/>
      <w:r w:rsidRPr="00A81A26">
        <w:t>B</w:t>
      </w:r>
      <w:r w:rsidR="00F97932" w:rsidRPr="00A81A26">
        <w:t>utturi</w:t>
      </w:r>
      <w:proofErr w:type="spellEnd"/>
      <w:r w:rsidRPr="00A81A26">
        <w:t xml:space="preserve"> et al., 2019). In the long term, an evaluation and control </w:t>
      </w:r>
      <w:r w:rsidR="004C44F4">
        <w:t xml:space="preserve">managerial </w:t>
      </w:r>
      <w:r w:rsidRPr="00A81A26">
        <w:t xml:space="preserve">system can help an </w:t>
      </w:r>
      <w:r w:rsidR="004C44F4">
        <w:rPr>
          <w:color w:val="000000" w:themeColor="text1"/>
          <w:highlight w:val="white"/>
        </w:rPr>
        <w:t>EIP</w:t>
      </w:r>
      <w:r w:rsidR="004C44F4">
        <w:rPr>
          <w:color w:val="000000" w:themeColor="text1"/>
        </w:rPr>
        <w:t xml:space="preserve"> </w:t>
      </w:r>
      <w:r w:rsidRPr="00A81A26">
        <w:t>to achieve and maintain its economic, environmental, social, and institutional viability (T</w:t>
      </w:r>
      <w:r w:rsidR="005C4221" w:rsidRPr="00A81A26">
        <w:t>udor</w:t>
      </w:r>
      <w:r w:rsidRPr="00A81A26">
        <w:t xml:space="preserve"> et al., 2007).</w:t>
      </w:r>
    </w:p>
    <w:p w:rsidR="0001692F" w:rsidRPr="00AB6B45" w:rsidRDefault="00F326AA" w:rsidP="00A87393">
      <w:pPr>
        <w:pStyle w:val="CETBodytext"/>
      </w:pPr>
      <w:r>
        <w:lastRenderedPageBreak/>
        <w:t xml:space="preserve">Previous studies </w:t>
      </w:r>
      <w:r w:rsidRPr="0001692F">
        <w:t xml:space="preserve">suggest considering drivers and barriers in the implementation </w:t>
      </w:r>
      <w:r>
        <w:t>(</w:t>
      </w:r>
      <w:r w:rsidRPr="0001692F">
        <w:t>Sellitto et al.</w:t>
      </w:r>
      <w:r>
        <w:t xml:space="preserve">, </w:t>
      </w:r>
      <w:r w:rsidRPr="0001692F">
        <w:t>202</w:t>
      </w:r>
      <w:r>
        <w:t>1</w:t>
      </w:r>
      <w:r w:rsidRPr="0001692F">
        <w:t>)</w:t>
      </w:r>
      <w:r>
        <w:t xml:space="preserve"> </w:t>
      </w:r>
      <w:r w:rsidRPr="0001692F">
        <w:t>and maintenance (Abreu et al. 2020) of industrial symbiosis projects. Both</w:t>
      </w:r>
      <w:r>
        <w:t xml:space="preserve"> studies qualitatively evaluate</w:t>
      </w:r>
      <w:r w:rsidRPr="0001692F">
        <w:t xml:space="preserve"> technical, </w:t>
      </w:r>
      <w:r w:rsidR="00F97932" w:rsidRPr="0001692F">
        <w:t>commercial,</w:t>
      </w:r>
      <w:r w:rsidRPr="0001692F">
        <w:t xml:space="preserve"> and institutional relationships between companies in the same geographic region and listed influential factors such as communication, trust, logistics, reciprocity, and cooperation capacity. Ceglia et al. (2017) add factors that can limit or encourage favorable logistical solutions, such as common purpose, technological innovation, and mutual engagement</w:t>
      </w:r>
      <w:r w:rsidR="004C44F4">
        <w:t xml:space="preserve"> in technological developments.</w:t>
      </w:r>
      <w:r w:rsidRPr="0001692F">
        <w:t xml:space="preserve"> Hewes </w:t>
      </w:r>
      <w:r w:rsidR="00BA7776">
        <w:t xml:space="preserve">and </w:t>
      </w:r>
      <w:r w:rsidR="00BA7776" w:rsidRPr="00BA7776">
        <w:t>Lyons</w:t>
      </w:r>
      <w:r w:rsidR="00BA7776" w:rsidRPr="0001692F">
        <w:t xml:space="preserve"> </w:t>
      </w:r>
      <w:r w:rsidRPr="0001692F">
        <w:t xml:space="preserve">(2008) </w:t>
      </w:r>
      <w:r>
        <w:t>highlight</w:t>
      </w:r>
      <w:r w:rsidRPr="0001692F">
        <w:t xml:space="preserve"> </w:t>
      </w:r>
      <w:r>
        <w:t xml:space="preserve">the importance of </w:t>
      </w:r>
      <w:r w:rsidRPr="0001692F">
        <w:t xml:space="preserve">trust in dyadic relationships and the relevant role of the integration of information systems in the management of waste </w:t>
      </w:r>
      <w:r w:rsidR="004C44F4">
        <w:t xml:space="preserve">and energy </w:t>
      </w:r>
      <w:r w:rsidRPr="0001692F">
        <w:t>exchanges.</w:t>
      </w:r>
    </w:p>
    <w:p w:rsidR="0012404B" w:rsidRDefault="00F326AA" w:rsidP="0012404B">
      <w:pPr>
        <w:pStyle w:val="CETBodytext"/>
      </w:pPr>
      <w:r w:rsidRPr="0001692F">
        <w:t>The purpose of this study is to propose a</w:t>
      </w:r>
      <w:r w:rsidR="004C44F4">
        <w:t>n operational</w:t>
      </w:r>
      <w:r w:rsidRPr="0001692F">
        <w:t xml:space="preserve"> performance </w:t>
      </w:r>
      <w:r w:rsidR="009F6CA8">
        <w:t>assessment</w:t>
      </w:r>
      <w:r w:rsidRPr="0001692F">
        <w:t xml:space="preserve"> system applied to </w:t>
      </w:r>
      <w:r w:rsidR="00AB64B8">
        <w:rPr>
          <w:color w:val="000000" w:themeColor="text1"/>
          <w:highlight w:val="white"/>
        </w:rPr>
        <w:t>EIP</w:t>
      </w:r>
      <w:r w:rsidR="00F97932" w:rsidRPr="009033C0">
        <w:rPr>
          <w:color w:val="000000" w:themeColor="text1"/>
          <w:highlight w:val="white"/>
        </w:rPr>
        <w:t>s</w:t>
      </w:r>
      <w:r w:rsidRPr="0001692F">
        <w:t xml:space="preserve">. Such a procedure must </w:t>
      </w:r>
      <w:r w:rsidR="004C44F4">
        <w:t xml:space="preserve">include </w:t>
      </w:r>
      <w:r w:rsidR="004C44F4" w:rsidRPr="0001692F">
        <w:t xml:space="preserve">structural aspects related to the management </w:t>
      </w:r>
      <w:r w:rsidR="004C44F4">
        <w:t>(Sellitto et al., 2015) and</w:t>
      </w:r>
      <w:r w:rsidR="004C44F4" w:rsidRPr="0001692F">
        <w:t xml:space="preserve"> the operation (Sellitto and Murakami, 2018)</w:t>
      </w:r>
      <w:r w:rsidRPr="0001692F">
        <w:t xml:space="preserve"> </w:t>
      </w:r>
      <w:r w:rsidR="004C44F4" w:rsidRPr="0001692F">
        <w:t xml:space="preserve">and </w:t>
      </w:r>
      <w:r w:rsidRPr="0001692F">
        <w:t>technological aspects related to the efficiency of energy and materials recovery (</w:t>
      </w:r>
      <w:proofErr w:type="spellStart"/>
      <w:r w:rsidRPr="0001692F">
        <w:t>Golev</w:t>
      </w:r>
      <w:proofErr w:type="spellEnd"/>
      <w:r w:rsidRPr="0001692F">
        <w:t xml:space="preserve"> et al., 2015).</w:t>
      </w:r>
      <w:r w:rsidR="00F97932">
        <w:t xml:space="preserve"> </w:t>
      </w:r>
      <w:r w:rsidR="009502A2">
        <w:t>The research method is qualitative modeling.</w:t>
      </w:r>
      <w:r w:rsidR="00ED68FB">
        <w:t xml:space="preserve"> </w:t>
      </w:r>
      <w:r w:rsidR="00F97932">
        <w:t xml:space="preserve">The main contribution </w:t>
      </w:r>
      <w:r w:rsidR="004C44F4">
        <w:t xml:space="preserve">of the study </w:t>
      </w:r>
      <w:r w:rsidR="00F97932">
        <w:t xml:space="preserve">is a tree-like structure formed by constructs and indicators. The structure was tested in an </w:t>
      </w:r>
      <w:r w:rsidR="00AB64B8">
        <w:rPr>
          <w:color w:val="000000" w:themeColor="text1"/>
        </w:rPr>
        <w:t>EIP</w:t>
      </w:r>
      <w:r w:rsidR="00F97932">
        <w:rPr>
          <w:color w:val="000000" w:themeColor="text1"/>
        </w:rPr>
        <w:t xml:space="preserve"> that encompasses a focal</w:t>
      </w:r>
      <w:r w:rsidR="004C44F4">
        <w:rPr>
          <w:color w:val="000000" w:themeColor="text1"/>
        </w:rPr>
        <w:t>, coordinator</w:t>
      </w:r>
      <w:r w:rsidR="00F97932">
        <w:rPr>
          <w:color w:val="000000" w:themeColor="text1"/>
        </w:rPr>
        <w:t xml:space="preserve"> company, and </w:t>
      </w:r>
      <w:r w:rsidR="004C44F4">
        <w:rPr>
          <w:color w:val="000000" w:themeColor="text1"/>
        </w:rPr>
        <w:t>five</w:t>
      </w:r>
      <w:r w:rsidR="00F97932">
        <w:rPr>
          <w:color w:val="000000" w:themeColor="text1"/>
        </w:rPr>
        <w:t xml:space="preserve"> manufacturing companies that exchange, generate, reuse, or </w:t>
      </w:r>
      <w:r>
        <w:rPr>
          <w:color w:val="000000" w:themeColor="text1"/>
        </w:rPr>
        <w:t xml:space="preserve">internally and externally </w:t>
      </w:r>
      <w:r w:rsidR="00F97932">
        <w:rPr>
          <w:color w:val="000000" w:themeColor="text1"/>
        </w:rPr>
        <w:t xml:space="preserve">route energy surplus, waste, and by-products recovered from </w:t>
      </w:r>
      <w:r>
        <w:rPr>
          <w:color w:val="000000" w:themeColor="text1"/>
        </w:rPr>
        <w:t xml:space="preserve">internal and external </w:t>
      </w:r>
      <w:r w:rsidR="00F97932">
        <w:rPr>
          <w:color w:val="000000" w:themeColor="text1"/>
        </w:rPr>
        <w:t>sources.</w:t>
      </w:r>
      <w:r w:rsidR="00A87393" w:rsidRPr="00F97932">
        <w:t xml:space="preserve"> </w:t>
      </w:r>
      <w:r w:rsidR="00F97932" w:rsidRPr="00F97932">
        <w:t xml:space="preserve">The top term is the overall </w:t>
      </w:r>
      <w:r>
        <w:t xml:space="preserve">operational </w:t>
      </w:r>
      <w:r w:rsidR="00F97932" w:rsidRPr="00F97932">
        <w:t>performance, supported b</w:t>
      </w:r>
      <w:r w:rsidR="00F97932">
        <w:t>y</w:t>
      </w:r>
      <w:r w:rsidR="00F97932" w:rsidRPr="00F97932">
        <w:t xml:space="preserve"> four constructs</w:t>
      </w:r>
      <w:r w:rsidR="00A87393" w:rsidRPr="00F97932">
        <w:t>: (</w:t>
      </w:r>
      <w:proofErr w:type="spellStart"/>
      <w:r w:rsidR="00A87393" w:rsidRPr="00F97932">
        <w:t>i</w:t>
      </w:r>
      <w:proofErr w:type="spellEnd"/>
      <w:r w:rsidR="00A87393" w:rsidRPr="00F97932">
        <w:t xml:space="preserve">) </w:t>
      </w:r>
      <w:r w:rsidR="00F97932" w:rsidRPr="00F97932">
        <w:t>int</w:t>
      </w:r>
      <w:r w:rsidR="00F97932">
        <w:t>ernal relationships</w:t>
      </w:r>
      <w:r w:rsidR="00A87393" w:rsidRPr="00F97932">
        <w:t xml:space="preserve">; (ii) </w:t>
      </w:r>
      <w:r w:rsidR="00F97932">
        <w:t>ex</w:t>
      </w:r>
      <w:r w:rsidR="00F97932" w:rsidRPr="00F97932">
        <w:t>t</w:t>
      </w:r>
      <w:r w:rsidR="00F97932">
        <w:t>ernal relationships</w:t>
      </w:r>
      <w:r w:rsidR="00A87393" w:rsidRPr="00F97932">
        <w:t xml:space="preserve">; (iii) </w:t>
      </w:r>
      <w:r w:rsidR="00F97932">
        <w:t>energy recovery</w:t>
      </w:r>
      <w:proofErr w:type="gramStart"/>
      <w:r w:rsidR="00A87393" w:rsidRPr="00F97932">
        <w:t>;</w:t>
      </w:r>
      <w:proofErr w:type="gramEnd"/>
      <w:r w:rsidR="00A87393" w:rsidRPr="00F97932">
        <w:t xml:space="preserve"> </w:t>
      </w:r>
      <w:r w:rsidR="00F97932">
        <w:t>and</w:t>
      </w:r>
      <w:r w:rsidR="00A87393" w:rsidRPr="00F97932">
        <w:t xml:space="preserve"> (iv) </w:t>
      </w:r>
      <w:r w:rsidR="009502A2">
        <w:t>material</w:t>
      </w:r>
      <w:r w:rsidR="009E1F1C">
        <w:t>s</w:t>
      </w:r>
      <w:r w:rsidR="00F97932">
        <w:t xml:space="preserve"> recovery</w:t>
      </w:r>
      <w:r w:rsidR="00A87393" w:rsidRPr="00F97932">
        <w:t>.</w:t>
      </w:r>
      <w:r>
        <w:t xml:space="preserve"> </w:t>
      </w:r>
    </w:p>
    <w:p w:rsidR="00B95322" w:rsidRPr="00F97932" w:rsidRDefault="00F326AA" w:rsidP="00A87393">
      <w:pPr>
        <w:pStyle w:val="CETBodytext"/>
      </w:pPr>
      <w:r w:rsidRPr="009502A2">
        <w:t xml:space="preserve">The internal relationships construct encompasses relationships between companies, communication, mutual trust, and technological exchanges. The external relationships construct encompasses government relations, communication with stakeholders, compliance, and social responsibility. </w:t>
      </w:r>
      <w:r w:rsidRPr="00B3794F">
        <w:t xml:space="preserve">The energy recovery construct encompasses the reuse of biomass, heat, fluids (water, gases, </w:t>
      </w:r>
      <w:r>
        <w:t xml:space="preserve">or </w:t>
      </w:r>
      <w:r w:rsidRPr="00B3794F">
        <w:t xml:space="preserve">steam), and the energy efficiency of facilities. The material recovery construct encompasses the reuse of </w:t>
      </w:r>
      <w:r>
        <w:t>MSW</w:t>
      </w:r>
      <w:r w:rsidRPr="00B3794F">
        <w:t xml:space="preserve">, by-products, efficiency in the logistical process, and efficiency in the manufacturing process. The </w:t>
      </w:r>
      <w:r w:rsidR="002D097D">
        <w:t xml:space="preserve">first construct and </w:t>
      </w:r>
      <w:r w:rsidRPr="00B3794F">
        <w:t xml:space="preserve">second construct include social issues, while the third and fourth </w:t>
      </w:r>
      <w:r>
        <w:t xml:space="preserve">constructs </w:t>
      </w:r>
      <w:r w:rsidRPr="00B3794F">
        <w:t>include economic and environmental issues</w:t>
      </w:r>
      <w:r w:rsidRPr="00CA40FD">
        <w:t>.</w:t>
      </w:r>
      <w:r>
        <w:t xml:space="preserve"> The literature presents </w:t>
      </w:r>
      <w:r w:rsidR="003C78FF" w:rsidRPr="00B95322">
        <w:t xml:space="preserve">aspects </w:t>
      </w:r>
      <w:r w:rsidRPr="00B95322">
        <w:t xml:space="preserve">related to the constructs </w:t>
      </w:r>
      <w:r>
        <w:t>that may help</w:t>
      </w:r>
      <w:r w:rsidRPr="00B95322">
        <w:t xml:space="preserve"> to assess the feasibility of </w:t>
      </w:r>
      <w:r>
        <w:t xml:space="preserve">industrial or energy symbiosis </w:t>
      </w:r>
      <w:r w:rsidRPr="00B95322">
        <w:t xml:space="preserve">projects </w:t>
      </w:r>
      <w:r w:rsidR="003C78FF" w:rsidRPr="00B95322">
        <w:t>(</w:t>
      </w:r>
      <w:proofErr w:type="spellStart"/>
      <w:r w:rsidR="003C78FF" w:rsidRPr="00B95322">
        <w:t>Belaud</w:t>
      </w:r>
      <w:proofErr w:type="spellEnd"/>
      <w:r w:rsidR="003C78FF" w:rsidRPr="00B95322">
        <w:t xml:space="preserve"> et al. 2019)</w:t>
      </w:r>
      <w:r w:rsidR="003C78FF">
        <w:t>. H</w:t>
      </w:r>
      <w:r w:rsidR="003C78FF" w:rsidRPr="00B95322">
        <w:t xml:space="preserve">owever, </w:t>
      </w:r>
      <w:r w:rsidR="003C78FF">
        <w:t>to the best of our knowledge</w:t>
      </w:r>
      <w:r w:rsidR="003C78FF" w:rsidRPr="00B95322">
        <w:t xml:space="preserve">, </w:t>
      </w:r>
      <w:r w:rsidR="002D097D">
        <w:t>the previous literature review</w:t>
      </w:r>
      <w:r w:rsidR="002D097D" w:rsidRPr="00B95322">
        <w:t xml:space="preserve"> </w:t>
      </w:r>
      <w:r w:rsidR="002D097D">
        <w:t xml:space="preserve">found </w:t>
      </w:r>
      <w:r w:rsidR="003C78FF" w:rsidRPr="00B95322">
        <w:t xml:space="preserve">no </w:t>
      </w:r>
      <w:r>
        <w:t xml:space="preserve">evaluation and control procedure </w:t>
      </w:r>
      <w:r w:rsidR="003C78FF" w:rsidRPr="00B95322">
        <w:t>appli</w:t>
      </w:r>
      <w:r>
        <w:t>ed to</w:t>
      </w:r>
      <w:r w:rsidR="003C78FF" w:rsidRPr="00B95322">
        <w:t xml:space="preserve"> </w:t>
      </w:r>
      <w:r>
        <w:t xml:space="preserve">an </w:t>
      </w:r>
      <w:r w:rsidR="003C78FF">
        <w:t>EIP</w:t>
      </w:r>
      <w:r w:rsidR="003C78FF" w:rsidRPr="00B95322">
        <w:t xml:space="preserve"> </w:t>
      </w:r>
      <w:r>
        <w:t xml:space="preserve">operation </w:t>
      </w:r>
      <w:r w:rsidR="003C78FF" w:rsidRPr="00B95322">
        <w:t>(</w:t>
      </w:r>
      <w:proofErr w:type="spellStart"/>
      <w:r w:rsidR="003C78FF" w:rsidRPr="00B95322">
        <w:t>Faria</w:t>
      </w:r>
      <w:proofErr w:type="spellEnd"/>
      <w:r w:rsidR="003C78FF" w:rsidRPr="00B95322">
        <w:t xml:space="preserve"> et al</w:t>
      </w:r>
      <w:r w:rsidR="003C78FF">
        <w:t xml:space="preserve">., </w:t>
      </w:r>
      <w:r w:rsidR="003C78FF" w:rsidRPr="00B95322">
        <w:t>2021).</w:t>
      </w:r>
    </w:p>
    <w:p w:rsidR="00BA7776" w:rsidRDefault="00F326AA" w:rsidP="00600535">
      <w:pPr>
        <w:pStyle w:val="CETHeading1"/>
        <w:tabs>
          <w:tab w:val="clear" w:pos="360"/>
          <w:tab w:val="right" w:pos="7100"/>
        </w:tabs>
        <w:jc w:val="both"/>
        <w:rPr>
          <w:lang w:val="en-GB"/>
        </w:rPr>
      </w:pPr>
      <w:r>
        <w:rPr>
          <w:lang w:val="en-GB"/>
        </w:rPr>
        <w:t>Theoretical Model: Relationships and Operation Efficiency</w:t>
      </w:r>
      <w:r w:rsidR="00AB64B8">
        <w:rPr>
          <w:lang w:val="en-GB"/>
        </w:rPr>
        <w:t xml:space="preserve"> in EIP</w:t>
      </w:r>
    </w:p>
    <w:p w:rsidR="00921C86" w:rsidRDefault="00F326AA" w:rsidP="00921C86">
      <w:pPr>
        <w:pStyle w:val="CETBodytext"/>
      </w:pPr>
      <w:r>
        <w:t xml:space="preserve">Internal relationship management among partners is an essential concern in symbiotic industrial networks </w:t>
      </w:r>
      <w:r w:rsidRPr="0001692F">
        <w:t>(Sellitto and Murakami, 2018)</w:t>
      </w:r>
      <w:r>
        <w:t xml:space="preserve">. </w:t>
      </w:r>
      <w:r w:rsidRPr="00AB64B8">
        <w:t>The existence of previous, robust relationships among companies (</w:t>
      </w:r>
      <w:r w:rsidR="009774F0">
        <w:t>King et al.</w:t>
      </w:r>
      <w:r w:rsidR="009774F0" w:rsidRPr="0001692F">
        <w:t>, 20</w:t>
      </w:r>
      <w:r w:rsidR="009774F0">
        <w:t>20</w:t>
      </w:r>
      <w:r w:rsidRPr="00AB64B8">
        <w:t>) and manage</w:t>
      </w:r>
      <w:r w:rsidR="00AB64B8" w:rsidRPr="00AB64B8">
        <w:t>ment sys</w:t>
      </w:r>
      <w:r w:rsidR="00AB64B8">
        <w:t>tems</w:t>
      </w:r>
      <w:r w:rsidRPr="00AB64B8">
        <w:t xml:space="preserve"> (</w:t>
      </w:r>
      <w:r w:rsidR="009774F0">
        <w:t>Ashton, 2008</w:t>
      </w:r>
      <w:r w:rsidRPr="00AB64B8">
        <w:t xml:space="preserve">) can definitively </w:t>
      </w:r>
      <w:r w:rsidR="00AB64B8" w:rsidRPr="00AB64B8">
        <w:t xml:space="preserve">facilitate the negotiation and management of critical factors that </w:t>
      </w:r>
      <w:r w:rsidR="006D5BEB">
        <w:t>usually</w:t>
      </w:r>
      <w:r w:rsidR="00AB64B8" w:rsidRPr="00AB64B8">
        <w:t xml:space="preserve"> encourage or hinder symbiotic exchanges of materials and energy.</w:t>
      </w:r>
      <w:r w:rsidR="00AB64B8">
        <w:t xml:space="preserve"> The existence of a formal, institutional leadership may also </w:t>
      </w:r>
      <w:r w:rsidR="009E1F1C">
        <w:t>boost</w:t>
      </w:r>
      <w:r w:rsidR="00AB64B8">
        <w:t xml:space="preserve"> </w:t>
      </w:r>
      <w:r w:rsidR="000B3BFC">
        <w:t>performance</w:t>
      </w:r>
      <w:r w:rsidR="00AB64B8">
        <w:t xml:space="preserve"> (</w:t>
      </w:r>
      <w:proofErr w:type="spellStart"/>
      <w:r w:rsidR="009774F0" w:rsidRPr="009774F0">
        <w:t>Faria</w:t>
      </w:r>
      <w:proofErr w:type="spellEnd"/>
      <w:r w:rsidR="009774F0" w:rsidRPr="009774F0">
        <w:t xml:space="preserve"> et al.</w:t>
      </w:r>
      <w:r w:rsidR="009774F0">
        <w:t xml:space="preserve">, </w:t>
      </w:r>
      <w:r w:rsidR="009774F0" w:rsidRPr="009774F0">
        <w:t>2020</w:t>
      </w:r>
      <w:r w:rsidR="00AB64B8">
        <w:t xml:space="preserve">), as well as mutual trust </w:t>
      </w:r>
      <w:r w:rsidR="00C84561">
        <w:t xml:space="preserve">and technology </w:t>
      </w:r>
      <w:r w:rsidR="006D5BEB">
        <w:t xml:space="preserve">advances </w:t>
      </w:r>
      <w:r w:rsidR="00C84561">
        <w:t xml:space="preserve">exchange </w:t>
      </w:r>
      <w:r w:rsidR="00AB64B8">
        <w:t>(</w:t>
      </w:r>
      <w:r w:rsidR="00AB64B8" w:rsidRPr="0001692F">
        <w:t xml:space="preserve">Hewes </w:t>
      </w:r>
      <w:r w:rsidR="00AB64B8">
        <w:t xml:space="preserve">and </w:t>
      </w:r>
      <w:r w:rsidR="00AB64B8" w:rsidRPr="00BA7776">
        <w:t>Lyons</w:t>
      </w:r>
      <w:r w:rsidR="00AB64B8">
        <w:t xml:space="preserve">, </w:t>
      </w:r>
      <w:r w:rsidR="00AB64B8" w:rsidRPr="0001692F">
        <w:t>2008</w:t>
      </w:r>
      <w:r w:rsidR="00AB64B8">
        <w:t>), communication (</w:t>
      </w:r>
      <w:r w:rsidR="009774F0">
        <w:t>Ceglia et al., 2017</w:t>
      </w:r>
      <w:r w:rsidR="00AB64B8">
        <w:t xml:space="preserve">), and integration of the information systems of </w:t>
      </w:r>
      <w:r w:rsidR="00C84561">
        <w:t>partners</w:t>
      </w:r>
      <w:r w:rsidR="00AB64B8">
        <w:t xml:space="preserve"> (</w:t>
      </w:r>
      <w:r w:rsidR="00AB64B8" w:rsidRPr="0001692F">
        <w:t xml:space="preserve">Hewes </w:t>
      </w:r>
      <w:r w:rsidR="00AB64B8">
        <w:t xml:space="preserve">and </w:t>
      </w:r>
      <w:r w:rsidR="00AB64B8" w:rsidRPr="00BA7776">
        <w:t>Lyons</w:t>
      </w:r>
      <w:r w:rsidR="00AB64B8">
        <w:t xml:space="preserve">, </w:t>
      </w:r>
      <w:r w:rsidR="00AB64B8" w:rsidRPr="0001692F">
        <w:t>2008)</w:t>
      </w:r>
      <w:r w:rsidR="00AB64B8">
        <w:t>.</w:t>
      </w:r>
    </w:p>
    <w:p w:rsidR="00973121" w:rsidRDefault="00F326AA" w:rsidP="003A6293">
      <w:pPr>
        <w:pStyle w:val="CETBodytext"/>
      </w:pPr>
      <w:r>
        <w:t>The same is true regarding external relationships.</w:t>
      </w:r>
      <w:r w:rsidR="003A6293" w:rsidRPr="003A6293">
        <w:t xml:space="preserve"> Political, economic, governmental, and institutional aspects significantly influence decisions involving symbiotic companies (</w:t>
      </w:r>
      <w:proofErr w:type="spellStart"/>
      <w:r w:rsidR="003A6293" w:rsidRPr="003A6293">
        <w:t>Fraccascia</w:t>
      </w:r>
      <w:proofErr w:type="spellEnd"/>
      <w:r w:rsidR="003A6293" w:rsidRPr="003A6293">
        <w:t xml:space="preserve"> et al., 2017), mainly when there are regional policies to encourage the reuse of materials and fuels</w:t>
      </w:r>
      <w:r w:rsidR="009F6CA8">
        <w:t xml:space="preserve"> surplus</w:t>
      </w:r>
      <w:r w:rsidR="003A6293" w:rsidRPr="003A6293">
        <w:t xml:space="preserve"> (Yu et al., 2014). To take advantage of opportunities, communication with the various stakeholders must be fluid and transparent (</w:t>
      </w:r>
      <w:proofErr w:type="spellStart"/>
      <w:r w:rsidR="003A6293" w:rsidRPr="003A6293">
        <w:t>Fraccascia</w:t>
      </w:r>
      <w:proofErr w:type="spellEnd"/>
      <w:r w:rsidR="003A6293" w:rsidRPr="003A6293">
        <w:t xml:space="preserve"> et al., 2017). </w:t>
      </w:r>
      <w:r w:rsidR="009F6CA8">
        <w:t xml:space="preserve">Besides </w:t>
      </w:r>
      <w:r w:rsidR="009F6CA8" w:rsidRPr="003A6293">
        <w:t>avoiding penalties, which are usually severe</w:t>
      </w:r>
      <w:r w:rsidR="009F6CA8">
        <w:t>, c</w:t>
      </w:r>
      <w:r w:rsidR="003A6293" w:rsidRPr="003A6293">
        <w:t xml:space="preserve">ompliance with legal provisions </w:t>
      </w:r>
      <w:r w:rsidR="009F6CA8">
        <w:t xml:space="preserve">many times </w:t>
      </w:r>
      <w:r w:rsidR="009F6CA8" w:rsidRPr="003A6293">
        <w:t>generates a</w:t>
      </w:r>
      <w:r w:rsidR="009F6CA8">
        <w:t xml:space="preserve">dditional benefits provided by </w:t>
      </w:r>
      <w:r w:rsidR="009F6CA8" w:rsidRPr="003A6293">
        <w:t xml:space="preserve">legislation </w:t>
      </w:r>
      <w:r w:rsidR="003A6293" w:rsidRPr="003A6293">
        <w:t>(</w:t>
      </w:r>
      <w:proofErr w:type="spellStart"/>
      <w:r w:rsidR="003A6293" w:rsidRPr="003A6293">
        <w:t>Vimal</w:t>
      </w:r>
      <w:proofErr w:type="spellEnd"/>
      <w:r w:rsidR="003A6293" w:rsidRPr="003A6293">
        <w:t xml:space="preserve"> et al., 2019), especially regional ones (</w:t>
      </w:r>
      <w:proofErr w:type="spellStart"/>
      <w:r w:rsidR="003A6293" w:rsidRPr="003A6293">
        <w:t>Yamsrual</w:t>
      </w:r>
      <w:proofErr w:type="spellEnd"/>
      <w:r w:rsidR="003A6293" w:rsidRPr="003A6293">
        <w:t xml:space="preserve"> et al., 2019). Finally, the relationship with neighboring communities and social responsibility actions can also encourage the active participation of these communities in offering materials </w:t>
      </w:r>
      <w:r w:rsidR="009F6CA8">
        <w:t xml:space="preserve">still </w:t>
      </w:r>
      <w:r w:rsidR="003A6293" w:rsidRPr="003A6293">
        <w:t>reus</w:t>
      </w:r>
      <w:r w:rsidR="009F6CA8">
        <w:t>able</w:t>
      </w:r>
      <w:r w:rsidR="003A6293" w:rsidRPr="003A6293">
        <w:t>, as occurs with waste picker cooperatives</w:t>
      </w:r>
      <w:r w:rsidR="009F6CA8">
        <w:t xml:space="preserve"> and municipalities administrations</w:t>
      </w:r>
      <w:r w:rsidR="003A6293" w:rsidRPr="003A6293">
        <w:t xml:space="preserve"> (</w:t>
      </w:r>
      <w:proofErr w:type="spellStart"/>
      <w:r w:rsidR="003A6293" w:rsidRPr="003A6293">
        <w:t>Yamsrual</w:t>
      </w:r>
      <w:proofErr w:type="spellEnd"/>
      <w:r w:rsidR="003A6293" w:rsidRPr="003A6293">
        <w:t xml:space="preserve"> et al., 2019).</w:t>
      </w:r>
    </w:p>
    <w:p w:rsidR="00730735" w:rsidRDefault="00F326AA" w:rsidP="003A6293">
      <w:pPr>
        <w:pStyle w:val="CETBodytext"/>
      </w:pPr>
      <w:r w:rsidRPr="00730735">
        <w:t>As for energy recovery, the use of biomass such as sugarcane bagasse (</w:t>
      </w:r>
      <w:proofErr w:type="spellStart"/>
      <w:r w:rsidRPr="00730735">
        <w:t>Chantasiriwan</w:t>
      </w:r>
      <w:proofErr w:type="spellEnd"/>
      <w:r w:rsidRPr="00730735">
        <w:t>, 2021), sludge (</w:t>
      </w:r>
      <w:proofErr w:type="spellStart"/>
      <w:r w:rsidRPr="00730735">
        <w:t>Loureiro</w:t>
      </w:r>
      <w:proofErr w:type="spellEnd"/>
      <w:r w:rsidRPr="00730735">
        <w:t xml:space="preserve"> et al., 2021), and ric</w:t>
      </w:r>
      <w:r w:rsidR="00695694">
        <w:t xml:space="preserve">e husk (Sellitto et al., 2013) </w:t>
      </w:r>
      <w:r w:rsidR="00695694" w:rsidRPr="00695694">
        <w:t xml:space="preserve">can </w:t>
      </w:r>
      <w:r w:rsidR="00695694">
        <w:t xml:space="preserve">typically </w:t>
      </w:r>
      <w:r w:rsidR="00695694" w:rsidRPr="00695694">
        <w:t xml:space="preserve">reduce the use of primary fuel </w:t>
      </w:r>
      <w:r w:rsidR="009F6CA8">
        <w:t xml:space="preserve">to a rate of </w:t>
      </w:r>
      <w:r w:rsidR="00695694" w:rsidRPr="00695694">
        <w:t>20</w:t>
      </w:r>
      <w:r w:rsidR="009F6CA8">
        <w:t xml:space="preserve"> </w:t>
      </w:r>
      <w:r w:rsidR="00695694" w:rsidRPr="00695694">
        <w:t>%</w:t>
      </w:r>
      <w:r w:rsidR="00695694">
        <w:t xml:space="preserve"> to 30</w:t>
      </w:r>
      <w:r w:rsidR="009F6CA8">
        <w:t xml:space="preserve"> </w:t>
      </w:r>
      <w:r w:rsidR="00695694">
        <w:t>% in most applications</w:t>
      </w:r>
      <w:r w:rsidRPr="00730735">
        <w:t xml:space="preserve">. Likewise, reusing </w:t>
      </w:r>
      <w:r w:rsidR="004D7675">
        <w:t xml:space="preserve">refuse-derived fuel (RDR) </w:t>
      </w:r>
      <w:r w:rsidR="004F5B16">
        <w:t>(</w:t>
      </w:r>
      <w:proofErr w:type="spellStart"/>
      <w:r w:rsidR="004F5B16">
        <w:t>Brás</w:t>
      </w:r>
      <w:proofErr w:type="spellEnd"/>
      <w:r w:rsidR="004F5B16">
        <w:t xml:space="preserve"> et al., 2017), </w:t>
      </w:r>
      <w:r w:rsidRPr="00730735">
        <w:t xml:space="preserve">heat </w:t>
      </w:r>
      <w:r w:rsidR="00716696">
        <w:t>(</w:t>
      </w:r>
      <w:r w:rsidR="00716696" w:rsidRPr="00716696">
        <w:t>Gil et al., 2021</w:t>
      </w:r>
      <w:r w:rsidR="00716696">
        <w:t xml:space="preserve">), </w:t>
      </w:r>
      <w:r w:rsidRPr="00730735">
        <w:t xml:space="preserve">and fluids such as </w:t>
      </w:r>
      <w:r w:rsidR="004F5B16">
        <w:t xml:space="preserve">hot </w:t>
      </w:r>
      <w:r w:rsidRPr="00730735">
        <w:t xml:space="preserve">water or steam can also reduce the generation of new heated fluids by up to </w:t>
      </w:r>
      <w:r w:rsidR="009F6CA8">
        <w:t xml:space="preserve">a </w:t>
      </w:r>
      <w:r w:rsidRPr="00730735">
        <w:t>25</w:t>
      </w:r>
      <w:r w:rsidR="009F6CA8">
        <w:t xml:space="preserve"> </w:t>
      </w:r>
      <w:r w:rsidRPr="00730735">
        <w:t xml:space="preserve">% </w:t>
      </w:r>
      <w:r w:rsidR="009F6CA8">
        <w:t xml:space="preserve">quote </w:t>
      </w:r>
      <w:r w:rsidRPr="00730735">
        <w:t>(</w:t>
      </w:r>
      <w:proofErr w:type="spellStart"/>
      <w:r w:rsidRPr="00730735">
        <w:t>Chantasiriwan</w:t>
      </w:r>
      <w:proofErr w:type="spellEnd"/>
      <w:r w:rsidRPr="00730735">
        <w:t>, 2021). Finally, installations that are highly energy efficient or that take advantage of renewable energies</w:t>
      </w:r>
      <w:r w:rsidR="009F6CA8">
        <w:t>, such as wind or solar panel farms,</w:t>
      </w:r>
      <w:r w:rsidRPr="00730735">
        <w:t xml:space="preserve"> also contribute to increasing the strategic importance of energy recovery activities (</w:t>
      </w:r>
      <w:proofErr w:type="spellStart"/>
      <w:r w:rsidRPr="00730735">
        <w:t>Manaf</w:t>
      </w:r>
      <w:proofErr w:type="spellEnd"/>
      <w:r w:rsidRPr="00730735">
        <w:t xml:space="preserve"> and Abbas, 2021).</w:t>
      </w:r>
    </w:p>
    <w:p w:rsidR="009F6CA8" w:rsidRDefault="00F326AA" w:rsidP="002A394D">
      <w:pPr>
        <w:pStyle w:val="CETBodytext"/>
      </w:pPr>
      <w:proofErr w:type="gramStart"/>
      <w:r>
        <w:t>Finally, regarding materials</w:t>
      </w:r>
      <w:r w:rsidRPr="00730735">
        <w:t xml:space="preserve"> recovery</w:t>
      </w:r>
      <w:r w:rsidR="009E1F1C">
        <w:t>, the reuse of waste retrieved from various sources (</w:t>
      </w:r>
      <w:r w:rsidR="009E1F1C" w:rsidRPr="009E1F1C">
        <w:t>Bain</w:t>
      </w:r>
      <w:r w:rsidR="009E1F1C">
        <w:t xml:space="preserve"> et al., 2010), the reuse of byproducts originated from manufacturing processes (Sellitto et al., 2021), the efficiency in the reverse logistics processes, which encompasses picking, warehousing, and distribution</w:t>
      </w:r>
      <w:r w:rsidR="00716696">
        <w:t xml:space="preserve"> (</w:t>
      </w:r>
      <w:r w:rsidR="00716696">
        <w:rPr>
          <w:color w:val="000000" w:themeColor="text1"/>
        </w:rPr>
        <w:t>Sellitto et al., 2013</w:t>
      </w:r>
      <w:r w:rsidR="00716696">
        <w:t>)</w:t>
      </w:r>
      <w:r w:rsidR="009E1F1C">
        <w:t xml:space="preserve">, and the efficiency in the manufacturing processes in the final destination are relevant aspects that should be managed in </w:t>
      </w:r>
      <w:r>
        <w:t xml:space="preserve">the operation of an </w:t>
      </w:r>
      <w:r w:rsidR="009E1F1C">
        <w:t>EIPs</w:t>
      </w:r>
      <w:r w:rsidR="00716696">
        <w:t xml:space="preserve"> </w:t>
      </w:r>
      <w:r w:rsidR="00716696">
        <w:rPr>
          <w:color w:val="000000" w:themeColor="text1"/>
        </w:rPr>
        <w:t>(Yu et al., 2014)</w:t>
      </w:r>
      <w:r w:rsidR="009E1F1C">
        <w:t>.</w:t>
      </w:r>
      <w:proofErr w:type="gramEnd"/>
      <w:r w:rsidR="009E1F1C">
        <w:t xml:space="preserve"> </w:t>
      </w:r>
    </w:p>
    <w:p w:rsidR="002A394D" w:rsidRDefault="00F326AA" w:rsidP="002A394D">
      <w:pPr>
        <w:pStyle w:val="CETBodytext"/>
      </w:pPr>
      <w:r>
        <w:t xml:space="preserve">Table 1 synthesizes constructs and indicators of the </w:t>
      </w:r>
      <w:r w:rsidR="009F6CA8">
        <w:t>tree-like structure</w:t>
      </w:r>
      <w:r w:rsidR="009F6CA8" w:rsidRPr="009F6CA8">
        <w:t xml:space="preserve"> </w:t>
      </w:r>
      <w:r w:rsidR="009F6CA8">
        <w:t>assessment</w:t>
      </w:r>
      <w:r>
        <w:t>.</w:t>
      </w:r>
    </w:p>
    <w:p w:rsidR="00BB14F5" w:rsidRPr="00B57B36" w:rsidRDefault="00F326AA" w:rsidP="00BB14F5">
      <w:pPr>
        <w:pStyle w:val="CETTabletitle"/>
      </w:pPr>
      <w:r w:rsidRPr="00B57B36">
        <w:lastRenderedPageBreak/>
        <w:t xml:space="preserve">Table 1: </w:t>
      </w:r>
      <w:r>
        <w:t xml:space="preserve">Tree-like structure of the </w:t>
      </w:r>
      <w:r w:rsidR="009F6CA8">
        <w:t>operational performance assessment</w:t>
      </w:r>
    </w:p>
    <w:tbl>
      <w:tblPr>
        <w:tblW w:w="8505"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418"/>
        <w:gridCol w:w="3969"/>
        <w:gridCol w:w="1984"/>
      </w:tblGrid>
      <w:tr w:rsidR="00AB607F" w:rsidTr="001873F8">
        <w:tc>
          <w:tcPr>
            <w:tcW w:w="1134" w:type="dxa"/>
            <w:tcBorders>
              <w:top w:val="single" w:sz="12" w:space="0" w:color="008000"/>
              <w:bottom w:val="single" w:sz="6" w:space="0" w:color="008000"/>
            </w:tcBorders>
            <w:shd w:val="clear" w:color="auto" w:fill="FFFFFF"/>
          </w:tcPr>
          <w:p w:rsidR="00065E09" w:rsidRPr="00B57B36" w:rsidRDefault="00F326AA" w:rsidP="00840CCD">
            <w:pPr>
              <w:pStyle w:val="CETBodytext"/>
              <w:rPr>
                <w:lang w:val="en-GB"/>
              </w:rPr>
            </w:pPr>
            <w:r>
              <w:rPr>
                <w:lang w:val="en-GB"/>
              </w:rPr>
              <w:t>Top term</w:t>
            </w:r>
            <w:r w:rsidRPr="00B57B36">
              <w:rPr>
                <w:lang w:val="en-GB"/>
              </w:rPr>
              <w:t xml:space="preserve"> </w:t>
            </w:r>
          </w:p>
        </w:tc>
        <w:tc>
          <w:tcPr>
            <w:tcW w:w="1418" w:type="dxa"/>
            <w:tcBorders>
              <w:top w:val="single" w:sz="12" w:space="0" w:color="008000"/>
              <w:bottom w:val="single" w:sz="6" w:space="0" w:color="008000"/>
            </w:tcBorders>
            <w:shd w:val="clear" w:color="auto" w:fill="FFFFFF"/>
          </w:tcPr>
          <w:p w:rsidR="00065E09" w:rsidRPr="00B57B36" w:rsidRDefault="00F326AA" w:rsidP="00840CCD">
            <w:pPr>
              <w:pStyle w:val="CETBodytext"/>
              <w:rPr>
                <w:lang w:val="en-GB"/>
              </w:rPr>
            </w:pPr>
            <w:r>
              <w:rPr>
                <w:lang w:val="en-GB"/>
              </w:rPr>
              <w:t>Construct</w:t>
            </w:r>
          </w:p>
        </w:tc>
        <w:tc>
          <w:tcPr>
            <w:tcW w:w="3969" w:type="dxa"/>
            <w:tcBorders>
              <w:top w:val="single" w:sz="12" w:space="0" w:color="008000"/>
              <w:bottom w:val="single" w:sz="6" w:space="0" w:color="008000"/>
            </w:tcBorders>
            <w:shd w:val="clear" w:color="auto" w:fill="FFFFFF"/>
          </w:tcPr>
          <w:p w:rsidR="00065E09" w:rsidRPr="00B57B36" w:rsidRDefault="00F326AA" w:rsidP="002D7389">
            <w:pPr>
              <w:pStyle w:val="CETBodytext"/>
              <w:rPr>
                <w:lang w:val="en-GB"/>
              </w:rPr>
            </w:pPr>
            <w:r>
              <w:rPr>
                <w:lang w:val="en-GB"/>
              </w:rPr>
              <w:t>Indicator</w:t>
            </w:r>
            <w:r w:rsidR="002D7389">
              <w:rPr>
                <w:lang w:val="en-GB"/>
              </w:rPr>
              <w:t>: tag</w:t>
            </w:r>
          </w:p>
        </w:tc>
        <w:tc>
          <w:tcPr>
            <w:tcW w:w="1984" w:type="dxa"/>
            <w:tcBorders>
              <w:top w:val="single" w:sz="12" w:space="0" w:color="008000"/>
              <w:bottom w:val="single" w:sz="6" w:space="0" w:color="008000"/>
            </w:tcBorders>
            <w:shd w:val="clear" w:color="auto" w:fill="FFFFFF"/>
          </w:tcPr>
          <w:p w:rsidR="00065E09" w:rsidRPr="00B57B36" w:rsidRDefault="00F326AA" w:rsidP="00840CCD">
            <w:pPr>
              <w:pStyle w:val="CETBodytext"/>
              <w:ind w:right="-1"/>
              <w:rPr>
                <w:rFonts w:cs="Arial"/>
                <w:szCs w:val="18"/>
                <w:lang w:val="en-GB"/>
              </w:rPr>
            </w:pPr>
            <w:r>
              <w:rPr>
                <w:rFonts w:cs="Arial"/>
                <w:szCs w:val="18"/>
                <w:lang w:val="en-GB"/>
              </w:rPr>
              <w:t>Empirical reference</w:t>
            </w:r>
          </w:p>
        </w:tc>
      </w:tr>
      <w:tr w:rsidR="00AB607F" w:rsidTr="001873F8">
        <w:tc>
          <w:tcPr>
            <w:tcW w:w="1134" w:type="dxa"/>
            <w:shd w:val="clear" w:color="auto" w:fill="FFFFFF"/>
          </w:tcPr>
          <w:p w:rsidR="00065E09" w:rsidRPr="00B57B36" w:rsidRDefault="00F326AA" w:rsidP="00065E09">
            <w:pPr>
              <w:pStyle w:val="CETBodytext"/>
              <w:rPr>
                <w:lang w:val="en-GB"/>
              </w:rPr>
            </w:pPr>
            <w:r>
              <w:rPr>
                <w:lang w:val="en-GB"/>
              </w:rPr>
              <w:t xml:space="preserve">EIP </w:t>
            </w:r>
          </w:p>
        </w:tc>
        <w:tc>
          <w:tcPr>
            <w:tcW w:w="1418" w:type="dxa"/>
            <w:shd w:val="clear" w:color="auto" w:fill="FFFFFF"/>
          </w:tcPr>
          <w:p w:rsidR="00065E09" w:rsidRPr="00B57B36" w:rsidRDefault="00F326AA" w:rsidP="001873F8">
            <w:pPr>
              <w:pStyle w:val="CETBodytext"/>
              <w:rPr>
                <w:lang w:val="en-GB"/>
              </w:rPr>
            </w:pPr>
            <w:r>
              <w:t xml:space="preserve">Internal </w:t>
            </w:r>
          </w:p>
        </w:tc>
        <w:tc>
          <w:tcPr>
            <w:tcW w:w="3969" w:type="dxa"/>
            <w:shd w:val="clear" w:color="auto" w:fill="FFFFFF"/>
          </w:tcPr>
          <w:p w:rsidR="00065E09" w:rsidRPr="00B57B36" w:rsidRDefault="00F326AA" w:rsidP="00065E09">
            <w:pPr>
              <w:pStyle w:val="CETBodytext"/>
              <w:rPr>
                <w:lang w:val="en-GB"/>
              </w:rPr>
            </w:pPr>
            <w:r>
              <w:rPr>
                <w:lang w:val="en-GB"/>
              </w:rPr>
              <w:t>Members relationships</w:t>
            </w:r>
            <w:r w:rsidR="002D7389">
              <w:rPr>
                <w:lang w:val="en-GB"/>
              </w:rPr>
              <w:t>: A1</w:t>
            </w:r>
          </w:p>
        </w:tc>
        <w:tc>
          <w:tcPr>
            <w:tcW w:w="1984" w:type="dxa"/>
            <w:shd w:val="clear" w:color="auto" w:fill="FFFFFF"/>
          </w:tcPr>
          <w:p w:rsidR="00065E09" w:rsidRPr="00B57B36" w:rsidRDefault="00F326AA" w:rsidP="00840CCD">
            <w:pPr>
              <w:pStyle w:val="CETBodytext"/>
              <w:ind w:right="-1"/>
              <w:rPr>
                <w:rFonts w:cs="Arial"/>
                <w:szCs w:val="18"/>
                <w:lang w:val="en-GB"/>
              </w:rPr>
            </w:pPr>
            <w:r w:rsidRPr="00716696">
              <w:t>King et al. (2020)</w:t>
            </w:r>
          </w:p>
        </w:tc>
      </w:tr>
      <w:tr w:rsidR="00AB607F" w:rsidTr="001873F8">
        <w:trPr>
          <w:trHeight w:val="218"/>
        </w:trPr>
        <w:tc>
          <w:tcPr>
            <w:tcW w:w="1134" w:type="dxa"/>
            <w:shd w:val="clear" w:color="auto" w:fill="FFFFFF"/>
          </w:tcPr>
          <w:p w:rsidR="00065E09" w:rsidRPr="00B57B36" w:rsidRDefault="00F326AA" w:rsidP="00840CCD">
            <w:pPr>
              <w:pStyle w:val="CETBodytext"/>
              <w:rPr>
                <w:lang w:val="en-GB"/>
              </w:rPr>
            </w:pPr>
            <w:r>
              <w:rPr>
                <w:lang w:val="en-GB"/>
              </w:rPr>
              <w:t>performance</w:t>
            </w:r>
          </w:p>
        </w:tc>
        <w:tc>
          <w:tcPr>
            <w:tcW w:w="1418" w:type="dxa"/>
            <w:shd w:val="clear" w:color="auto" w:fill="FFFFFF"/>
          </w:tcPr>
          <w:p w:rsidR="00065E09" w:rsidRDefault="00F326AA" w:rsidP="00840CCD">
            <w:pPr>
              <w:pStyle w:val="CETBodytext"/>
            </w:pPr>
            <w:r>
              <w:t>relationships</w:t>
            </w:r>
          </w:p>
        </w:tc>
        <w:tc>
          <w:tcPr>
            <w:tcW w:w="3969" w:type="dxa"/>
            <w:shd w:val="clear" w:color="auto" w:fill="FFFFFF"/>
          </w:tcPr>
          <w:p w:rsidR="00065E09" w:rsidRPr="00B57B36" w:rsidRDefault="00F326AA" w:rsidP="002D7389">
            <w:pPr>
              <w:pStyle w:val="CETBodytext"/>
              <w:rPr>
                <w:lang w:val="en-GB"/>
              </w:rPr>
            </w:pPr>
            <w:r>
              <w:t>Institutional leadership</w:t>
            </w:r>
            <w:r w:rsidR="002D7389">
              <w:rPr>
                <w:lang w:val="en-GB"/>
              </w:rPr>
              <w:t>: A2</w:t>
            </w:r>
          </w:p>
        </w:tc>
        <w:tc>
          <w:tcPr>
            <w:tcW w:w="1984" w:type="dxa"/>
            <w:shd w:val="clear" w:color="auto" w:fill="FFFFFF"/>
          </w:tcPr>
          <w:p w:rsidR="00065E09" w:rsidRPr="00B57B36" w:rsidRDefault="00F326AA" w:rsidP="00840CCD">
            <w:pPr>
              <w:pStyle w:val="CETBodytext"/>
              <w:ind w:right="-1"/>
              <w:rPr>
                <w:rFonts w:cs="Arial"/>
                <w:szCs w:val="18"/>
                <w:lang w:val="en-GB"/>
              </w:rPr>
            </w:pPr>
            <w:r w:rsidRPr="009774F0">
              <w:rPr>
                <w:lang w:val="pt-BR"/>
              </w:rPr>
              <w:t>F</w:t>
            </w:r>
            <w:r>
              <w:rPr>
                <w:lang w:val="pt-BR"/>
              </w:rPr>
              <w:t>aria et al. (2020)</w:t>
            </w:r>
          </w:p>
        </w:tc>
      </w:tr>
      <w:tr w:rsidR="00AB607F" w:rsidTr="001873F8">
        <w:tc>
          <w:tcPr>
            <w:tcW w:w="1134" w:type="dxa"/>
            <w:shd w:val="clear" w:color="auto" w:fill="FFFFFF"/>
          </w:tcPr>
          <w:p w:rsidR="00065E09" w:rsidRPr="00B57B36" w:rsidRDefault="00065E09" w:rsidP="00840CCD">
            <w:pPr>
              <w:pStyle w:val="CETBodytext"/>
              <w:rPr>
                <w:lang w:val="en-GB"/>
              </w:rPr>
            </w:pPr>
          </w:p>
        </w:tc>
        <w:tc>
          <w:tcPr>
            <w:tcW w:w="1418" w:type="dxa"/>
            <w:shd w:val="clear" w:color="auto" w:fill="FFFFFF"/>
          </w:tcPr>
          <w:p w:rsidR="00065E09" w:rsidRDefault="00065E09" w:rsidP="00840CCD">
            <w:pPr>
              <w:pStyle w:val="CETBodytext"/>
            </w:pPr>
          </w:p>
        </w:tc>
        <w:tc>
          <w:tcPr>
            <w:tcW w:w="3969" w:type="dxa"/>
            <w:shd w:val="clear" w:color="auto" w:fill="FFFFFF"/>
          </w:tcPr>
          <w:p w:rsidR="00065E09" w:rsidRPr="00B57B36" w:rsidRDefault="00F326AA" w:rsidP="00840CCD">
            <w:pPr>
              <w:pStyle w:val="CETBodytext"/>
              <w:rPr>
                <w:lang w:val="en-GB"/>
              </w:rPr>
            </w:pPr>
            <w:r>
              <w:t>Mutual t</w:t>
            </w:r>
            <w:r w:rsidRPr="00C6592E">
              <w:t>rust</w:t>
            </w:r>
            <w:r w:rsidR="00EA3AD0">
              <w:t xml:space="preserve"> and technology exchange</w:t>
            </w:r>
            <w:r w:rsidR="002D7389">
              <w:t>: A3</w:t>
            </w:r>
          </w:p>
        </w:tc>
        <w:tc>
          <w:tcPr>
            <w:tcW w:w="1984" w:type="dxa"/>
            <w:shd w:val="clear" w:color="auto" w:fill="FFFFFF"/>
          </w:tcPr>
          <w:p w:rsidR="00065E09" w:rsidRPr="00B57B36" w:rsidRDefault="00F326AA" w:rsidP="00840CCD">
            <w:pPr>
              <w:pStyle w:val="CETBodytext"/>
              <w:ind w:right="-1"/>
              <w:rPr>
                <w:rFonts w:cs="Arial"/>
                <w:szCs w:val="18"/>
                <w:lang w:val="en-GB"/>
              </w:rPr>
            </w:pPr>
            <w:r w:rsidRPr="0001692F">
              <w:t xml:space="preserve">Hewes </w:t>
            </w:r>
            <w:r>
              <w:t xml:space="preserve">and </w:t>
            </w:r>
            <w:r w:rsidRPr="00BA7776">
              <w:t>Lyons</w:t>
            </w:r>
            <w:r w:rsidRPr="0001692F">
              <w:t xml:space="preserve"> (2008)</w:t>
            </w:r>
          </w:p>
        </w:tc>
      </w:tr>
      <w:tr w:rsidR="00AB607F" w:rsidTr="001873F8">
        <w:tc>
          <w:tcPr>
            <w:tcW w:w="1134" w:type="dxa"/>
            <w:shd w:val="clear" w:color="auto" w:fill="FFFFFF"/>
          </w:tcPr>
          <w:p w:rsidR="00065E09" w:rsidRPr="00B57B36" w:rsidRDefault="00065E09" w:rsidP="00840CCD">
            <w:pPr>
              <w:pStyle w:val="CETBodytext"/>
              <w:rPr>
                <w:lang w:val="en-GB"/>
              </w:rPr>
            </w:pPr>
          </w:p>
        </w:tc>
        <w:tc>
          <w:tcPr>
            <w:tcW w:w="1418" w:type="dxa"/>
            <w:shd w:val="clear" w:color="auto" w:fill="FFFFFF"/>
          </w:tcPr>
          <w:p w:rsidR="00065E09" w:rsidRPr="00B57B36" w:rsidRDefault="00065E09" w:rsidP="00840CCD">
            <w:pPr>
              <w:pStyle w:val="CETBodytext"/>
              <w:rPr>
                <w:lang w:val="en-GB"/>
              </w:rPr>
            </w:pPr>
          </w:p>
        </w:tc>
        <w:tc>
          <w:tcPr>
            <w:tcW w:w="3969" w:type="dxa"/>
            <w:shd w:val="clear" w:color="auto" w:fill="FFFFFF"/>
          </w:tcPr>
          <w:p w:rsidR="00065E09" w:rsidRPr="00065E09" w:rsidRDefault="00F326AA" w:rsidP="002D7389">
            <w:pPr>
              <w:pStyle w:val="CETBodytext"/>
            </w:pPr>
            <w:r w:rsidRPr="00C6592E">
              <w:t>Communication</w:t>
            </w:r>
            <w:r w:rsidR="002D7389">
              <w:rPr>
                <w:lang w:val="en-GB"/>
              </w:rPr>
              <w:t>: A4</w:t>
            </w:r>
            <w:r>
              <w:t xml:space="preserve"> </w:t>
            </w:r>
          </w:p>
        </w:tc>
        <w:tc>
          <w:tcPr>
            <w:tcW w:w="1984" w:type="dxa"/>
            <w:shd w:val="clear" w:color="auto" w:fill="FFFFFF"/>
          </w:tcPr>
          <w:p w:rsidR="00065E09" w:rsidRPr="00B57B36" w:rsidRDefault="00F326AA" w:rsidP="00840CCD">
            <w:pPr>
              <w:pStyle w:val="CETBodytext"/>
              <w:ind w:right="-1"/>
              <w:rPr>
                <w:rFonts w:cs="Arial"/>
                <w:szCs w:val="18"/>
                <w:lang w:val="en-GB"/>
              </w:rPr>
            </w:pPr>
            <w:r w:rsidRPr="0001692F">
              <w:t>Ceglia et al. (2017)</w:t>
            </w:r>
          </w:p>
        </w:tc>
      </w:tr>
      <w:tr w:rsidR="00AB607F" w:rsidTr="001873F8">
        <w:tc>
          <w:tcPr>
            <w:tcW w:w="1134" w:type="dxa"/>
            <w:shd w:val="clear" w:color="auto" w:fill="FFFFFF"/>
          </w:tcPr>
          <w:p w:rsidR="00065E09" w:rsidRPr="00B57B36" w:rsidRDefault="00065E09" w:rsidP="00840CCD">
            <w:pPr>
              <w:pStyle w:val="CETBodytext"/>
              <w:rPr>
                <w:lang w:val="en-GB"/>
              </w:rPr>
            </w:pPr>
          </w:p>
        </w:tc>
        <w:tc>
          <w:tcPr>
            <w:tcW w:w="1418" w:type="dxa"/>
            <w:shd w:val="clear" w:color="auto" w:fill="FFFFFF"/>
          </w:tcPr>
          <w:p w:rsidR="00065E09" w:rsidRDefault="00065E09" w:rsidP="00840CCD">
            <w:pPr>
              <w:pStyle w:val="CETBodytext"/>
            </w:pPr>
          </w:p>
        </w:tc>
        <w:tc>
          <w:tcPr>
            <w:tcW w:w="3969" w:type="dxa"/>
            <w:shd w:val="clear" w:color="auto" w:fill="FFFFFF"/>
          </w:tcPr>
          <w:p w:rsidR="00065E09" w:rsidRPr="00B57B36" w:rsidRDefault="00F326AA" w:rsidP="002D7389">
            <w:pPr>
              <w:pStyle w:val="CETBodytext"/>
              <w:rPr>
                <w:lang w:val="en-GB"/>
              </w:rPr>
            </w:pPr>
            <w:r w:rsidRPr="00C6592E">
              <w:t>Integration of information systems</w:t>
            </w:r>
            <w:r w:rsidR="002D7389">
              <w:rPr>
                <w:lang w:val="en-GB"/>
              </w:rPr>
              <w:t>: A5</w:t>
            </w:r>
          </w:p>
        </w:tc>
        <w:tc>
          <w:tcPr>
            <w:tcW w:w="1984" w:type="dxa"/>
            <w:shd w:val="clear" w:color="auto" w:fill="FFFFFF"/>
          </w:tcPr>
          <w:p w:rsidR="00065E09" w:rsidRPr="00B57B36" w:rsidRDefault="00F326AA" w:rsidP="00840CCD">
            <w:pPr>
              <w:pStyle w:val="CETBodytext"/>
              <w:ind w:right="-1"/>
              <w:rPr>
                <w:rFonts w:cs="Arial"/>
                <w:szCs w:val="18"/>
                <w:lang w:val="en-GB"/>
              </w:rPr>
            </w:pPr>
            <w:r>
              <w:rPr>
                <w:color w:val="000000" w:themeColor="text1"/>
              </w:rPr>
              <w:t>Yu et al. (2014)</w:t>
            </w:r>
          </w:p>
        </w:tc>
      </w:tr>
      <w:tr w:rsidR="00AB607F" w:rsidTr="001873F8">
        <w:tc>
          <w:tcPr>
            <w:tcW w:w="1134" w:type="dxa"/>
            <w:shd w:val="clear" w:color="auto" w:fill="FFFFFF"/>
          </w:tcPr>
          <w:p w:rsidR="00065E09" w:rsidRPr="00B57B36" w:rsidRDefault="00065E09" w:rsidP="00840CCD">
            <w:pPr>
              <w:pStyle w:val="CETBodytext"/>
              <w:rPr>
                <w:lang w:val="en-GB"/>
              </w:rPr>
            </w:pPr>
          </w:p>
        </w:tc>
        <w:tc>
          <w:tcPr>
            <w:tcW w:w="1418" w:type="dxa"/>
            <w:shd w:val="clear" w:color="auto" w:fill="FFFFFF"/>
          </w:tcPr>
          <w:p w:rsidR="00065E09" w:rsidRDefault="00F326AA" w:rsidP="001873F8">
            <w:pPr>
              <w:pStyle w:val="CETBodytext"/>
            </w:pPr>
            <w:r>
              <w:t xml:space="preserve">External </w:t>
            </w:r>
          </w:p>
        </w:tc>
        <w:tc>
          <w:tcPr>
            <w:tcW w:w="3969" w:type="dxa"/>
            <w:shd w:val="clear" w:color="auto" w:fill="FFFFFF"/>
          </w:tcPr>
          <w:p w:rsidR="00065E09" w:rsidRPr="00B57B36" w:rsidRDefault="00F326AA" w:rsidP="002D7389">
            <w:pPr>
              <w:pStyle w:val="CETBodytext"/>
              <w:rPr>
                <w:lang w:val="en-GB"/>
              </w:rPr>
            </w:pPr>
            <w:r>
              <w:rPr>
                <w:lang w:val="en-GB"/>
              </w:rPr>
              <w:t>Relations with governments</w:t>
            </w:r>
            <w:r w:rsidR="002D7389">
              <w:rPr>
                <w:lang w:val="en-GB"/>
              </w:rPr>
              <w:t>: B1</w:t>
            </w:r>
          </w:p>
        </w:tc>
        <w:tc>
          <w:tcPr>
            <w:tcW w:w="1984" w:type="dxa"/>
            <w:shd w:val="clear" w:color="auto" w:fill="FFFFFF"/>
          </w:tcPr>
          <w:p w:rsidR="00065E09" w:rsidRPr="00B57B36" w:rsidRDefault="00F326AA" w:rsidP="00840CCD">
            <w:pPr>
              <w:pStyle w:val="CETBodytext"/>
              <w:ind w:right="-1"/>
              <w:rPr>
                <w:rFonts w:cs="Arial"/>
                <w:szCs w:val="18"/>
                <w:lang w:val="en-GB"/>
              </w:rPr>
            </w:pPr>
            <w:proofErr w:type="spellStart"/>
            <w:r>
              <w:rPr>
                <w:lang w:val="pt-BR"/>
              </w:rPr>
              <w:t>Yu</w:t>
            </w:r>
            <w:proofErr w:type="spellEnd"/>
            <w:r>
              <w:rPr>
                <w:lang w:val="pt-BR"/>
              </w:rPr>
              <w:t xml:space="preserve"> et al. (2014)</w:t>
            </w:r>
          </w:p>
        </w:tc>
      </w:tr>
      <w:tr w:rsidR="00AB607F" w:rsidTr="001873F8">
        <w:tc>
          <w:tcPr>
            <w:tcW w:w="1134" w:type="dxa"/>
            <w:shd w:val="clear" w:color="auto" w:fill="FFFFFF"/>
          </w:tcPr>
          <w:p w:rsidR="00065E09" w:rsidRPr="00B57B36" w:rsidRDefault="00065E09" w:rsidP="00840CCD">
            <w:pPr>
              <w:pStyle w:val="CETBodytext"/>
              <w:rPr>
                <w:lang w:val="en-GB"/>
              </w:rPr>
            </w:pPr>
          </w:p>
        </w:tc>
        <w:tc>
          <w:tcPr>
            <w:tcW w:w="1418" w:type="dxa"/>
            <w:shd w:val="clear" w:color="auto" w:fill="FFFFFF"/>
          </w:tcPr>
          <w:p w:rsidR="00065E09" w:rsidRPr="00B57B36" w:rsidRDefault="00F326AA" w:rsidP="00840CCD">
            <w:pPr>
              <w:pStyle w:val="CETBodytext"/>
              <w:rPr>
                <w:lang w:val="en-GB"/>
              </w:rPr>
            </w:pPr>
            <w:r>
              <w:t>relationships</w:t>
            </w:r>
          </w:p>
        </w:tc>
        <w:tc>
          <w:tcPr>
            <w:tcW w:w="3969" w:type="dxa"/>
            <w:shd w:val="clear" w:color="auto" w:fill="FFFFFF"/>
          </w:tcPr>
          <w:p w:rsidR="00065E09" w:rsidRPr="00B57B36" w:rsidRDefault="00F326AA" w:rsidP="002D7389">
            <w:pPr>
              <w:pStyle w:val="CETBodytext"/>
              <w:rPr>
                <w:lang w:val="en-GB"/>
              </w:rPr>
            </w:pPr>
            <w:r>
              <w:rPr>
                <w:lang w:val="en-GB"/>
              </w:rPr>
              <w:t>Communication with stakeholders</w:t>
            </w:r>
            <w:r w:rsidR="002D7389">
              <w:rPr>
                <w:lang w:val="en-GB"/>
              </w:rPr>
              <w:t>: B2</w:t>
            </w:r>
          </w:p>
        </w:tc>
        <w:tc>
          <w:tcPr>
            <w:tcW w:w="1984" w:type="dxa"/>
            <w:shd w:val="clear" w:color="auto" w:fill="FFFFFF"/>
          </w:tcPr>
          <w:p w:rsidR="00065E09" w:rsidRPr="00B57B36" w:rsidRDefault="00F326AA" w:rsidP="00840CCD">
            <w:pPr>
              <w:pStyle w:val="CETBodytext"/>
              <w:ind w:right="-1"/>
              <w:rPr>
                <w:rFonts w:cs="Arial"/>
                <w:szCs w:val="18"/>
                <w:lang w:val="en-GB"/>
              </w:rPr>
            </w:pPr>
            <w:proofErr w:type="spellStart"/>
            <w:r>
              <w:rPr>
                <w:lang w:val="pt-BR"/>
              </w:rPr>
              <w:t>Fraccascia</w:t>
            </w:r>
            <w:proofErr w:type="spellEnd"/>
            <w:r>
              <w:rPr>
                <w:lang w:val="pt-BR"/>
              </w:rPr>
              <w:t xml:space="preserve"> et al. (2017)</w:t>
            </w:r>
          </w:p>
        </w:tc>
      </w:tr>
      <w:tr w:rsidR="00AB607F" w:rsidTr="001873F8">
        <w:tc>
          <w:tcPr>
            <w:tcW w:w="1134" w:type="dxa"/>
            <w:shd w:val="clear" w:color="auto" w:fill="FFFFFF"/>
          </w:tcPr>
          <w:p w:rsidR="00065E09" w:rsidRPr="00B57B36" w:rsidRDefault="00065E09" w:rsidP="00840CCD">
            <w:pPr>
              <w:pStyle w:val="CETBodytext"/>
              <w:rPr>
                <w:lang w:val="en-GB"/>
              </w:rPr>
            </w:pPr>
          </w:p>
        </w:tc>
        <w:tc>
          <w:tcPr>
            <w:tcW w:w="1418" w:type="dxa"/>
            <w:shd w:val="clear" w:color="auto" w:fill="FFFFFF"/>
          </w:tcPr>
          <w:p w:rsidR="00065E09" w:rsidRPr="00B57B36" w:rsidRDefault="00065E09" w:rsidP="00840CCD">
            <w:pPr>
              <w:pStyle w:val="CETBodytext"/>
              <w:rPr>
                <w:lang w:val="en-GB"/>
              </w:rPr>
            </w:pPr>
          </w:p>
        </w:tc>
        <w:tc>
          <w:tcPr>
            <w:tcW w:w="3969" w:type="dxa"/>
            <w:shd w:val="clear" w:color="auto" w:fill="FFFFFF"/>
          </w:tcPr>
          <w:p w:rsidR="00065E09" w:rsidRPr="00B57B36" w:rsidRDefault="00F326AA" w:rsidP="002D7389">
            <w:pPr>
              <w:pStyle w:val="CETBodytext"/>
              <w:rPr>
                <w:lang w:val="en-GB"/>
              </w:rPr>
            </w:pPr>
            <w:r>
              <w:rPr>
                <w:lang w:val="en-GB"/>
              </w:rPr>
              <w:t>Compliance</w:t>
            </w:r>
            <w:r w:rsidR="002D7389">
              <w:rPr>
                <w:lang w:val="en-GB"/>
              </w:rPr>
              <w:t>: B3</w:t>
            </w:r>
          </w:p>
        </w:tc>
        <w:tc>
          <w:tcPr>
            <w:tcW w:w="1984" w:type="dxa"/>
            <w:shd w:val="clear" w:color="auto" w:fill="FFFFFF"/>
          </w:tcPr>
          <w:p w:rsidR="00065E09" w:rsidRPr="00B57B36" w:rsidRDefault="00F326AA" w:rsidP="00840CCD">
            <w:pPr>
              <w:pStyle w:val="CETBodytext"/>
              <w:ind w:right="-1"/>
              <w:rPr>
                <w:rFonts w:cs="Arial"/>
                <w:szCs w:val="18"/>
                <w:lang w:val="en-GB"/>
              </w:rPr>
            </w:pPr>
            <w:proofErr w:type="spellStart"/>
            <w:r>
              <w:rPr>
                <w:rFonts w:cs="Arial"/>
                <w:szCs w:val="18"/>
                <w:lang w:val="en-GB"/>
              </w:rPr>
              <w:t>Vimal</w:t>
            </w:r>
            <w:proofErr w:type="spellEnd"/>
            <w:r>
              <w:rPr>
                <w:rFonts w:cs="Arial"/>
                <w:szCs w:val="18"/>
                <w:lang w:val="en-GB"/>
              </w:rPr>
              <w:t xml:space="preserve"> et al. (2019)</w:t>
            </w:r>
          </w:p>
        </w:tc>
      </w:tr>
      <w:tr w:rsidR="00AB607F" w:rsidTr="001873F8">
        <w:tc>
          <w:tcPr>
            <w:tcW w:w="1134" w:type="dxa"/>
            <w:shd w:val="clear" w:color="auto" w:fill="FFFFFF"/>
          </w:tcPr>
          <w:p w:rsidR="00065E09" w:rsidRPr="00B57B36" w:rsidRDefault="00065E09" w:rsidP="00840CCD">
            <w:pPr>
              <w:pStyle w:val="CETBodytext"/>
              <w:ind w:right="-1"/>
              <w:rPr>
                <w:rFonts w:cs="Arial"/>
                <w:szCs w:val="18"/>
                <w:lang w:val="en-GB"/>
              </w:rPr>
            </w:pPr>
          </w:p>
        </w:tc>
        <w:tc>
          <w:tcPr>
            <w:tcW w:w="1418" w:type="dxa"/>
            <w:shd w:val="clear" w:color="auto" w:fill="FFFFFF"/>
          </w:tcPr>
          <w:p w:rsidR="00065E09" w:rsidRPr="00B57B36" w:rsidRDefault="00065E09" w:rsidP="00840CCD">
            <w:pPr>
              <w:pStyle w:val="CETBodytext"/>
              <w:ind w:right="-1"/>
              <w:rPr>
                <w:rFonts w:cs="Arial"/>
                <w:szCs w:val="18"/>
                <w:lang w:val="en-GB"/>
              </w:rPr>
            </w:pPr>
          </w:p>
        </w:tc>
        <w:tc>
          <w:tcPr>
            <w:tcW w:w="3969" w:type="dxa"/>
            <w:shd w:val="clear" w:color="auto" w:fill="FFFFFF"/>
          </w:tcPr>
          <w:p w:rsidR="00065E09" w:rsidRPr="00B57B36" w:rsidRDefault="00F326AA" w:rsidP="002D7389">
            <w:pPr>
              <w:pStyle w:val="CETBodytext"/>
              <w:ind w:right="-1"/>
              <w:rPr>
                <w:rFonts w:cs="Arial"/>
                <w:szCs w:val="18"/>
                <w:lang w:val="en-GB"/>
              </w:rPr>
            </w:pPr>
            <w:r>
              <w:rPr>
                <w:rFonts w:cs="Arial"/>
                <w:szCs w:val="18"/>
                <w:lang w:val="en-GB"/>
              </w:rPr>
              <w:t>Social responsibility</w:t>
            </w:r>
            <w:r w:rsidR="002D7389">
              <w:rPr>
                <w:lang w:val="en-GB"/>
              </w:rPr>
              <w:t>: B4</w:t>
            </w:r>
          </w:p>
        </w:tc>
        <w:tc>
          <w:tcPr>
            <w:tcW w:w="1984" w:type="dxa"/>
            <w:shd w:val="clear" w:color="auto" w:fill="FFFFFF"/>
          </w:tcPr>
          <w:p w:rsidR="00065E09" w:rsidRPr="00B57B36" w:rsidRDefault="00F326AA" w:rsidP="00840CCD">
            <w:pPr>
              <w:pStyle w:val="CETBodytext"/>
              <w:ind w:right="-1"/>
              <w:rPr>
                <w:rFonts w:cs="Arial"/>
                <w:szCs w:val="18"/>
                <w:lang w:val="en-GB"/>
              </w:rPr>
            </w:pPr>
            <w:proofErr w:type="spellStart"/>
            <w:r w:rsidRPr="00065E09">
              <w:rPr>
                <w:rFonts w:cs="Arial"/>
                <w:szCs w:val="18"/>
                <w:lang w:val="en-GB"/>
              </w:rPr>
              <w:t>Yamsrual</w:t>
            </w:r>
            <w:proofErr w:type="spellEnd"/>
            <w:r w:rsidRPr="00065E09">
              <w:rPr>
                <w:rFonts w:cs="Arial"/>
                <w:szCs w:val="18"/>
                <w:lang w:val="en-GB"/>
              </w:rPr>
              <w:t xml:space="preserve"> et al. (2019)</w:t>
            </w:r>
          </w:p>
        </w:tc>
      </w:tr>
      <w:tr w:rsidR="00AB607F" w:rsidTr="001873F8">
        <w:tc>
          <w:tcPr>
            <w:tcW w:w="1134" w:type="dxa"/>
            <w:shd w:val="clear" w:color="auto" w:fill="FFFFFF"/>
          </w:tcPr>
          <w:p w:rsidR="00065E09" w:rsidRPr="00B57B36" w:rsidRDefault="00065E09" w:rsidP="00840CCD">
            <w:pPr>
              <w:pStyle w:val="CETBodytext"/>
              <w:ind w:right="-1"/>
              <w:rPr>
                <w:rFonts w:cs="Arial"/>
                <w:szCs w:val="18"/>
                <w:lang w:val="en-GB"/>
              </w:rPr>
            </w:pPr>
          </w:p>
        </w:tc>
        <w:tc>
          <w:tcPr>
            <w:tcW w:w="1418" w:type="dxa"/>
            <w:shd w:val="clear" w:color="auto" w:fill="FFFFFF"/>
          </w:tcPr>
          <w:p w:rsidR="00065E09" w:rsidRPr="00B57B36" w:rsidRDefault="00F326AA" w:rsidP="001873F8">
            <w:pPr>
              <w:pStyle w:val="CETBodytext"/>
              <w:ind w:right="-1"/>
              <w:rPr>
                <w:rFonts w:cs="Arial"/>
                <w:szCs w:val="18"/>
                <w:lang w:val="en-GB"/>
              </w:rPr>
            </w:pPr>
            <w:r>
              <w:t>E</w:t>
            </w:r>
            <w:r w:rsidRPr="00730735">
              <w:t xml:space="preserve">nergy </w:t>
            </w:r>
          </w:p>
        </w:tc>
        <w:tc>
          <w:tcPr>
            <w:tcW w:w="3969" w:type="dxa"/>
            <w:shd w:val="clear" w:color="auto" w:fill="FFFFFF"/>
          </w:tcPr>
          <w:p w:rsidR="00065E09" w:rsidRPr="00B57B36" w:rsidRDefault="00F326AA" w:rsidP="002D7389">
            <w:pPr>
              <w:pStyle w:val="CETBodytext"/>
              <w:ind w:right="-1"/>
              <w:rPr>
                <w:rFonts w:cs="Arial"/>
                <w:szCs w:val="18"/>
                <w:lang w:val="en-GB"/>
              </w:rPr>
            </w:pPr>
            <w:r>
              <w:rPr>
                <w:rFonts w:cs="Arial"/>
                <w:szCs w:val="18"/>
                <w:lang w:val="en-GB"/>
              </w:rPr>
              <w:t>Biomass</w:t>
            </w:r>
            <w:r w:rsidR="002D7389">
              <w:rPr>
                <w:lang w:val="en-GB"/>
              </w:rPr>
              <w:t>: C1</w:t>
            </w:r>
          </w:p>
        </w:tc>
        <w:tc>
          <w:tcPr>
            <w:tcW w:w="1984" w:type="dxa"/>
            <w:shd w:val="clear" w:color="auto" w:fill="FFFFFF"/>
          </w:tcPr>
          <w:p w:rsidR="00065E09" w:rsidRPr="00B57B36" w:rsidRDefault="00F326AA" w:rsidP="004848B3">
            <w:pPr>
              <w:pStyle w:val="CETBodytext"/>
              <w:ind w:right="-1"/>
              <w:rPr>
                <w:rFonts w:cs="Arial"/>
                <w:szCs w:val="18"/>
                <w:lang w:val="en-GB"/>
              </w:rPr>
            </w:pPr>
            <w:proofErr w:type="spellStart"/>
            <w:r w:rsidRPr="00730735">
              <w:t>Loureiro</w:t>
            </w:r>
            <w:proofErr w:type="spellEnd"/>
            <w:r w:rsidRPr="00730735">
              <w:t xml:space="preserve"> et al.</w:t>
            </w:r>
            <w:r>
              <w:t xml:space="preserve"> (</w:t>
            </w:r>
            <w:r w:rsidRPr="00730735">
              <w:t>2021)</w:t>
            </w:r>
          </w:p>
        </w:tc>
      </w:tr>
      <w:tr w:rsidR="00AB607F" w:rsidTr="001873F8">
        <w:tc>
          <w:tcPr>
            <w:tcW w:w="1134" w:type="dxa"/>
            <w:shd w:val="clear" w:color="auto" w:fill="FFFFFF"/>
          </w:tcPr>
          <w:p w:rsidR="004D7675" w:rsidRPr="00B57B36" w:rsidRDefault="004D7675" w:rsidP="00065E09">
            <w:pPr>
              <w:pStyle w:val="CETBodytext"/>
              <w:ind w:right="-1"/>
              <w:rPr>
                <w:rFonts w:cs="Arial"/>
                <w:szCs w:val="18"/>
                <w:lang w:val="en-GB"/>
              </w:rPr>
            </w:pPr>
          </w:p>
        </w:tc>
        <w:tc>
          <w:tcPr>
            <w:tcW w:w="1418" w:type="dxa"/>
            <w:shd w:val="clear" w:color="auto" w:fill="FFFFFF"/>
          </w:tcPr>
          <w:p w:rsidR="004D7675" w:rsidRPr="00B57B36" w:rsidRDefault="00F326AA" w:rsidP="00065E09">
            <w:pPr>
              <w:pStyle w:val="CETBodytext"/>
              <w:ind w:right="-1"/>
              <w:rPr>
                <w:rFonts w:cs="Arial"/>
                <w:szCs w:val="18"/>
                <w:lang w:val="en-GB"/>
              </w:rPr>
            </w:pPr>
            <w:r w:rsidRPr="00730735">
              <w:t>recovery</w:t>
            </w:r>
          </w:p>
        </w:tc>
        <w:tc>
          <w:tcPr>
            <w:tcW w:w="3969" w:type="dxa"/>
            <w:shd w:val="clear" w:color="auto" w:fill="FFFFFF"/>
          </w:tcPr>
          <w:p w:rsidR="004D7675" w:rsidRDefault="00F326AA" w:rsidP="002D7389">
            <w:pPr>
              <w:pStyle w:val="CETBodytext"/>
              <w:ind w:right="-1"/>
              <w:rPr>
                <w:rFonts w:cs="Arial"/>
                <w:szCs w:val="18"/>
                <w:lang w:val="en-GB"/>
              </w:rPr>
            </w:pPr>
            <w:r>
              <w:rPr>
                <w:rFonts w:cs="Arial"/>
                <w:szCs w:val="18"/>
                <w:lang w:val="en-GB"/>
              </w:rPr>
              <w:t>RDR</w:t>
            </w:r>
            <w:r w:rsidR="002D7389">
              <w:rPr>
                <w:lang w:val="en-GB"/>
              </w:rPr>
              <w:t>: C2</w:t>
            </w:r>
          </w:p>
        </w:tc>
        <w:tc>
          <w:tcPr>
            <w:tcW w:w="1984" w:type="dxa"/>
            <w:shd w:val="clear" w:color="auto" w:fill="FFFFFF"/>
          </w:tcPr>
          <w:p w:rsidR="004D7675" w:rsidRPr="00716696" w:rsidRDefault="00F326AA" w:rsidP="00065E09">
            <w:pPr>
              <w:pStyle w:val="CETBodytext"/>
              <w:ind w:right="-1"/>
            </w:pPr>
            <w:proofErr w:type="spellStart"/>
            <w:r>
              <w:t>Brás</w:t>
            </w:r>
            <w:proofErr w:type="spellEnd"/>
            <w:r>
              <w:t xml:space="preserve"> et al. (2017)</w:t>
            </w:r>
          </w:p>
        </w:tc>
      </w:tr>
      <w:tr w:rsidR="00AB607F" w:rsidTr="001873F8">
        <w:tc>
          <w:tcPr>
            <w:tcW w:w="1134" w:type="dxa"/>
            <w:shd w:val="clear" w:color="auto" w:fill="FFFFFF"/>
          </w:tcPr>
          <w:p w:rsidR="00065E09" w:rsidRPr="00B57B36" w:rsidRDefault="00065E09" w:rsidP="00065E09">
            <w:pPr>
              <w:pStyle w:val="CETBodytext"/>
              <w:ind w:right="-1"/>
              <w:rPr>
                <w:rFonts w:cs="Arial"/>
                <w:szCs w:val="18"/>
                <w:lang w:val="en-GB"/>
              </w:rPr>
            </w:pPr>
          </w:p>
        </w:tc>
        <w:tc>
          <w:tcPr>
            <w:tcW w:w="1418" w:type="dxa"/>
            <w:shd w:val="clear" w:color="auto" w:fill="FFFFFF"/>
          </w:tcPr>
          <w:p w:rsidR="00065E09" w:rsidRPr="00B57B36" w:rsidRDefault="00065E09" w:rsidP="00065E09">
            <w:pPr>
              <w:pStyle w:val="CETBodytext"/>
              <w:ind w:right="-1"/>
              <w:rPr>
                <w:rFonts w:cs="Arial"/>
                <w:szCs w:val="18"/>
                <w:lang w:val="en-GB"/>
              </w:rPr>
            </w:pPr>
          </w:p>
        </w:tc>
        <w:tc>
          <w:tcPr>
            <w:tcW w:w="3969" w:type="dxa"/>
            <w:shd w:val="clear" w:color="auto" w:fill="FFFFFF"/>
          </w:tcPr>
          <w:p w:rsidR="00065E09" w:rsidRPr="00B57B36" w:rsidRDefault="00F326AA" w:rsidP="002D7389">
            <w:pPr>
              <w:pStyle w:val="CETBodytext"/>
              <w:ind w:right="-1"/>
              <w:rPr>
                <w:rFonts w:cs="Arial"/>
                <w:szCs w:val="18"/>
                <w:lang w:val="en-GB"/>
              </w:rPr>
            </w:pPr>
            <w:r>
              <w:rPr>
                <w:rFonts w:cs="Arial"/>
                <w:szCs w:val="18"/>
                <w:lang w:val="en-GB"/>
              </w:rPr>
              <w:t>Heat</w:t>
            </w:r>
            <w:r w:rsidR="002D7389">
              <w:rPr>
                <w:lang w:val="en-GB"/>
              </w:rPr>
              <w:t>: C3</w:t>
            </w:r>
          </w:p>
        </w:tc>
        <w:tc>
          <w:tcPr>
            <w:tcW w:w="1984" w:type="dxa"/>
            <w:shd w:val="clear" w:color="auto" w:fill="FFFFFF"/>
          </w:tcPr>
          <w:p w:rsidR="00065E09" w:rsidRPr="00B57B36" w:rsidRDefault="00F326AA" w:rsidP="00065E09">
            <w:pPr>
              <w:pStyle w:val="CETBodytext"/>
              <w:ind w:right="-1"/>
              <w:rPr>
                <w:rFonts w:cs="Arial"/>
                <w:szCs w:val="18"/>
                <w:lang w:val="en-GB"/>
              </w:rPr>
            </w:pPr>
            <w:r w:rsidRPr="00716696">
              <w:t>Gil et al. (2021)</w:t>
            </w:r>
          </w:p>
        </w:tc>
      </w:tr>
      <w:tr w:rsidR="00AB607F" w:rsidTr="001873F8">
        <w:tc>
          <w:tcPr>
            <w:tcW w:w="1134" w:type="dxa"/>
            <w:shd w:val="clear" w:color="auto" w:fill="FFFFFF"/>
          </w:tcPr>
          <w:p w:rsidR="00065E09" w:rsidRPr="00B57B36" w:rsidRDefault="00065E09" w:rsidP="00065E09">
            <w:pPr>
              <w:pStyle w:val="CETBodytext"/>
              <w:ind w:right="-1"/>
              <w:rPr>
                <w:rFonts w:cs="Arial"/>
                <w:szCs w:val="18"/>
                <w:lang w:val="en-GB"/>
              </w:rPr>
            </w:pPr>
          </w:p>
        </w:tc>
        <w:tc>
          <w:tcPr>
            <w:tcW w:w="1418" w:type="dxa"/>
            <w:shd w:val="clear" w:color="auto" w:fill="FFFFFF"/>
          </w:tcPr>
          <w:p w:rsidR="00065E09" w:rsidRPr="00B57B36" w:rsidRDefault="00065E09" w:rsidP="00065E09">
            <w:pPr>
              <w:pStyle w:val="CETBodytext"/>
              <w:ind w:right="-1"/>
              <w:rPr>
                <w:rFonts w:cs="Arial"/>
                <w:szCs w:val="18"/>
                <w:lang w:val="en-GB"/>
              </w:rPr>
            </w:pPr>
          </w:p>
        </w:tc>
        <w:tc>
          <w:tcPr>
            <w:tcW w:w="3969" w:type="dxa"/>
            <w:shd w:val="clear" w:color="auto" w:fill="FFFFFF"/>
          </w:tcPr>
          <w:p w:rsidR="00065E09" w:rsidRPr="00B57B36" w:rsidRDefault="00F326AA" w:rsidP="002D7389">
            <w:pPr>
              <w:pStyle w:val="CETBodytext"/>
              <w:ind w:right="-1"/>
              <w:rPr>
                <w:rFonts w:cs="Arial"/>
                <w:szCs w:val="18"/>
                <w:lang w:val="en-GB"/>
              </w:rPr>
            </w:pPr>
            <w:r>
              <w:rPr>
                <w:rFonts w:cs="Arial"/>
                <w:szCs w:val="18"/>
                <w:lang w:val="en-GB"/>
              </w:rPr>
              <w:t>Fluids</w:t>
            </w:r>
            <w:r w:rsidR="002D7389">
              <w:rPr>
                <w:lang w:val="en-GB"/>
              </w:rPr>
              <w:t>: C4</w:t>
            </w:r>
          </w:p>
        </w:tc>
        <w:tc>
          <w:tcPr>
            <w:tcW w:w="1984" w:type="dxa"/>
            <w:shd w:val="clear" w:color="auto" w:fill="FFFFFF"/>
          </w:tcPr>
          <w:p w:rsidR="00065E09" w:rsidRPr="004848B3" w:rsidRDefault="00F326AA" w:rsidP="00065E09">
            <w:pPr>
              <w:pStyle w:val="CETBodytext"/>
              <w:ind w:right="-1"/>
            </w:pPr>
            <w:proofErr w:type="spellStart"/>
            <w:r w:rsidRPr="00716696">
              <w:t>Chantasiriwan</w:t>
            </w:r>
            <w:proofErr w:type="spellEnd"/>
            <w:r w:rsidRPr="00716696">
              <w:t xml:space="preserve"> (2021)</w:t>
            </w:r>
          </w:p>
        </w:tc>
      </w:tr>
      <w:tr w:rsidR="00AB607F" w:rsidTr="001873F8">
        <w:tc>
          <w:tcPr>
            <w:tcW w:w="1134" w:type="dxa"/>
            <w:shd w:val="clear" w:color="auto" w:fill="FFFFFF"/>
          </w:tcPr>
          <w:p w:rsidR="00065E09" w:rsidRPr="00B57B36" w:rsidRDefault="00065E09" w:rsidP="00065E09">
            <w:pPr>
              <w:pStyle w:val="CETBodytext"/>
              <w:ind w:right="-1"/>
              <w:rPr>
                <w:rFonts w:cs="Arial"/>
                <w:szCs w:val="18"/>
                <w:lang w:val="en-GB"/>
              </w:rPr>
            </w:pPr>
          </w:p>
        </w:tc>
        <w:tc>
          <w:tcPr>
            <w:tcW w:w="1418" w:type="dxa"/>
            <w:shd w:val="clear" w:color="auto" w:fill="FFFFFF"/>
          </w:tcPr>
          <w:p w:rsidR="00065E09" w:rsidRPr="00B57B36" w:rsidRDefault="00065E09" w:rsidP="00065E09">
            <w:pPr>
              <w:pStyle w:val="CETBodytext"/>
              <w:ind w:right="-1"/>
              <w:rPr>
                <w:rFonts w:cs="Arial"/>
                <w:szCs w:val="18"/>
                <w:lang w:val="en-GB"/>
              </w:rPr>
            </w:pPr>
          </w:p>
        </w:tc>
        <w:tc>
          <w:tcPr>
            <w:tcW w:w="3969" w:type="dxa"/>
            <w:shd w:val="clear" w:color="auto" w:fill="FFFFFF"/>
          </w:tcPr>
          <w:p w:rsidR="00065E09" w:rsidRPr="00B57B36" w:rsidRDefault="00F326AA" w:rsidP="002D7389">
            <w:pPr>
              <w:pStyle w:val="CETBodytext"/>
              <w:ind w:right="-1"/>
              <w:rPr>
                <w:rFonts w:cs="Arial"/>
                <w:szCs w:val="18"/>
                <w:lang w:val="en-GB"/>
              </w:rPr>
            </w:pPr>
            <w:r>
              <w:rPr>
                <w:rFonts w:cs="Arial"/>
                <w:szCs w:val="18"/>
                <w:lang w:val="en-GB"/>
              </w:rPr>
              <w:t>Energy efficiency</w:t>
            </w:r>
            <w:r w:rsidR="002D7389">
              <w:rPr>
                <w:lang w:val="en-GB"/>
              </w:rPr>
              <w:t>: C5</w:t>
            </w:r>
          </w:p>
        </w:tc>
        <w:tc>
          <w:tcPr>
            <w:tcW w:w="1984" w:type="dxa"/>
            <w:shd w:val="clear" w:color="auto" w:fill="FFFFFF"/>
          </w:tcPr>
          <w:p w:rsidR="00065E09" w:rsidRPr="004848B3" w:rsidRDefault="00F326AA" w:rsidP="00065E09">
            <w:pPr>
              <w:pStyle w:val="CETBodytext"/>
              <w:ind w:right="-1"/>
            </w:pPr>
            <w:proofErr w:type="spellStart"/>
            <w:r w:rsidRPr="004848B3">
              <w:t>Manaf</w:t>
            </w:r>
            <w:proofErr w:type="spellEnd"/>
            <w:r w:rsidRPr="004848B3">
              <w:t xml:space="preserve"> and Abbas (2021)</w:t>
            </w:r>
          </w:p>
        </w:tc>
      </w:tr>
      <w:tr w:rsidR="00AB607F" w:rsidTr="001873F8">
        <w:tc>
          <w:tcPr>
            <w:tcW w:w="1134" w:type="dxa"/>
            <w:shd w:val="clear" w:color="auto" w:fill="FFFFFF"/>
          </w:tcPr>
          <w:p w:rsidR="00065E09" w:rsidRPr="00B57B36" w:rsidRDefault="00065E09" w:rsidP="00065E09">
            <w:pPr>
              <w:pStyle w:val="CETBodytext"/>
              <w:ind w:right="-1"/>
              <w:rPr>
                <w:rFonts w:cs="Arial"/>
                <w:szCs w:val="18"/>
                <w:lang w:val="en-GB"/>
              </w:rPr>
            </w:pPr>
          </w:p>
        </w:tc>
        <w:tc>
          <w:tcPr>
            <w:tcW w:w="1418" w:type="dxa"/>
            <w:shd w:val="clear" w:color="auto" w:fill="FFFFFF"/>
          </w:tcPr>
          <w:p w:rsidR="00065E09" w:rsidRPr="00B57B36" w:rsidRDefault="00F326AA" w:rsidP="001873F8">
            <w:pPr>
              <w:pStyle w:val="CETBodytext"/>
              <w:ind w:right="-1"/>
              <w:rPr>
                <w:rFonts w:cs="Arial"/>
                <w:szCs w:val="18"/>
                <w:lang w:val="en-GB"/>
              </w:rPr>
            </w:pPr>
            <w:r>
              <w:t>Materials</w:t>
            </w:r>
            <w:r w:rsidRPr="00730735">
              <w:t xml:space="preserve"> </w:t>
            </w:r>
          </w:p>
        </w:tc>
        <w:tc>
          <w:tcPr>
            <w:tcW w:w="3969" w:type="dxa"/>
            <w:shd w:val="clear" w:color="auto" w:fill="FFFFFF"/>
          </w:tcPr>
          <w:p w:rsidR="00065E09" w:rsidRPr="00B57B36" w:rsidRDefault="00F326AA" w:rsidP="002D7389">
            <w:pPr>
              <w:pStyle w:val="CETBodytext"/>
              <w:ind w:right="-1"/>
              <w:rPr>
                <w:rFonts w:cs="Arial"/>
                <w:szCs w:val="18"/>
                <w:lang w:val="en-GB"/>
              </w:rPr>
            </w:pPr>
            <w:r>
              <w:rPr>
                <w:color w:val="000000" w:themeColor="text1"/>
              </w:rPr>
              <w:t>Reuse of waste</w:t>
            </w:r>
            <w:r w:rsidR="002D7389">
              <w:rPr>
                <w:lang w:val="en-GB"/>
              </w:rPr>
              <w:t>: D1</w:t>
            </w:r>
          </w:p>
        </w:tc>
        <w:tc>
          <w:tcPr>
            <w:tcW w:w="1984" w:type="dxa"/>
            <w:shd w:val="clear" w:color="auto" w:fill="FFFFFF"/>
          </w:tcPr>
          <w:p w:rsidR="00065E09" w:rsidRPr="004848B3" w:rsidRDefault="00F326AA" w:rsidP="00065E09">
            <w:pPr>
              <w:pStyle w:val="CETBodytext"/>
              <w:ind w:right="-1"/>
            </w:pPr>
            <w:r w:rsidRPr="009E1F1C">
              <w:t>Bain</w:t>
            </w:r>
            <w:r>
              <w:t xml:space="preserve"> et al. (2010)</w:t>
            </w:r>
          </w:p>
        </w:tc>
      </w:tr>
      <w:tr w:rsidR="00AB607F" w:rsidTr="001873F8">
        <w:tc>
          <w:tcPr>
            <w:tcW w:w="1134" w:type="dxa"/>
            <w:shd w:val="clear" w:color="auto" w:fill="FFFFFF"/>
          </w:tcPr>
          <w:p w:rsidR="00065E09" w:rsidRPr="00B57B36" w:rsidRDefault="00065E09" w:rsidP="00065E09">
            <w:pPr>
              <w:pStyle w:val="CETBodytext"/>
              <w:ind w:right="-1"/>
              <w:rPr>
                <w:rFonts w:cs="Arial"/>
                <w:szCs w:val="18"/>
                <w:lang w:val="en-GB"/>
              </w:rPr>
            </w:pPr>
          </w:p>
        </w:tc>
        <w:tc>
          <w:tcPr>
            <w:tcW w:w="1418" w:type="dxa"/>
            <w:shd w:val="clear" w:color="auto" w:fill="FFFFFF"/>
          </w:tcPr>
          <w:p w:rsidR="00065E09" w:rsidRDefault="00F326AA" w:rsidP="00065E09">
            <w:pPr>
              <w:pStyle w:val="CETBodytext"/>
              <w:ind w:right="-1"/>
            </w:pPr>
            <w:r w:rsidRPr="00730735">
              <w:t>recovery</w:t>
            </w:r>
          </w:p>
        </w:tc>
        <w:tc>
          <w:tcPr>
            <w:tcW w:w="3969" w:type="dxa"/>
            <w:shd w:val="clear" w:color="auto" w:fill="FFFFFF"/>
          </w:tcPr>
          <w:p w:rsidR="00065E09" w:rsidRDefault="00F326AA" w:rsidP="002D7389">
            <w:pPr>
              <w:pStyle w:val="CETBodytext"/>
              <w:ind w:right="-1"/>
              <w:rPr>
                <w:color w:val="000000" w:themeColor="text1"/>
              </w:rPr>
            </w:pPr>
            <w:r>
              <w:rPr>
                <w:color w:val="000000" w:themeColor="text1"/>
              </w:rPr>
              <w:t>Reuse of byproducts</w:t>
            </w:r>
            <w:r w:rsidR="002D7389">
              <w:rPr>
                <w:lang w:val="en-GB"/>
              </w:rPr>
              <w:t>: D2</w:t>
            </w:r>
          </w:p>
        </w:tc>
        <w:tc>
          <w:tcPr>
            <w:tcW w:w="1984" w:type="dxa"/>
            <w:shd w:val="clear" w:color="auto" w:fill="FFFFFF"/>
          </w:tcPr>
          <w:p w:rsidR="00065E09" w:rsidRPr="00B57B36" w:rsidRDefault="00F326AA" w:rsidP="00065E09">
            <w:pPr>
              <w:pStyle w:val="CETBodytext"/>
              <w:ind w:right="-1"/>
              <w:rPr>
                <w:rFonts w:cs="Arial"/>
                <w:szCs w:val="18"/>
                <w:lang w:val="en-GB"/>
              </w:rPr>
            </w:pPr>
            <w:r>
              <w:t>Sellitto et al. (2021)</w:t>
            </w:r>
          </w:p>
        </w:tc>
      </w:tr>
      <w:tr w:rsidR="00AB607F" w:rsidTr="001873F8">
        <w:tc>
          <w:tcPr>
            <w:tcW w:w="1134" w:type="dxa"/>
            <w:shd w:val="clear" w:color="auto" w:fill="FFFFFF"/>
          </w:tcPr>
          <w:p w:rsidR="00065E09" w:rsidRPr="00B57B36" w:rsidRDefault="00065E09" w:rsidP="00065E09">
            <w:pPr>
              <w:pStyle w:val="CETBodytext"/>
              <w:ind w:right="-1"/>
              <w:rPr>
                <w:rFonts w:cs="Arial"/>
                <w:szCs w:val="18"/>
                <w:lang w:val="en-GB"/>
              </w:rPr>
            </w:pPr>
          </w:p>
        </w:tc>
        <w:tc>
          <w:tcPr>
            <w:tcW w:w="1418" w:type="dxa"/>
            <w:shd w:val="clear" w:color="auto" w:fill="FFFFFF"/>
          </w:tcPr>
          <w:p w:rsidR="00065E09" w:rsidRDefault="00065E09" w:rsidP="00065E09">
            <w:pPr>
              <w:pStyle w:val="CETBodytext"/>
              <w:ind w:right="-1"/>
            </w:pPr>
          </w:p>
        </w:tc>
        <w:tc>
          <w:tcPr>
            <w:tcW w:w="3969" w:type="dxa"/>
            <w:shd w:val="clear" w:color="auto" w:fill="FFFFFF"/>
          </w:tcPr>
          <w:p w:rsidR="00065E09" w:rsidRDefault="00F326AA" w:rsidP="002D7389">
            <w:pPr>
              <w:pStyle w:val="CETBodytext"/>
              <w:ind w:right="-1"/>
              <w:rPr>
                <w:color w:val="000000" w:themeColor="text1"/>
              </w:rPr>
            </w:pPr>
            <w:r>
              <w:rPr>
                <w:color w:val="000000" w:themeColor="text1"/>
              </w:rPr>
              <w:t>Logistical efficiency</w:t>
            </w:r>
            <w:r w:rsidR="002D7389">
              <w:rPr>
                <w:lang w:val="en-GB"/>
              </w:rPr>
              <w:t>: D3</w:t>
            </w:r>
          </w:p>
        </w:tc>
        <w:tc>
          <w:tcPr>
            <w:tcW w:w="1984" w:type="dxa"/>
            <w:shd w:val="clear" w:color="auto" w:fill="FFFFFF"/>
          </w:tcPr>
          <w:p w:rsidR="00065E09" w:rsidRPr="00B57B36" w:rsidRDefault="00F326AA" w:rsidP="00065E09">
            <w:pPr>
              <w:pStyle w:val="CETBodytext"/>
              <w:ind w:right="-1"/>
              <w:rPr>
                <w:rFonts w:cs="Arial"/>
                <w:szCs w:val="18"/>
                <w:lang w:val="en-GB"/>
              </w:rPr>
            </w:pPr>
            <w:r>
              <w:rPr>
                <w:color w:val="000000" w:themeColor="text1"/>
              </w:rPr>
              <w:t>Sellitto et al., (2013)</w:t>
            </w:r>
          </w:p>
        </w:tc>
      </w:tr>
      <w:tr w:rsidR="00AB607F" w:rsidTr="001873F8">
        <w:tc>
          <w:tcPr>
            <w:tcW w:w="1134" w:type="dxa"/>
            <w:shd w:val="clear" w:color="auto" w:fill="FFFFFF"/>
          </w:tcPr>
          <w:p w:rsidR="00065E09" w:rsidRPr="00B57B36" w:rsidRDefault="00065E09" w:rsidP="00065E09">
            <w:pPr>
              <w:pStyle w:val="CETBodytext"/>
              <w:ind w:right="-1"/>
              <w:rPr>
                <w:rFonts w:cs="Arial"/>
                <w:szCs w:val="18"/>
                <w:lang w:val="en-GB"/>
              </w:rPr>
            </w:pPr>
          </w:p>
        </w:tc>
        <w:tc>
          <w:tcPr>
            <w:tcW w:w="1418" w:type="dxa"/>
            <w:shd w:val="clear" w:color="auto" w:fill="FFFFFF"/>
          </w:tcPr>
          <w:p w:rsidR="00065E09" w:rsidRDefault="00065E09" w:rsidP="00065E09">
            <w:pPr>
              <w:pStyle w:val="CETBodytext"/>
              <w:ind w:right="-1"/>
            </w:pPr>
          </w:p>
        </w:tc>
        <w:tc>
          <w:tcPr>
            <w:tcW w:w="3969" w:type="dxa"/>
            <w:shd w:val="clear" w:color="auto" w:fill="FFFFFF"/>
          </w:tcPr>
          <w:p w:rsidR="00065E09" w:rsidRDefault="00F326AA" w:rsidP="00065E09">
            <w:pPr>
              <w:pStyle w:val="CETBodytext"/>
              <w:ind w:right="-1"/>
              <w:rPr>
                <w:color w:val="000000" w:themeColor="text1"/>
              </w:rPr>
            </w:pPr>
            <w:r>
              <w:rPr>
                <w:color w:val="000000" w:themeColor="text1"/>
              </w:rPr>
              <w:t>Manufacturing efficiency</w:t>
            </w:r>
            <w:r w:rsidR="002D7389">
              <w:rPr>
                <w:lang w:val="en-GB"/>
              </w:rPr>
              <w:t>: D4</w:t>
            </w:r>
          </w:p>
        </w:tc>
        <w:tc>
          <w:tcPr>
            <w:tcW w:w="1984" w:type="dxa"/>
            <w:shd w:val="clear" w:color="auto" w:fill="FFFFFF"/>
          </w:tcPr>
          <w:p w:rsidR="00065E09" w:rsidRPr="00B57B36" w:rsidRDefault="00F326AA" w:rsidP="004848B3">
            <w:pPr>
              <w:pStyle w:val="CETBodytext"/>
              <w:ind w:right="-1"/>
              <w:rPr>
                <w:rFonts w:cs="Arial"/>
                <w:szCs w:val="18"/>
                <w:lang w:val="en-GB"/>
              </w:rPr>
            </w:pPr>
            <w:r>
              <w:rPr>
                <w:color w:val="000000" w:themeColor="text1"/>
              </w:rPr>
              <w:t>Yu et al. (2014)</w:t>
            </w:r>
          </w:p>
        </w:tc>
      </w:tr>
    </w:tbl>
    <w:p w:rsidR="002A394D" w:rsidRDefault="002A394D" w:rsidP="002A394D">
      <w:pPr>
        <w:pStyle w:val="CETBodytext"/>
      </w:pPr>
    </w:p>
    <w:p w:rsidR="006514B5" w:rsidRPr="00B57B36" w:rsidRDefault="00F326AA" w:rsidP="006514B5">
      <w:pPr>
        <w:pStyle w:val="CETHeading1"/>
        <w:rPr>
          <w:lang w:val="en-GB"/>
        </w:rPr>
      </w:pPr>
      <w:r>
        <w:rPr>
          <w:lang w:val="en-GB"/>
        </w:rPr>
        <w:t>Methodology</w:t>
      </w:r>
    </w:p>
    <w:p w:rsidR="0029514E" w:rsidRDefault="00F326AA" w:rsidP="009339F6">
      <w:pPr>
        <w:pStyle w:val="CETBodytext"/>
      </w:pPr>
      <w:proofErr w:type="gramStart"/>
      <w:r w:rsidRPr="0029514E">
        <w:t xml:space="preserve">The study adopted </w:t>
      </w:r>
      <w:r w:rsidR="00290C6C">
        <w:t xml:space="preserve">the following </w:t>
      </w:r>
      <w:r w:rsidRPr="0029514E">
        <w:t>steps: (</w:t>
      </w:r>
      <w:proofErr w:type="spellStart"/>
      <w:r w:rsidRPr="0029514E">
        <w:t>i</w:t>
      </w:r>
      <w:proofErr w:type="spellEnd"/>
      <w:r w:rsidRPr="0029514E">
        <w:t xml:space="preserve">) a literature review identified constructs and indicators in EIP management, which supported a tree-like </w:t>
      </w:r>
      <w:r w:rsidR="009F6CA8" w:rsidRPr="0029514E">
        <w:t>structure</w:t>
      </w:r>
      <w:r w:rsidR="009F6CA8">
        <w:t xml:space="preserve"> for operational performance assessment</w:t>
      </w:r>
      <w:r w:rsidRPr="0029514E">
        <w:t xml:space="preserve">; (ii) two managers of the focal company of </w:t>
      </w:r>
      <w:r w:rsidR="00D13532">
        <w:t>the</w:t>
      </w:r>
      <w:r w:rsidRPr="0029514E">
        <w:t xml:space="preserve"> EIP evaluated, using a Likert scale [0 = strongly disagree ... 1 = strongly agree], the importance and performance of the indicators; (iii)</w:t>
      </w:r>
      <w:r w:rsidR="00D13532">
        <w:t xml:space="preserve"> an</w:t>
      </w:r>
      <w:r w:rsidRPr="0029514E">
        <w:t xml:space="preserve"> importance-performance analysis support</w:t>
      </w:r>
      <w:r w:rsidR="00A56978">
        <w:t>ed</w:t>
      </w:r>
      <w:r w:rsidRPr="0029514E">
        <w:t xml:space="preserve"> </w:t>
      </w:r>
      <w:r w:rsidR="00A56978">
        <w:t>a</w:t>
      </w:r>
      <w:r w:rsidRPr="0029514E">
        <w:t xml:space="preserve"> strategic diagnosis of the EIP.</w:t>
      </w:r>
      <w:proofErr w:type="gramEnd"/>
      <w:r w:rsidRPr="0029514E">
        <w:t xml:space="preserve"> Ordered pairs (importance, performance) form</w:t>
      </w:r>
      <w:r w:rsidR="00A56978">
        <w:t>ed</w:t>
      </w:r>
      <w:r w:rsidRPr="0029514E">
        <w:t xml:space="preserve"> a scatter diagram. </w:t>
      </w:r>
      <w:r w:rsidR="00A56978">
        <w:t>C</w:t>
      </w:r>
      <w:r w:rsidRPr="0029514E">
        <w:t xml:space="preserve">onstructs </w:t>
      </w:r>
      <w:r w:rsidR="00A56978">
        <w:t>near</w:t>
      </w:r>
      <w:r w:rsidRPr="0029514E">
        <w:t xml:space="preserve"> </w:t>
      </w:r>
      <w:r w:rsidR="00D13532">
        <w:t>a</w:t>
      </w:r>
      <w:r w:rsidRPr="0029514E">
        <w:t xml:space="preserve"> </w:t>
      </w:r>
      <w:r w:rsidR="00D13532">
        <w:t xml:space="preserve">positive </w:t>
      </w:r>
      <w:r w:rsidRPr="0029514E">
        <w:t>diagonal</w:t>
      </w:r>
      <w:r w:rsidR="00A56978">
        <w:t xml:space="preserve"> </w:t>
      </w:r>
      <w:r w:rsidR="00D13532">
        <w:t xml:space="preserve">forming a linear relationship </w:t>
      </w:r>
      <w:r w:rsidR="00A56978">
        <w:t>are</w:t>
      </w:r>
      <w:r w:rsidRPr="0029514E">
        <w:t xml:space="preserve"> balance</w:t>
      </w:r>
      <w:r w:rsidR="00A56978">
        <w:t>d</w:t>
      </w:r>
      <w:r w:rsidRPr="0029514E">
        <w:t xml:space="preserve"> (high importance, high performance; low importance, low performance). Far from the diagonal, there is some kind of imbalance: in high performance and low importance constructs, there is an excess of allocated strategic resources; in low performance and high importance constructs, there is a lack of allocated strategic resources</w:t>
      </w:r>
      <w:r w:rsidR="00F64EBA">
        <w:t xml:space="preserve"> </w:t>
      </w:r>
      <w:r w:rsidR="00F64EBA" w:rsidRPr="0029514E">
        <w:t>(Slack, 1991)</w:t>
      </w:r>
      <w:r w:rsidRPr="0029514E">
        <w:t xml:space="preserve">. The joint analysis can indicate reallocations </w:t>
      </w:r>
      <w:r w:rsidR="00D13532">
        <w:t xml:space="preserve">or even replacement </w:t>
      </w:r>
      <w:r w:rsidRPr="0029514E">
        <w:t xml:space="preserve">of EIP </w:t>
      </w:r>
      <w:r w:rsidR="00D13532" w:rsidRPr="0029514E">
        <w:t xml:space="preserve">strategic </w:t>
      </w:r>
      <w:r w:rsidRPr="0029514E">
        <w:t>resources</w:t>
      </w:r>
      <w:r w:rsidR="00F64EBA">
        <w:t xml:space="preserve">, </w:t>
      </w:r>
      <w:r w:rsidR="00D13532">
        <w:t xml:space="preserve">which </w:t>
      </w:r>
      <w:r w:rsidR="00F64EBA">
        <w:t xml:space="preserve">usually </w:t>
      </w:r>
      <w:r w:rsidR="00D13532">
        <w:t xml:space="preserve">are </w:t>
      </w:r>
      <w:r w:rsidR="00F64EBA">
        <w:t>scar</w:t>
      </w:r>
      <w:r w:rsidR="006B1BF9">
        <w:t>c</w:t>
      </w:r>
      <w:r w:rsidR="00F64EBA">
        <w:t>e</w:t>
      </w:r>
      <w:r w:rsidRPr="0029514E">
        <w:t>.</w:t>
      </w:r>
    </w:p>
    <w:p w:rsidR="006B1BF9" w:rsidRDefault="00F326AA" w:rsidP="009339F6">
      <w:pPr>
        <w:pStyle w:val="CETBodytext"/>
      </w:pPr>
      <w:r>
        <w:t xml:space="preserve">The methodology </w:t>
      </w:r>
      <w:proofErr w:type="gramStart"/>
      <w:r>
        <w:t>was applied</w:t>
      </w:r>
      <w:proofErr w:type="gramEnd"/>
      <w:r>
        <w:t xml:space="preserve"> to a network </w:t>
      </w:r>
      <w:r w:rsidR="00726D01">
        <w:t>formed by</w:t>
      </w:r>
      <w:r>
        <w:t xml:space="preserve"> a focal company and five secondary companies whose exchanges are synthesized in Table 2.</w:t>
      </w:r>
    </w:p>
    <w:p w:rsidR="006B1BF9" w:rsidRPr="006B1BF9" w:rsidRDefault="00F326AA" w:rsidP="006B1BF9">
      <w:pPr>
        <w:pStyle w:val="CETTabletitle"/>
      </w:pPr>
      <w:r w:rsidRPr="006B1BF9">
        <w:t xml:space="preserve">Table 2: </w:t>
      </w:r>
      <w:r>
        <w:t>Companies of the EIP</w:t>
      </w:r>
    </w:p>
    <w:tbl>
      <w:tblPr>
        <w:tblW w:w="8364" w:type="dxa"/>
        <w:tblBorders>
          <w:top w:val="single" w:sz="12" w:space="0" w:color="008000"/>
          <w:bottom w:val="single" w:sz="12" w:space="0" w:color="008000"/>
        </w:tblBorders>
        <w:tblLayout w:type="fixed"/>
        <w:tblLook w:val="0000" w:firstRow="0" w:lastRow="0" w:firstColumn="0" w:lastColumn="0" w:noHBand="0" w:noVBand="0"/>
      </w:tblPr>
      <w:tblGrid>
        <w:gridCol w:w="993"/>
        <w:gridCol w:w="1843"/>
        <w:gridCol w:w="2551"/>
        <w:gridCol w:w="2977"/>
      </w:tblGrid>
      <w:tr w:rsidR="00AB607F" w:rsidTr="00326823">
        <w:tc>
          <w:tcPr>
            <w:tcW w:w="993" w:type="dxa"/>
            <w:tcBorders>
              <w:top w:val="single" w:sz="12" w:space="0" w:color="008000"/>
              <w:bottom w:val="single" w:sz="6" w:space="0" w:color="008000"/>
            </w:tcBorders>
            <w:shd w:val="clear" w:color="auto" w:fill="FFFFFF"/>
          </w:tcPr>
          <w:p w:rsidR="006B1BF9" w:rsidRPr="006B1BF9" w:rsidRDefault="00F326AA" w:rsidP="006B1BF9">
            <w:pPr>
              <w:pStyle w:val="CETBodytext"/>
              <w:pBdr>
                <w:top w:val="nil"/>
                <w:left w:val="nil"/>
                <w:bottom w:val="nil"/>
                <w:right w:val="nil"/>
                <w:between w:val="nil"/>
              </w:pBdr>
              <w:rPr>
                <w:lang w:val="en-GB"/>
              </w:rPr>
            </w:pPr>
            <w:r w:rsidRPr="006B1BF9">
              <w:rPr>
                <w:lang w:val="en-GB"/>
              </w:rPr>
              <w:t>Company</w:t>
            </w:r>
          </w:p>
        </w:tc>
        <w:tc>
          <w:tcPr>
            <w:tcW w:w="1843" w:type="dxa"/>
            <w:tcBorders>
              <w:top w:val="single" w:sz="12" w:space="0" w:color="008000"/>
              <w:bottom w:val="single" w:sz="6" w:space="0" w:color="008000"/>
            </w:tcBorders>
            <w:shd w:val="clear" w:color="auto" w:fill="FFFFFF"/>
          </w:tcPr>
          <w:p w:rsidR="006B1BF9" w:rsidRPr="006B1BF9" w:rsidRDefault="00F326AA" w:rsidP="006B1BF9">
            <w:pPr>
              <w:pStyle w:val="CETBodytext"/>
              <w:pBdr>
                <w:top w:val="nil"/>
                <w:left w:val="nil"/>
                <w:bottom w:val="nil"/>
                <w:right w:val="nil"/>
                <w:between w:val="nil"/>
              </w:pBdr>
              <w:rPr>
                <w:lang w:val="en-GB"/>
              </w:rPr>
            </w:pPr>
            <w:r w:rsidRPr="006B1BF9">
              <w:rPr>
                <w:lang w:val="en-GB"/>
              </w:rPr>
              <w:t>Receives</w:t>
            </w:r>
          </w:p>
        </w:tc>
        <w:tc>
          <w:tcPr>
            <w:tcW w:w="2551" w:type="dxa"/>
            <w:tcBorders>
              <w:top w:val="single" w:sz="12" w:space="0" w:color="008000"/>
              <w:bottom w:val="single" w:sz="6" w:space="0" w:color="008000"/>
            </w:tcBorders>
            <w:shd w:val="clear" w:color="auto" w:fill="FFFFFF"/>
          </w:tcPr>
          <w:p w:rsidR="006B1BF9" w:rsidRPr="006B1BF9" w:rsidRDefault="00F326AA" w:rsidP="006B1BF9">
            <w:pPr>
              <w:pStyle w:val="CETBodytext"/>
              <w:pBdr>
                <w:top w:val="nil"/>
                <w:left w:val="nil"/>
                <w:bottom w:val="nil"/>
                <w:right w:val="nil"/>
                <w:between w:val="nil"/>
              </w:pBdr>
              <w:rPr>
                <w:lang w:val="en-GB"/>
              </w:rPr>
            </w:pPr>
            <w:r>
              <w:rPr>
                <w:lang w:val="en-GB"/>
              </w:rPr>
              <w:t>Activity</w:t>
            </w:r>
          </w:p>
        </w:tc>
        <w:tc>
          <w:tcPr>
            <w:tcW w:w="2977" w:type="dxa"/>
            <w:tcBorders>
              <w:top w:val="single" w:sz="12" w:space="0" w:color="008000"/>
              <w:bottom w:val="single" w:sz="6" w:space="0" w:color="008000"/>
            </w:tcBorders>
            <w:shd w:val="clear" w:color="auto" w:fill="FFFFFF"/>
          </w:tcPr>
          <w:p w:rsidR="006B1BF9" w:rsidRPr="006B1BF9" w:rsidRDefault="00F326AA" w:rsidP="006B1BF9">
            <w:pPr>
              <w:pStyle w:val="CETBodytext"/>
              <w:pBdr>
                <w:top w:val="nil"/>
                <w:left w:val="nil"/>
                <w:bottom w:val="nil"/>
                <w:right w:val="nil"/>
                <w:between w:val="nil"/>
              </w:pBdr>
              <w:rPr>
                <w:lang w:val="en-GB"/>
              </w:rPr>
            </w:pPr>
            <w:r>
              <w:rPr>
                <w:lang w:val="en-GB"/>
              </w:rPr>
              <w:t>D</w:t>
            </w:r>
            <w:r w:rsidRPr="006B1BF9">
              <w:rPr>
                <w:lang w:val="en-GB"/>
              </w:rPr>
              <w:t>e</w:t>
            </w:r>
            <w:r>
              <w:rPr>
                <w:lang w:val="en-GB"/>
              </w:rPr>
              <w:t>livers</w:t>
            </w:r>
          </w:p>
        </w:tc>
      </w:tr>
      <w:tr w:rsidR="00AB607F" w:rsidTr="00326823">
        <w:tc>
          <w:tcPr>
            <w:tcW w:w="993" w:type="dxa"/>
            <w:shd w:val="clear" w:color="auto" w:fill="FFFFFF"/>
            <w:vAlign w:val="center"/>
          </w:tcPr>
          <w:p w:rsidR="006B1BF9" w:rsidRPr="006B1BF9" w:rsidRDefault="00F326AA" w:rsidP="006B1BF9">
            <w:pPr>
              <w:pStyle w:val="CETBodytext"/>
              <w:pBdr>
                <w:top w:val="nil"/>
                <w:left w:val="nil"/>
                <w:bottom w:val="nil"/>
                <w:right w:val="nil"/>
                <w:between w:val="nil"/>
              </w:pBdr>
              <w:rPr>
                <w:lang w:val="en-GB"/>
              </w:rPr>
            </w:pPr>
            <w:r w:rsidRPr="006B1BF9">
              <w:rPr>
                <w:lang w:val="en-GB"/>
              </w:rPr>
              <w:t>Focal</w:t>
            </w:r>
          </w:p>
        </w:tc>
        <w:tc>
          <w:tcPr>
            <w:tcW w:w="1843" w:type="dxa"/>
            <w:shd w:val="clear" w:color="auto" w:fill="FFFFFF"/>
            <w:vAlign w:val="center"/>
          </w:tcPr>
          <w:p w:rsidR="006B1BF9" w:rsidRPr="006B1BF9" w:rsidRDefault="00F326AA" w:rsidP="006B1BF9">
            <w:pPr>
              <w:pStyle w:val="CETBodytext"/>
              <w:pBdr>
                <w:top w:val="nil"/>
                <w:left w:val="nil"/>
                <w:bottom w:val="nil"/>
                <w:right w:val="nil"/>
                <w:between w:val="nil"/>
              </w:pBdr>
              <w:rPr>
                <w:lang w:val="en-GB"/>
              </w:rPr>
            </w:pPr>
            <w:r w:rsidRPr="006B1BF9">
              <w:rPr>
                <w:lang w:val="en-GB"/>
              </w:rPr>
              <w:t>Metallic scrap</w:t>
            </w:r>
          </w:p>
        </w:tc>
        <w:tc>
          <w:tcPr>
            <w:tcW w:w="2551" w:type="dxa"/>
            <w:shd w:val="clear" w:color="auto" w:fill="FFFFFF"/>
            <w:vAlign w:val="center"/>
          </w:tcPr>
          <w:p w:rsidR="006B1BF9" w:rsidRPr="006B1BF9" w:rsidRDefault="00F326AA" w:rsidP="006B1BF9">
            <w:pPr>
              <w:pStyle w:val="CETBodytext"/>
              <w:pBdr>
                <w:top w:val="nil"/>
                <w:left w:val="nil"/>
                <w:bottom w:val="nil"/>
                <w:right w:val="nil"/>
                <w:between w:val="nil"/>
              </w:pBdr>
              <w:rPr>
                <w:lang w:val="en-GB"/>
              </w:rPr>
            </w:pPr>
            <w:r>
              <w:rPr>
                <w:lang w:val="en-GB"/>
              </w:rPr>
              <w:t>Steelmaking</w:t>
            </w:r>
            <w:r w:rsidR="00C84561">
              <w:rPr>
                <w:lang w:val="en-GB"/>
              </w:rPr>
              <w:t xml:space="preserve"> plant</w:t>
            </w:r>
          </w:p>
        </w:tc>
        <w:tc>
          <w:tcPr>
            <w:tcW w:w="2977" w:type="dxa"/>
            <w:shd w:val="clear" w:color="auto" w:fill="FFFFFF"/>
            <w:vAlign w:val="center"/>
          </w:tcPr>
          <w:p w:rsidR="006B1BF9" w:rsidRPr="006B1BF9" w:rsidRDefault="00F326AA" w:rsidP="006B1BF9">
            <w:pPr>
              <w:pStyle w:val="CETBodytext"/>
              <w:pBdr>
                <w:top w:val="nil"/>
                <w:left w:val="nil"/>
                <w:bottom w:val="nil"/>
                <w:right w:val="nil"/>
                <w:between w:val="nil"/>
              </w:pBdr>
              <w:rPr>
                <w:lang w:val="pt-BR"/>
              </w:rPr>
            </w:pPr>
            <w:r>
              <w:rPr>
                <w:lang w:val="pt-BR"/>
              </w:rPr>
              <w:t xml:space="preserve">Steel </w:t>
            </w:r>
            <w:r w:rsidR="00751EEE">
              <w:t>by-products</w:t>
            </w:r>
            <w:r w:rsidR="00751EEE">
              <w:rPr>
                <w:lang w:val="pt-BR"/>
              </w:rPr>
              <w:t>, MSW</w:t>
            </w:r>
          </w:p>
        </w:tc>
      </w:tr>
      <w:tr w:rsidR="00AB607F" w:rsidTr="00326823">
        <w:trPr>
          <w:trHeight w:val="218"/>
        </w:trPr>
        <w:tc>
          <w:tcPr>
            <w:tcW w:w="993" w:type="dxa"/>
            <w:shd w:val="clear" w:color="auto" w:fill="FFFFFF"/>
            <w:vAlign w:val="center"/>
          </w:tcPr>
          <w:p w:rsidR="006B1BF9" w:rsidRPr="006B1BF9" w:rsidRDefault="00F326AA" w:rsidP="006B1BF9">
            <w:pPr>
              <w:pStyle w:val="CETBodytext"/>
              <w:pBdr>
                <w:top w:val="nil"/>
                <w:left w:val="nil"/>
                <w:bottom w:val="nil"/>
                <w:right w:val="nil"/>
                <w:between w:val="nil"/>
              </w:pBdr>
              <w:rPr>
                <w:lang w:val="en-GB"/>
              </w:rPr>
            </w:pPr>
            <w:r w:rsidRPr="006B1BF9">
              <w:rPr>
                <w:lang w:val="en-GB"/>
              </w:rPr>
              <w:t>1</w:t>
            </w:r>
          </w:p>
        </w:tc>
        <w:tc>
          <w:tcPr>
            <w:tcW w:w="1843" w:type="dxa"/>
            <w:shd w:val="clear" w:color="auto" w:fill="FFFFFF"/>
            <w:vAlign w:val="center"/>
          </w:tcPr>
          <w:p w:rsidR="006B1BF9" w:rsidRPr="006B1BF9" w:rsidRDefault="00F326AA" w:rsidP="006B1BF9">
            <w:pPr>
              <w:pStyle w:val="CETBodytext"/>
              <w:pBdr>
                <w:top w:val="nil"/>
                <w:left w:val="nil"/>
                <w:bottom w:val="nil"/>
                <w:right w:val="nil"/>
                <w:between w:val="nil"/>
              </w:pBdr>
              <w:rPr>
                <w:lang w:val="en-GB"/>
              </w:rPr>
            </w:pPr>
            <w:r>
              <w:rPr>
                <w:lang w:val="en-GB"/>
              </w:rPr>
              <w:t>MSW</w:t>
            </w:r>
          </w:p>
        </w:tc>
        <w:tc>
          <w:tcPr>
            <w:tcW w:w="2551" w:type="dxa"/>
            <w:shd w:val="clear" w:color="auto" w:fill="FFFFFF"/>
            <w:vAlign w:val="center"/>
          </w:tcPr>
          <w:p w:rsidR="006B1BF9" w:rsidRPr="006B1BF9" w:rsidRDefault="00F326AA" w:rsidP="006B1BF9">
            <w:pPr>
              <w:pStyle w:val="CETBodytext"/>
              <w:pBdr>
                <w:top w:val="nil"/>
                <w:left w:val="nil"/>
                <w:bottom w:val="nil"/>
                <w:right w:val="nil"/>
                <w:between w:val="nil"/>
              </w:pBdr>
              <w:rPr>
                <w:lang w:val="en-GB"/>
              </w:rPr>
            </w:pPr>
            <w:r>
              <w:rPr>
                <w:lang w:val="en-GB"/>
              </w:rPr>
              <w:t>Waste processing</w:t>
            </w:r>
            <w:r w:rsidR="00C84561">
              <w:rPr>
                <w:lang w:val="en-GB"/>
              </w:rPr>
              <w:t xml:space="preserve"> plant</w:t>
            </w:r>
          </w:p>
        </w:tc>
        <w:tc>
          <w:tcPr>
            <w:tcW w:w="2977" w:type="dxa"/>
            <w:shd w:val="clear" w:color="auto" w:fill="FFFFFF"/>
            <w:vAlign w:val="center"/>
          </w:tcPr>
          <w:p w:rsidR="006B1BF9" w:rsidRPr="006B1BF9" w:rsidRDefault="00F326AA" w:rsidP="006B1BF9">
            <w:pPr>
              <w:pStyle w:val="CETBodytext"/>
              <w:pBdr>
                <w:top w:val="nil"/>
                <w:left w:val="nil"/>
                <w:bottom w:val="nil"/>
                <w:right w:val="nil"/>
                <w:between w:val="nil"/>
              </w:pBdr>
              <w:rPr>
                <w:lang w:val="en-GB"/>
              </w:rPr>
            </w:pPr>
            <w:r>
              <w:rPr>
                <w:lang w:val="en-GB"/>
              </w:rPr>
              <w:t>RDF</w:t>
            </w:r>
          </w:p>
        </w:tc>
      </w:tr>
      <w:tr w:rsidR="00AB607F" w:rsidTr="00326823">
        <w:tc>
          <w:tcPr>
            <w:tcW w:w="993" w:type="dxa"/>
            <w:shd w:val="clear" w:color="auto" w:fill="FFFFFF"/>
            <w:vAlign w:val="center"/>
          </w:tcPr>
          <w:p w:rsidR="006B1BF9" w:rsidRDefault="00F326AA" w:rsidP="00D2358D">
            <w:pPr>
              <w:pBdr>
                <w:top w:val="nil"/>
                <w:left w:val="nil"/>
                <w:bottom w:val="nil"/>
                <w:right w:val="nil"/>
                <w:between w:val="nil"/>
              </w:pBdr>
              <w:jc w:val="left"/>
              <w:rPr>
                <w:color w:val="000000"/>
              </w:rPr>
            </w:pPr>
            <w:r>
              <w:rPr>
                <w:color w:val="000000"/>
              </w:rPr>
              <w:t>2</w:t>
            </w:r>
          </w:p>
        </w:tc>
        <w:tc>
          <w:tcPr>
            <w:tcW w:w="1843" w:type="dxa"/>
            <w:shd w:val="clear" w:color="auto" w:fill="FFFFFF"/>
            <w:vAlign w:val="center"/>
          </w:tcPr>
          <w:p w:rsidR="006B1BF9" w:rsidRDefault="00F326AA" w:rsidP="00D2358D">
            <w:pPr>
              <w:jc w:val="left"/>
              <w:rPr>
                <w:color w:val="000000"/>
              </w:rPr>
            </w:pPr>
            <w:r>
              <w:rPr>
                <w:color w:val="000000"/>
              </w:rPr>
              <w:t>RDF</w:t>
            </w:r>
          </w:p>
        </w:tc>
        <w:tc>
          <w:tcPr>
            <w:tcW w:w="2551" w:type="dxa"/>
            <w:shd w:val="clear" w:color="auto" w:fill="FFFFFF"/>
            <w:vAlign w:val="center"/>
          </w:tcPr>
          <w:p w:rsidR="006B1BF9" w:rsidRPr="002D7389" w:rsidRDefault="00F326AA" w:rsidP="002D7389">
            <w:pPr>
              <w:pStyle w:val="CETBodytext"/>
              <w:rPr>
                <w:lang w:val="en-GB"/>
              </w:rPr>
            </w:pPr>
            <w:r w:rsidRPr="002D7389">
              <w:rPr>
                <w:lang w:val="en-GB"/>
              </w:rPr>
              <w:t>Cement</w:t>
            </w:r>
            <w:r w:rsidR="00C84561" w:rsidRPr="002D7389">
              <w:rPr>
                <w:lang w:val="en-GB"/>
              </w:rPr>
              <w:t xml:space="preserve"> plant</w:t>
            </w:r>
          </w:p>
        </w:tc>
        <w:tc>
          <w:tcPr>
            <w:tcW w:w="2977" w:type="dxa"/>
            <w:shd w:val="clear" w:color="auto" w:fill="FFFFFF"/>
            <w:vAlign w:val="center"/>
          </w:tcPr>
          <w:p w:rsidR="006B1BF9" w:rsidRPr="002D7389" w:rsidRDefault="00F326AA" w:rsidP="00326823">
            <w:pPr>
              <w:pStyle w:val="CETBodytext"/>
              <w:rPr>
                <w:lang w:val="en-GB"/>
              </w:rPr>
            </w:pPr>
            <w:r w:rsidRPr="002D7389">
              <w:rPr>
                <w:lang w:val="en-GB"/>
              </w:rPr>
              <w:t xml:space="preserve">Soil </w:t>
            </w:r>
            <w:r w:rsidR="00326823">
              <w:rPr>
                <w:lang w:val="en-GB"/>
              </w:rPr>
              <w:t xml:space="preserve">pH </w:t>
            </w:r>
            <w:r w:rsidRPr="002D7389">
              <w:rPr>
                <w:lang w:val="en-GB"/>
              </w:rPr>
              <w:t>corrective</w:t>
            </w:r>
          </w:p>
        </w:tc>
      </w:tr>
      <w:tr w:rsidR="00AB607F" w:rsidTr="00326823">
        <w:tc>
          <w:tcPr>
            <w:tcW w:w="993" w:type="dxa"/>
            <w:shd w:val="clear" w:color="auto" w:fill="FFFFFF"/>
            <w:vAlign w:val="center"/>
          </w:tcPr>
          <w:p w:rsidR="006B1BF9" w:rsidRDefault="00F326AA" w:rsidP="00D2358D">
            <w:pPr>
              <w:pBdr>
                <w:top w:val="nil"/>
                <w:left w:val="nil"/>
                <w:bottom w:val="nil"/>
                <w:right w:val="nil"/>
                <w:between w:val="nil"/>
              </w:pBdr>
              <w:jc w:val="left"/>
              <w:rPr>
                <w:color w:val="000000"/>
              </w:rPr>
            </w:pPr>
            <w:r>
              <w:rPr>
                <w:color w:val="000000"/>
              </w:rPr>
              <w:t>3</w:t>
            </w:r>
          </w:p>
        </w:tc>
        <w:tc>
          <w:tcPr>
            <w:tcW w:w="1843" w:type="dxa"/>
            <w:shd w:val="clear" w:color="auto" w:fill="FFFFFF"/>
            <w:vAlign w:val="center"/>
          </w:tcPr>
          <w:p w:rsidR="006B1BF9" w:rsidRDefault="00F326AA" w:rsidP="00D2358D">
            <w:pPr>
              <w:jc w:val="left"/>
              <w:rPr>
                <w:color w:val="000000"/>
              </w:rPr>
            </w:pPr>
            <w:r>
              <w:rPr>
                <w:lang w:val="pt-BR"/>
              </w:rPr>
              <w:t xml:space="preserve">Steel </w:t>
            </w:r>
            <w:r>
              <w:t>by-products</w:t>
            </w:r>
          </w:p>
        </w:tc>
        <w:tc>
          <w:tcPr>
            <w:tcW w:w="2551" w:type="dxa"/>
            <w:shd w:val="clear" w:color="auto" w:fill="FFFFFF"/>
            <w:vAlign w:val="center"/>
          </w:tcPr>
          <w:p w:rsidR="006B1BF9" w:rsidRDefault="00F326AA" w:rsidP="00751EEE">
            <w:pPr>
              <w:jc w:val="left"/>
              <w:rPr>
                <w:color w:val="000000"/>
              </w:rPr>
            </w:pPr>
            <w:r>
              <w:rPr>
                <w:color w:val="000000"/>
              </w:rPr>
              <w:t>F</w:t>
            </w:r>
            <w:r w:rsidR="00751EEE">
              <w:rPr>
                <w:color w:val="000000"/>
              </w:rPr>
              <w:t>oundry</w:t>
            </w:r>
            <w:r w:rsidR="00C84561">
              <w:rPr>
                <w:color w:val="000000"/>
              </w:rPr>
              <w:t xml:space="preserve"> plant</w:t>
            </w:r>
          </w:p>
        </w:tc>
        <w:tc>
          <w:tcPr>
            <w:tcW w:w="2977" w:type="dxa"/>
            <w:shd w:val="clear" w:color="auto" w:fill="FFFFFF"/>
            <w:vAlign w:val="center"/>
          </w:tcPr>
          <w:p w:rsidR="006B1BF9" w:rsidRDefault="00F326AA" w:rsidP="00751EEE">
            <w:pPr>
              <w:jc w:val="left"/>
              <w:rPr>
                <w:color w:val="000000"/>
              </w:rPr>
            </w:pPr>
            <w:r>
              <w:rPr>
                <w:color w:val="000000"/>
              </w:rPr>
              <w:t>Metallic slag</w:t>
            </w:r>
            <w:r w:rsidR="002D7389">
              <w:rPr>
                <w:color w:val="000000"/>
              </w:rPr>
              <w:t xml:space="preserve"> to pavement</w:t>
            </w:r>
            <w:r w:rsidR="00326823">
              <w:rPr>
                <w:color w:val="000000"/>
              </w:rPr>
              <w:t xml:space="preserve"> </w:t>
            </w:r>
            <w:r w:rsidR="002D7389">
              <w:rPr>
                <w:color w:val="000000"/>
              </w:rPr>
              <w:t>s</w:t>
            </w:r>
            <w:r w:rsidR="00326823">
              <w:rPr>
                <w:color w:val="000000"/>
              </w:rPr>
              <w:t>ervice</w:t>
            </w:r>
          </w:p>
        </w:tc>
      </w:tr>
      <w:tr w:rsidR="00AB607F" w:rsidTr="00326823">
        <w:tc>
          <w:tcPr>
            <w:tcW w:w="993" w:type="dxa"/>
            <w:shd w:val="clear" w:color="auto" w:fill="FFFFFF"/>
            <w:vAlign w:val="center"/>
          </w:tcPr>
          <w:p w:rsidR="006B1BF9" w:rsidRDefault="00F326AA" w:rsidP="00D2358D">
            <w:pPr>
              <w:pBdr>
                <w:top w:val="nil"/>
                <w:left w:val="nil"/>
                <w:bottom w:val="nil"/>
                <w:right w:val="nil"/>
                <w:between w:val="nil"/>
              </w:pBdr>
              <w:jc w:val="left"/>
              <w:rPr>
                <w:color w:val="000000"/>
              </w:rPr>
            </w:pPr>
            <w:r>
              <w:rPr>
                <w:color w:val="000000"/>
              </w:rPr>
              <w:t>4</w:t>
            </w:r>
          </w:p>
        </w:tc>
        <w:tc>
          <w:tcPr>
            <w:tcW w:w="1843" w:type="dxa"/>
            <w:shd w:val="clear" w:color="auto" w:fill="FFFFFF"/>
            <w:vAlign w:val="center"/>
          </w:tcPr>
          <w:p w:rsidR="006B1BF9" w:rsidRDefault="00F326AA" w:rsidP="00D2358D">
            <w:pPr>
              <w:jc w:val="left"/>
              <w:rPr>
                <w:color w:val="000000"/>
              </w:rPr>
            </w:pPr>
            <w:r>
              <w:rPr>
                <w:lang w:val="pt-BR"/>
              </w:rPr>
              <w:t xml:space="preserve">Steel </w:t>
            </w:r>
            <w:r>
              <w:t>by-products</w:t>
            </w:r>
          </w:p>
        </w:tc>
        <w:tc>
          <w:tcPr>
            <w:tcW w:w="2551" w:type="dxa"/>
            <w:shd w:val="clear" w:color="auto" w:fill="FFFFFF"/>
            <w:vAlign w:val="center"/>
          </w:tcPr>
          <w:p w:rsidR="006B1BF9" w:rsidRDefault="00F326AA" w:rsidP="00D2358D">
            <w:pPr>
              <w:jc w:val="left"/>
              <w:rPr>
                <w:color w:val="000000"/>
              </w:rPr>
            </w:pPr>
            <w:r>
              <w:rPr>
                <w:color w:val="000000"/>
              </w:rPr>
              <w:t>Machine manufacturer</w:t>
            </w:r>
            <w:r w:rsidR="00C84561">
              <w:rPr>
                <w:color w:val="000000"/>
              </w:rPr>
              <w:t xml:space="preserve"> plant</w:t>
            </w:r>
          </w:p>
        </w:tc>
        <w:tc>
          <w:tcPr>
            <w:tcW w:w="2977" w:type="dxa"/>
            <w:shd w:val="clear" w:color="auto" w:fill="FFFFFF"/>
            <w:vAlign w:val="center"/>
          </w:tcPr>
          <w:p w:rsidR="006B1BF9" w:rsidRDefault="00F326AA" w:rsidP="00D2358D">
            <w:pPr>
              <w:jc w:val="left"/>
              <w:rPr>
                <w:color w:val="000000"/>
              </w:rPr>
            </w:pPr>
            <w:r w:rsidRPr="006B1BF9">
              <w:t>Metallic scrap</w:t>
            </w:r>
          </w:p>
        </w:tc>
      </w:tr>
      <w:tr w:rsidR="00AB607F" w:rsidTr="00326823">
        <w:tc>
          <w:tcPr>
            <w:tcW w:w="993" w:type="dxa"/>
            <w:shd w:val="clear" w:color="auto" w:fill="FFFFFF"/>
            <w:vAlign w:val="center"/>
          </w:tcPr>
          <w:p w:rsidR="00751EEE" w:rsidRDefault="00F326AA" w:rsidP="00751EEE">
            <w:pPr>
              <w:pBdr>
                <w:top w:val="nil"/>
                <w:left w:val="nil"/>
                <w:bottom w:val="nil"/>
                <w:right w:val="nil"/>
                <w:between w:val="nil"/>
              </w:pBdr>
              <w:jc w:val="left"/>
              <w:rPr>
                <w:color w:val="000000"/>
              </w:rPr>
            </w:pPr>
            <w:r>
              <w:rPr>
                <w:color w:val="000000"/>
              </w:rPr>
              <w:t>5</w:t>
            </w:r>
          </w:p>
        </w:tc>
        <w:tc>
          <w:tcPr>
            <w:tcW w:w="1843" w:type="dxa"/>
            <w:shd w:val="clear" w:color="auto" w:fill="FFFFFF"/>
            <w:vAlign w:val="center"/>
          </w:tcPr>
          <w:p w:rsidR="00751EEE" w:rsidRDefault="00F326AA" w:rsidP="008C7F62">
            <w:pPr>
              <w:pBdr>
                <w:top w:val="nil"/>
                <w:left w:val="nil"/>
                <w:bottom w:val="nil"/>
                <w:right w:val="nil"/>
                <w:between w:val="nil"/>
              </w:pBdr>
              <w:jc w:val="left"/>
              <w:rPr>
                <w:color w:val="000000"/>
              </w:rPr>
            </w:pPr>
            <w:r>
              <w:rPr>
                <w:color w:val="000000"/>
              </w:rPr>
              <w:t>Useless vehicles</w:t>
            </w:r>
          </w:p>
        </w:tc>
        <w:tc>
          <w:tcPr>
            <w:tcW w:w="2551" w:type="dxa"/>
            <w:shd w:val="clear" w:color="auto" w:fill="FFFFFF"/>
            <w:vAlign w:val="center"/>
          </w:tcPr>
          <w:p w:rsidR="00751EEE" w:rsidRDefault="00F326AA" w:rsidP="00751EEE">
            <w:pPr>
              <w:pBdr>
                <w:top w:val="nil"/>
                <w:left w:val="nil"/>
                <w:bottom w:val="nil"/>
                <w:right w:val="nil"/>
                <w:between w:val="nil"/>
              </w:pBdr>
              <w:jc w:val="left"/>
              <w:rPr>
                <w:color w:val="000000"/>
              </w:rPr>
            </w:pPr>
            <w:r>
              <w:rPr>
                <w:color w:val="000000"/>
              </w:rPr>
              <w:t>Shredder</w:t>
            </w:r>
            <w:r w:rsidR="00C84561">
              <w:rPr>
                <w:color w:val="000000"/>
              </w:rPr>
              <w:t xml:space="preserve"> plant</w:t>
            </w:r>
          </w:p>
        </w:tc>
        <w:tc>
          <w:tcPr>
            <w:tcW w:w="2977" w:type="dxa"/>
            <w:shd w:val="clear" w:color="auto" w:fill="FFFFFF"/>
            <w:vAlign w:val="center"/>
          </w:tcPr>
          <w:p w:rsidR="00751EEE" w:rsidRDefault="00F326AA" w:rsidP="00751EEE">
            <w:pPr>
              <w:pBdr>
                <w:top w:val="nil"/>
                <w:left w:val="nil"/>
                <w:bottom w:val="nil"/>
                <w:right w:val="nil"/>
                <w:between w:val="nil"/>
              </w:pBdr>
              <w:jc w:val="left"/>
              <w:rPr>
                <w:color w:val="000000"/>
              </w:rPr>
            </w:pPr>
            <w:r w:rsidRPr="006B1BF9">
              <w:t>Metallic scrap</w:t>
            </w:r>
          </w:p>
        </w:tc>
      </w:tr>
    </w:tbl>
    <w:p w:rsidR="006B1BF9" w:rsidRPr="0029514E" w:rsidRDefault="006B1BF9" w:rsidP="009339F6">
      <w:pPr>
        <w:pStyle w:val="CETBodytext"/>
      </w:pPr>
    </w:p>
    <w:p w:rsidR="006514B5" w:rsidRPr="0000586F" w:rsidRDefault="00F326AA" w:rsidP="006514B5">
      <w:pPr>
        <w:pStyle w:val="CETBodytext"/>
      </w:pPr>
      <w:r w:rsidRPr="008C7F62">
        <w:t xml:space="preserve">The steel by-products involved are electric-arc furnace and continuous casting dust, </w:t>
      </w:r>
      <w:r w:rsidR="008C7F62">
        <w:t xml:space="preserve">metallic swarf, </w:t>
      </w:r>
      <w:r w:rsidRPr="008C7F62">
        <w:t>mill scale, steel leftovers,</w:t>
      </w:r>
      <w:r w:rsidR="003A71DA" w:rsidRPr="008C7F62">
        <w:t xml:space="preserve"> </w:t>
      </w:r>
      <w:r w:rsidR="008C7F62">
        <w:t xml:space="preserve">and </w:t>
      </w:r>
      <w:r w:rsidR="003A71DA" w:rsidRPr="008C7F62">
        <w:t>zinc sludge</w:t>
      </w:r>
      <w:r w:rsidR="008C7F62" w:rsidRPr="008C7F62">
        <w:t xml:space="preserve">. </w:t>
      </w:r>
      <w:r w:rsidR="00C84561">
        <w:t xml:space="preserve">The study of Sellitto </w:t>
      </w:r>
      <w:r w:rsidR="006014AD">
        <w:t xml:space="preserve">et al. </w:t>
      </w:r>
      <w:r w:rsidR="00C84561">
        <w:t>(202</w:t>
      </w:r>
      <w:r w:rsidR="006014AD">
        <w:t>1</w:t>
      </w:r>
      <w:r w:rsidR="00C84561">
        <w:t>) entails a complete description o</w:t>
      </w:r>
      <w:r w:rsidR="002D7389">
        <w:t>f</w:t>
      </w:r>
      <w:r w:rsidR="00C84561">
        <w:t xml:space="preserve"> the </w:t>
      </w:r>
      <w:r w:rsidR="002D7389">
        <w:t xml:space="preserve">byproducts delivered by the </w:t>
      </w:r>
      <w:r w:rsidR="00C84561">
        <w:t>steelmaking plant</w:t>
      </w:r>
      <w:r w:rsidR="002D7389">
        <w:t xml:space="preserve">, a semi-integrated unit </w:t>
      </w:r>
      <w:r w:rsidR="00326823">
        <w:t xml:space="preserve">that </w:t>
      </w:r>
      <w:r w:rsidR="002D7389">
        <w:t>includ</w:t>
      </w:r>
      <w:r w:rsidR="00326823">
        <w:t>es</w:t>
      </w:r>
      <w:r w:rsidR="002D7389">
        <w:t xml:space="preserve"> </w:t>
      </w:r>
      <w:r w:rsidR="00C023BB">
        <w:t>refining (</w:t>
      </w:r>
      <w:r w:rsidR="002D7389">
        <w:t>melt-shop</w:t>
      </w:r>
      <w:r w:rsidR="00C023BB">
        <w:t>) and conforming (</w:t>
      </w:r>
      <w:r w:rsidR="002D7389">
        <w:t>rolling mills</w:t>
      </w:r>
      <w:r w:rsidR="00C023BB">
        <w:t>) stages</w:t>
      </w:r>
      <w:r w:rsidR="00246C9F">
        <w:t>.</w:t>
      </w:r>
      <w:r w:rsidR="00C84561">
        <w:t xml:space="preserve"> </w:t>
      </w:r>
      <w:r w:rsidR="00246C9F">
        <w:t>The</w:t>
      </w:r>
      <w:r w:rsidR="008C7F62">
        <w:t xml:space="preserve"> </w:t>
      </w:r>
      <w:r w:rsidR="006014AD">
        <w:t xml:space="preserve">study also describes how the </w:t>
      </w:r>
      <w:r w:rsidR="008C7F62">
        <w:t xml:space="preserve">fly ash generated by company </w:t>
      </w:r>
      <w:proofErr w:type="gramStart"/>
      <w:r w:rsidR="00C84561">
        <w:t>2</w:t>
      </w:r>
      <w:proofErr w:type="gramEnd"/>
      <w:r w:rsidR="008C7F62">
        <w:t xml:space="preserve"> routes to the </w:t>
      </w:r>
      <w:r w:rsidR="00C84561">
        <w:t>c</w:t>
      </w:r>
      <w:r w:rsidR="008C7F62">
        <w:t>ement industry</w:t>
      </w:r>
      <w:r w:rsidR="00C84561">
        <w:t>, acting as a fuller for pozzolanic cement products</w:t>
      </w:r>
      <w:r w:rsidRPr="00B57B36">
        <w:rPr>
          <w:lang w:val="en-GB"/>
        </w:rPr>
        <w:t>.</w:t>
      </w:r>
    </w:p>
    <w:p w:rsidR="006514B5" w:rsidRPr="00B57B36" w:rsidRDefault="00F326AA" w:rsidP="006514B5">
      <w:pPr>
        <w:pStyle w:val="CETHeading1"/>
        <w:rPr>
          <w:lang w:val="en-GB"/>
        </w:rPr>
      </w:pPr>
      <w:r>
        <w:rPr>
          <w:lang w:val="en-GB"/>
        </w:rPr>
        <w:t>Result</w:t>
      </w:r>
      <w:r w:rsidRPr="00B57B36">
        <w:rPr>
          <w:lang w:val="en-GB"/>
        </w:rPr>
        <w:t>s</w:t>
      </w:r>
    </w:p>
    <w:p w:rsidR="006514B5" w:rsidRDefault="00F326AA" w:rsidP="006514B5">
      <w:pPr>
        <w:pStyle w:val="CETBodytext"/>
      </w:pPr>
      <w:r w:rsidRPr="00792A82">
        <w:t>Three</w:t>
      </w:r>
      <w:r w:rsidR="00C84561">
        <w:t xml:space="preserve"> managers of the focal company </w:t>
      </w:r>
      <w:r w:rsidRPr="00792A82">
        <w:t>re</w:t>
      </w:r>
      <w:r w:rsidR="00C84561">
        <w:t>plie</w:t>
      </w:r>
      <w:r w:rsidRPr="00792A82">
        <w:t xml:space="preserve">d </w:t>
      </w:r>
      <w:r w:rsidR="00C84561">
        <w:t>to two</w:t>
      </w:r>
      <w:r w:rsidRPr="00792A82">
        <w:t xml:space="preserve"> </w:t>
      </w:r>
      <w:r w:rsidR="00C84561">
        <w:t>statement</w:t>
      </w:r>
      <w:r w:rsidRPr="00792A82">
        <w:t>s: (</w:t>
      </w:r>
      <w:proofErr w:type="spellStart"/>
      <w:r w:rsidRPr="00792A82">
        <w:t>i</w:t>
      </w:r>
      <w:proofErr w:type="spellEnd"/>
      <w:r w:rsidRPr="00792A82">
        <w:t xml:space="preserve">) the importance for the </w:t>
      </w:r>
      <w:r w:rsidR="00D13532">
        <w:t>over</w:t>
      </w:r>
      <w:r w:rsidRPr="00792A82">
        <w:t>al</w:t>
      </w:r>
      <w:r w:rsidR="00D13532">
        <w:t>l operational</w:t>
      </w:r>
      <w:r w:rsidRPr="00792A82">
        <w:t xml:space="preserve"> result of the EIP of [</w:t>
      </w:r>
      <w:r w:rsidRPr="00C84561">
        <w:rPr>
          <w:i/>
        </w:rPr>
        <w:t>Indicator n</w:t>
      </w:r>
      <w:r w:rsidRPr="00792A82">
        <w:t xml:space="preserve">] is very </w:t>
      </w:r>
      <w:r w:rsidR="00D03A8B">
        <w:t>high</w:t>
      </w:r>
      <w:r w:rsidRPr="00792A82">
        <w:t>; and (ii) the EIP performance for [</w:t>
      </w:r>
      <w:r w:rsidRPr="00C84561">
        <w:rPr>
          <w:i/>
        </w:rPr>
        <w:t>indicator n</w:t>
      </w:r>
      <w:r w:rsidRPr="00792A82">
        <w:t xml:space="preserve">] is very good. The response options </w:t>
      </w:r>
      <w:proofErr w:type="gramStart"/>
      <w:r w:rsidRPr="00792A82">
        <w:t>were:</w:t>
      </w:r>
      <w:proofErr w:type="gramEnd"/>
      <w:r w:rsidRPr="00792A82">
        <w:t xml:space="preserve"> strongly agree (1)</w:t>
      </w:r>
      <w:r w:rsidR="00D13532">
        <w:t>,</w:t>
      </w:r>
      <w:r w:rsidRPr="00792A82">
        <w:t xml:space="preserve"> slightly agree (0.75)</w:t>
      </w:r>
      <w:r w:rsidR="00D13532">
        <w:t>,</w:t>
      </w:r>
      <w:r w:rsidRPr="00792A82">
        <w:t xml:space="preserve"> neither agree nor disagree (0.5)</w:t>
      </w:r>
      <w:r w:rsidR="00D13532">
        <w:t>,</w:t>
      </w:r>
      <w:r w:rsidRPr="00792A82">
        <w:t xml:space="preserve"> slightly </w:t>
      </w:r>
      <w:r w:rsidRPr="00792A82">
        <w:lastRenderedPageBreak/>
        <w:t>disagree (0.25)</w:t>
      </w:r>
      <w:r w:rsidR="00D13532">
        <w:t>,</w:t>
      </w:r>
      <w:r w:rsidRPr="00792A82">
        <w:t xml:space="preserve"> and strongly disagree (0). </w:t>
      </w:r>
      <w:r w:rsidR="00D03A8B">
        <w:t>T</w:t>
      </w:r>
      <w:r w:rsidRPr="00792A82">
        <w:t xml:space="preserve">he </w:t>
      </w:r>
      <w:r w:rsidR="00D13532">
        <w:t>evaluation</w:t>
      </w:r>
      <w:r w:rsidR="00D03A8B">
        <w:t xml:space="preserve"> took into account </w:t>
      </w:r>
      <w:r w:rsidRPr="00792A82">
        <w:t xml:space="preserve">the medians of the </w:t>
      </w:r>
      <w:r w:rsidR="00D03A8B">
        <w:t xml:space="preserve">three </w:t>
      </w:r>
      <w:r w:rsidRPr="00792A82">
        <w:t>re</w:t>
      </w:r>
      <w:r w:rsidR="00D13532">
        <w:t xml:space="preserve">plies, shown in </w:t>
      </w:r>
      <w:r w:rsidRPr="00792A82">
        <w:t>Table 3</w:t>
      </w:r>
      <w:r w:rsidR="00F71D7E">
        <w:t>.</w:t>
      </w:r>
      <w:r w:rsidR="00671A42">
        <w:t xml:space="preserve"> Tab</w:t>
      </w:r>
      <w:r w:rsidR="00315FE2">
        <w:t>le 4 synthesizes the evaluation</w:t>
      </w:r>
      <w:r w:rsidR="00A928F6">
        <w:t>.</w:t>
      </w:r>
    </w:p>
    <w:p w:rsidR="00C84561" w:rsidRPr="00B57B36" w:rsidRDefault="00F326AA" w:rsidP="00C84561">
      <w:pPr>
        <w:pStyle w:val="CETTabletitle"/>
      </w:pPr>
      <w:r w:rsidRPr="00B57B36">
        <w:t xml:space="preserve">Table </w:t>
      </w:r>
      <w:r>
        <w:t>3</w:t>
      </w:r>
      <w:r w:rsidRPr="00B57B36">
        <w:t xml:space="preserve">: </w:t>
      </w:r>
      <w:r w:rsidR="001265A7">
        <w:t>Evaluation</w:t>
      </w:r>
      <w:r w:rsidR="00726D01">
        <w:t xml:space="preserve"> by indicator</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851"/>
        <w:gridCol w:w="1134"/>
        <w:gridCol w:w="1134"/>
        <w:gridCol w:w="1134"/>
        <w:gridCol w:w="1134"/>
        <w:gridCol w:w="1134"/>
      </w:tblGrid>
      <w:tr w:rsidR="00AB607F" w:rsidTr="00FA6AAF">
        <w:tc>
          <w:tcPr>
            <w:tcW w:w="851" w:type="dxa"/>
            <w:tcBorders>
              <w:top w:val="single" w:sz="12" w:space="0" w:color="008000"/>
              <w:bottom w:val="single" w:sz="6" w:space="0" w:color="008000"/>
            </w:tcBorders>
            <w:shd w:val="clear" w:color="auto" w:fill="FFFFFF"/>
          </w:tcPr>
          <w:p w:rsidR="009056EF" w:rsidRPr="00B57B36" w:rsidRDefault="00F326AA" w:rsidP="009056EF">
            <w:pPr>
              <w:pStyle w:val="CETBodytext"/>
              <w:jc w:val="center"/>
              <w:rPr>
                <w:lang w:val="en-GB"/>
              </w:rPr>
            </w:pPr>
            <w:r>
              <w:rPr>
                <w:rFonts w:cs="Arial"/>
                <w:color w:val="000000"/>
                <w:szCs w:val="18"/>
              </w:rPr>
              <w:t>Indicator</w:t>
            </w:r>
          </w:p>
        </w:tc>
        <w:tc>
          <w:tcPr>
            <w:tcW w:w="1134" w:type="dxa"/>
            <w:tcBorders>
              <w:top w:val="single" w:sz="12" w:space="0" w:color="008000"/>
              <w:bottom w:val="single" w:sz="6" w:space="0" w:color="008000"/>
            </w:tcBorders>
            <w:shd w:val="clear" w:color="auto" w:fill="FFFFFF"/>
          </w:tcPr>
          <w:p w:rsidR="009056EF" w:rsidRPr="00B57B36" w:rsidRDefault="00F326AA" w:rsidP="009056EF">
            <w:pPr>
              <w:pStyle w:val="CETBodytext"/>
              <w:ind w:right="-1"/>
              <w:jc w:val="center"/>
              <w:rPr>
                <w:rFonts w:cs="Arial"/>
                <w:szCs w:val="18"/>
                <w:lang w:val="en-GB"/>
              </w:rPr>
            </w:pPr>
            <w:r>
              <w:rPr>
                <w:rFonts w:cs="Arial"/>
                <w:szCs w:val="18"/>
                <w:lang w:val="en-GB"/>
              </w:rPr>
              <w:t>Importance</w:t>
            </w:r>
          </w:p>
        </w:tc>
        <w:tc>
          <w:tcPr>
            <w:tcW w:w="1134" w:type="dxa"/>
            <w:tcBorders>
              <w:top w:val="single" w:sz="12" w:space="0" w:color="008000"/>
              <w:bottom w:val="single" w:sz="6" w:space="0" w:color="008000"/>
            </w:tcBorders>
            <w:shd w:val="clear" w:color="auto" w:fill="FFFFFF"/>
          </w:tcPr>
          <w:p w:rsidR="009056EF" w:rsidRPr="00B57B36" w:rsidRDefault="00F326AA" w:rsidP="009056EF">
            <w:pPr>
              <w:pStyle w:val="CETBodytext"/>
              <w:ind w:right="-1"/>
              <w:jc w:val="center"/>
              <w:rPr>
                <w:rFonts w:cs="Arial"/>
                <w:szCs w:val="18"/>
                <w:lang w:val="en-GB"/>
              </w:rPr>
            </w:pPr>
            <w:r>
              <w:rPr>
                <w:rFonts w:cs="Arial"/>
                <w:szCs w:val="18"/>
                <w:lang w:val="en-GB"/>
              </w:rPr>
              <w:t>Performance</w:t>
            </w:r>
          </w:p>
        </w:tc>
        <w:tc>
          <w:tcPr>
            <w:tcW w:w="1134" w:type="dxa"/>
            <w:tcBorders>
              <w:top w:val="single" w:sz="12" w:space="0" w:color="008000"/>
              <w:bottom w:val="single" w:sz="6" w:space="0" w:color="008000"/>
            </w:tcBorders>
            <w:shd w:val="clear" w:color="auto" w:fill="FFFFFF"/>
          </w:tcPr>
          <w:p w:rsidR="009056EF" w:rsidRDefault="00F326AA" w:rsidP="009056EF">
            <w:pPr>
              <w:pStyle w:val="CETBodytext"/>
              <w:ind w:right="-1"/>
              <w:jc w:val="center"/>
              <w:rPr>
                <w:rFonts w:cs="Arial"/>
                <w:szCs w:val="18"/>
                <w:lang w:val="en-GB"/>
              </w:rPr>
            </w:pPr>
            <w:r>
              <w:rPr>
                <w:rFonts w:cs="Arial"/>
                <w:color w:val="000000"/>
                <w:szCs w:val="18"/>
              </w:rPr>
              <w:t>Indicator</w:t>
            </w:r>
          </w:p>
        </w:tc>
        <w:tc>
          <w:tcPr>
            <w:tcW w:w="1134" w:type="dxa"/>
            <w:tcBorders>
              <w:top w:val="single" w:sz="12" w:space="0" w:color="008000"/>
              <w:bottom w:val="single" w:sz="6" w:space="0" w:color="008000"/>
            </w:tcBorders>
            <w:shd w:val="clear" w:color="auto" w:fill="FFFFFF"/>
          </w:tcPr>
          <w:p w:rsidR="009056EF" w:rsidRDefault="00F326AA" w:rsidP="009056EF">
            <w:pPr>
              <w:pStyle w:val="CETBodytext"/>
              <w:ind w:right="-1"/>
              <w:jc w:val="center"/>
              <w:rPr>
                <w:rFonts w:cs="Arial"/>
                <w:szCs w:val="18"/>
                <w:lang w:val="en-GB"/>
              </w:rPr>
            </w:pPr>
            <w:r>
              <w:rPr>
                <w:rFonts w:cs="Arial"/>
                <w:szCs w:val="18"/>
                <w:lang w:val="en-GB"/>
              </w:rPr>
              <w:t>Importance</w:t>
            </w:r>
          </w:p>
        </w:tc>
        <w:tc>
          <w:tcPr>
            <w:tcW w:w="1134" w:type="dxa"/>
            <w:tcBorders>
              <w:top w:val="single" w:sz="12" w:space="0" w:color="008000"/>
              <w:bottom w:val="single" w:sz="6" w:space="0" w:color="008000"/>
            </w:tcBorders>
            <w:shd w:val="clear" w:color="auto" w:fill="FFFFFF"/>
          </w:tcPr>
          <w:p w:rsidR="009056EF" w:rsidRDefault="00F326AA" w:rsidP="009056EF">
            <w:pPr>
              <w:pStyle w:val="CETBodytext"/>
              <w:ind w:right="-1"/>
              <w:jc w:val="center"/>
              <w:rPr>
                <w:rFonts w:cs="Arial"/>
                <w:szCs w:val="18"/>
                <w:lang w:val="en-GB"/>
              </w:rPr>
            </w:pPr>
            <w:r>
              <w:rPr>
                <w:rFonts w:cs="Arial"/>
                <w:szCs w:val="18"/>
                <w:lang w:val="en-GB"/>
              </w:rPr>
              <w:t>Performance</w:t>
            </w:r>
          </w:p>
        </w:tc>
      </w:tr>
      <w:tr w:rsidR="00AB607F" w:rsidTr="00FA6AAF">
        <w:tc>
          <w:tcPr>
            <w:tcW w:w="851" w:type="dxa"/>
            <w:shd w:val="clear" w:color="auto" w:fill="FFFFFF"/>
            <w:vAlign w:val="center"/>
          </w:tcPr>
          <w:p w:rsidR="009056EF" w:rsidRPr="00B57B36" w:rsidRDefault="00F326AA" w:rsidP="009056EF">
            <w:pPr>
              <w:pStyle w:val="CETBodytext"/>
              <w:jc w:val="center"/>
              <w:rPr>
                <w:lang w:val="en-GB"/>
              </w:rPr>
            </w:pPr>
            <w:r>
              <w:rPr>
                <w:lang w:val="en-GB"/>
              </w:rPr>
              <w:t>A1</w:t>
            </w:r>
          </w:p>
        </w:tc>
        <w:tc>
          <w:tcPr>
            <w:tcW w:w="1134" w:type="dxa"/>
            <w:shd w:val="clear" w:color="auto" w:fill="FFFFFF"/>
            <w:vAlign w:val="bottom"/>
          </w:tcPr>
          <w:p w:rsidR="009056EF" w:rsidRPr="00F53B0B" w:rsidRDefault="00F326AA" w:rsidP="009056EF">
            <w:pPr>
              <w:pStyle w:val="CETBodytext"/>
              <w:jc w:val="center"/>
              <w:rPr>
                <w:rFonts w:cs="Arial"/>
                <w:color w:val="000000"/>
                <w:szCs w:val="18"/>
              </w:rPr>
            </w:pPr>
            <w:r w:rsidRPr="002A401E">
              <w:rPr>
                <w:rFonts w:cs="Arial"/>
                <w:color w:val="000000"/>
                <w:szCs w:val="18"/>
              </w:rPr>
              <w:t>4</w:t>
            </w:r>
          </w:p>
        </w:tc>
        <w:tc>
          <w:tcPr>
            <w:tcW w:w="1134" w:type="dxa"/>
            <w:shd w:val="clear" w:color="auto" w:fill="FFFFFF"/>
            <w:vAlign w:val="bottom"/>
          </w:tcPr>
          <w:p w:rsidR="009056EF" w:rsidRPr="00F53B0B" w:rsidRDefault="00F326AA" w:rsidP="009056EF">
            <w:pPr>
              <w:pStyle w:val="CETBodytext"/>
              <w:jc w:val="center"/>
              <w:rPr>
                <w:rFonts w:cs="Arial"/>
                <w:color w:val="000000"/>
                <w:szCs w:val="18"/>
              </w:rPr>
            </w:pPr>
            <w:r w:rsidRPr="002A401E">
              <w:rPr>
                <w:rFonts w:cs="Arial"/>
                <w:color w:val="000000"/>
                <w:szCs w:val="18"/>
              </w:rPr>
              <w:t>3</w:t>
            </w:r>
          </w:p>
        </w:tc>
        <w:tc>
          <w:tcPr>
            <w:tcW w:w="1134" w:type="dxa"/>
            <w:shd w:val="clear" w:color="auto" w:fill="FFFFFF"/>
            <w:vAlign w:val="center"/>
          </w:tcPr>
          <w:p w:rsidR="009056EF" w:rsidRPr="002A401E" w:rsidRDefault="00F326AA" w:rsidP="009056EF">
            <w:pPr>
              <w:pStyle w:val="CETBodytext"/>
              <w:jc w:val="center"/>
              <w:rPr>
                <w:rFonts w:cs="Arial"/>
                <w:color w:val="000000"/>
                <w:szCs w:val="18"/>
              </w:rPr>
            </w:pPr>
            <w:r>
              <w:rPr>
                <w:rFonts w:cs="Arial"/>
                <w:szCs w:val="18"/>
                <w:lang w:val="en-GB"/>
              </w:rPr>
              <w:t>C1</w:t>
            </w:r>
          </w:p>
        </w:tc>
        <w:tc>
          <w:tcPr>
            <w:tcW w:w="1134" w:type="dxa"/>
            <w:shd w:val="clear" w:color="auto" w:fill="FFFFFF"/>
            <w:vAlign w:val="bottom"/>
          </w:tcPr>
          <w:p w:rsidR="009056EF" w:rsidRPr="002A401E" w:rsidRDefault="00F326AA" w:rsidP="009056EF">
            <w:pPr>
              <w:pStyle w:val="CETBodytext"/>
              <w:jc w:val="center"/>
              <w:rPr>
                <w:rFonts w:cs="Arial"/>
                <w:color w:val="000000"/>
                <w:szCs w:val="18"/>
              </w:rPr>
            </w:pPr>
            <w:r w:rsidRPr="007154B8">
              <w:rPr>
                <w:rFonts w:cs="Arial"/>
                <w:color w:val="000000"/>
                <w:szCs w:val="18"/>
              </w:rPr>
              <w:t>4</w:t>
            </w:r>
          </w:p>
        </w:tc>
        <w:tc>
          <w:tcPr>
            <w:tcW w:w="1134" w:type="dxa"/>
            <w:shd w:val="clear" w:color="auto" w:fill="FFFFFF"/>
            <w:vAlign w:val="bottom"/>
          </w:tcPr>
          <w:p w:rsidR="009056EF" w:rsidRPr="002A401E" w:rsidRDefault="00F326AA" w:rsidP="009056EF">
            <w:pPr>
              <w:pStyle w:val="CETBodytext"/>
              <w:jc w:val="center"/>
              <w:rPr>
                <w:rFonts w:cs="Arial"/>
                <w:color w:val="000000"/>
                <w:szCs w:val="18"/>
              </w:rPr>
            </w:pPr>
            <w:r w:rsidRPr="002A401E">
              <w:rPr>
                <w:rFonts w:cs="Arial"/>
                <w:color w:val="000000"/>
                <w:szCs w:val="18"/>
              </w:rPr>
              <w:t>2</w:t>
            </w:r>
          </w:p>
        </w:tc>
      </w:tr>
      <w:tr w:rsidR="00AB607F" w:rsidTr="00FA6AAF">
        <w:tc>
          <w:tcPr>
            <w:tcW w:w="851" w:type="dxa"/>
            <w:shd w:val="clear" w:color="auto" w:fill="FFFFFF"/>
            <w:vAlign w:val="center"/>
          </w:tcPr>
          <w:p w:rsidR="009056EF" w:rsidRPr="00B57B36" w:rsidRDefault="00F326AA" w:rsidP="009056EF">
            <w:pPr>
              <w:pStyle w:val="CETBodytext"/>
              <w:ind w:right="-1"/>
              <w:jc w:val="center"/>
              <w:rPr>
                <w:rFonts w:cs="Arial"/>
                <w:szCs w:val="18"/>
                <w:lang w:val="en-GB"/>
              </w:rPr>
            </w:pPr>
            <w:r>
              <w:rPr>
                <w:rFonts w:cs="Arial"/>
                <w:szCs w:val="18"/>
                <w:lang w:val="en-GB"/>
              </w:rPr>
              <w:t>A2</w:t>
            </w:r>
          </w:p>
        </w:tc>
        <w:tc>
          <w:tcPr>
            <w:tcW w:w="1134" w:type="dxa"/>
            <w:shd w:val="clear" w:color="auto" w:fill="FFFFFF"/>
            <w:vAlign w:val="bottom"/>
          </w:tcPr>
          <w:p w:rsidR="009056EF" w:rsidRPr="00F53B0B" w:rsidRDefault="00F326AA" w:rsidP="009056EF">
            <w:pPr>
              <w:pStyle w:val="CETBodytext"/>
              <w:jc w:val="center"/>
              <w:rPr>
                <w:rFonts w:cs="Arial"/>
                <w:color w:val="000000"/>
                <w:szCs w:val="18"/>
              </w:rPr>
            </w:pPr>
            <w:r w:rsidRPr="002A401E">
              <w:rPr>
                <w:rFonts w:cs="Arial"/>
                <w:color w:val="000000"/>
                <w:szCs w:val="18"/>
              </w:rPr>
              <w:t>2</w:t>
            </w:r>
          </w:p>
        </w:tc>
        <w:tc>
          <w:tcPr>
            <w:tcW w:w="1134" w:type="dxa"/>
            <w:shd w:val="clear" w:color="auto" w:fill="FFFFFF"/>
            <w:vAlign w:val="bottom"/>
          </w:tcPr>
          <w:p w:rsidR="009056EF" w:rsidRPr="00F53B0B" w:rsidRDefault="00F326AA" w:rsidP="009056EF">
            <w:pPr>
              <w:pStyle w:val="CETBodytext"/>
              <w:jc w:val="center"/>
              <w:rPr>
                <w:rFonts w:cs="Arial"/>
                <w:color w:val="000000"/>
                <w:szCs w:val="18"/>
              </w:rPr>
            </w:pPr>
            <w:r w:rsidRPr="002A401E">
              <w:rPr>
                <w:rFonts w:cs="Arial"/>
                <w:color w:val="000000"/>
                <w:szCs w:val="18"/>
              </w:rPr>
              <w:t>2</w:t>
            </w:r>
          </w:p>
        </w:tc>
        <w:tc>
          <w:tcPr>
            <w:tcW w:w="1134" w:type="dxa"/>
            <w:shd w:val="clear" w:color="auto" w:fill="FFFFFF"/>
            <w:vAlign w:val="center"/>
          </w:tcPr>
          <w:p w:rsidR="009056EF" w:rsidRPr="002A401E" w:rsidRDefault="00F326AA" w:rsidP="009056EF">
            <w:pPr>
              <w:pStyle w:val="CETBodytext"/>
              <w:jc w:val="center"/>
              <w:rPr>
                <w:rFonts w:cs="Arial"/>
                <w:color w:val="000000"/>
                <w:szCs w:val="18"/>
              </w:rPr>
            </w:pPr>
            <w:r>
              <w:rPr>
                <w:rFonts w:cs="Arial"/>
                <w:szCs w:val="18"/>
                <w:lang w:val="en-GB"/>
              </w:rPr>
              <w:t>C2</w:t>
            </w:r>
          </w:p>
        </w:tc>
        <w:tc>
          <w:tcPr>
            <w:tcW w:w="1134" w:type="dxa"/>
            <w:shd w:val="clear" w:color="auto" w:fill="FFFFFF"/>
            <w:vAlign w:val="bottom"/>
          </w:tcPr>
          <w:p w:rsidR="009056EF" w:rsidRPr="002A401E" w:rsidRDefault="00F326AA" w:rsidP="009056EF">
            <w:pPr>
              <w:pStyle w:val="CETBodytext"/>
              <w:jc w:val="center"/>
              <w:rPr>
                <w:rFonts w:cs="Arial"/>
                <w:color w:val="000000"/>
                <w:szCs w:val="18"/>
              </w:rPr>
            </w:pPr>
            <w:r w:rsidRPr="007154B8">
              <w:rPr>
                <w:rFonts w:cs="Arial"/>
                <w:color w:val="000000"/>
                <w:szCs w:val="18"/>
              </w:rPr>
              <w:t>5</w:t>
            </w:r>
          </w:p>
        </w:tc>
        <w:tc>
          <w:tcPr>
            <w:tcW w:w="1134" w:type="dxa"/>
            <w:shd w:val="clear" w:color="auto" w:fill="FFFFFF"/>
            <w:vAlign w:val="bottom"/>
          </w:tcPr>
          <w:p w:rsidR="009056EF" w:rsidRPr="002A401E" w:rsidRDefault="00F326AA" w:rsidP="009056EF">
            <w:pPr>
              <w:pStyle w:val="CETBodytext"/>
              <w:jc w:val="center"/>
              <w:rPr>
                <w:rFonts w:cs="Arial"/>
                <w:color w:val="000000"/>
                <w:szCs w:val="18"/>
              </w:rPr>
            </w:pPr>
            <w:r w:rsidRPr="002A401E">
              <w:rPr>
                <w:rFonts w:cs="Arial"/>
                <w:color w:val="000000"/>
                <w:szCs w:val="18"/>
              </w:rPr>
              <w:t>3</w:t>
            </w:r>
          </w:p>
        </w:tc>
      </w:tr>
      <w:tr w:rsidR="00AB607F" w:rsidTr="00FA6AAF">
        <w:tc>
          <w:tcPr>
            <w:tcW w:w="851" w:type="dxa"/>
            <w:shd w:val="clear" w:color="auto" w:fill="FFFFFF"/>
            <w:vAlign w:val="center"/>
          </w:tcPr>
          <w:p w:rsidR="009056EF" w:rsidRPr="00B57B36" w:rsidRDefault="00F326AA" w:rsidP="009056EF">
            <w:pPr>
              <w:pStyle w:val="CETBodytext"/>
              <w:ind w:right="-1"/>
              <w:jc w:val="center"/>
              <w:rPr>
                <w:rFonts w:cs="Arial"/>
                <w:szCs w:val="18"/>
                <w:lang w:val="en-GB"/>
              </w:rPr>
            </w:pPr>
            <w:r>
              <w:rPr>
                <w:rFonts w:cs="Arial"/>
                <w:szCs w:val="18"/>
                <w:lang w:val="en-GB"/>
              </w:rPr>
              <w:t>A3</w:t>
            </w:r>
          </w:p>
        </w:tc>
        <w:tc>
          <w:tcPr>
            <w:tcW w:w="1134" w:type="dxa"/>
            <w:shd w:val="clear" w:color="auto" w:fill="FFFFFF"/>
            <w:vAlign w:val="bottom"/>
          </w:tcPr>
          <w:p w:rsidR="009056EF" w:rsidRPr="00F53B0B" w:rsidRDefault="00F326AA" w:rsidP="009056EF">
            <w:pPr>
              <w:pStyle w:val="CETBodytext"/>
              <w:jc w:val="center"/>
              <w:rPr>
                <w:rFonts w:cs="Arial"/>
                <w:color w:val="000000"/>
                <w:szCs w:val="18"/>
              </w:rPr>
            </w:pPr>
            <w:r w:rsidRPr="002A401E">
              <w:rPr>
                <w:rFonts w:cs="Arial"/>
                <w:color w:val="000000"/>
                <w:szCs w:val="18"/>
              </w:rPr>
              <w:t>5</w:t>
            </w:r>
          </w:p>
        </w:tc>
        <w:tc>
          <w:tcPr>
            <w:tcW w:w="1134" w:type="dxa"/>
            <w:shd w:val="clear" w:color="auto" w:fill="FFFFFF"/>
            <w:vAlign w:val="bottom"/>
          </w:tcPr>
          <w:p w:rsidR="009056EF" w:rsidRPr="00F53B0B" w:rsidRDefault="00F326AA" w:rsidP="009056EF">
            <w:pPr>
              <w:pStyle w:val="CETBodytext"/>
              <w:jc w:val="center"/>
              <w:rPr>
                <w:rFonts w:cs="Arial"/>
                <w:color w:val="000000"/>
                <w:szCs w:val="18"/>
              </w:rPr>
            </w:pPr>
            <w:r w:rsidRPr="002A401E">
              <w:rPr>
                <w:rFonts w:cs="Arial"/>
                <w:color w:val="000000"/>
                <w:szCs w:val="18"/>
              </w:rPr>
              <w:t>3</w:t>
            </w:r>
          </w:p>
        </w:tc>
        <w:tc>
          <w:tcPr>
            <w:tcW w:w="1134" w:type="dxa"/>
            <w:shd w:val="clear" w:color="auto" w:fill="FFFFFF"/>
            <w:vAlign w:val="center"/>
          </w:tcPr>
          <w:p w:rsidR="009056EF" w:rsidRPr="002A401E" w:rsidRDefault="00F326AA" w:rsidP="009056EF">
            <w:pPr>
              <w:pStyle w:val="CETBodytext"/>
              <w:jc w:val="center"/>
              <w:rPr>
                <w:rFonts w:cs="Arial"/>
                <w:color w:val="000000"/>
                <w:szCs w:val="18"/>
              </w:rPr>
            </w:pPr>
            <w:r>
              <w:rPr>
                <w:rFonts w:cs="Arial"/>
                <w:szCs w:val="18"/>
                <w:lang w:val="en-GB"/>
              </w:rPr>
              <w:t>C3</w:t>
            </w:r>
          </w:p>
        </w:tc>
        <w:tc>
          <w:tcPr>
            <w:tcW w:w="1134" w:type="dxa"/>
            <w:shd w:val="clear" w:color="auto" w:fill="FFFFFF"/>
            <w:vAlign w:val="bottom"/>
          </w:tcPr>
          <w:p w:rsidR="009056EF" w:rsidRPr="002A401E" w:rsidRDefault="00F326AA" w:rsidP="009056EF">
            <w:pPr>
              <w:pStyle w:val="CETBodytext"/>
              <w:jc w:val="center"/>
              <w:rPr>
                <w:rFonts w:cs="Arial"/>
                <w:color w:val="000000"/>
                <w:szCs w:val="18"/>
              </w:rPr>
            </w:pPr>
            <w:r w:rsidRPr="007154B8">
              <w:rPr>
                <w:rFonts w:cs="Arial"/>
                <w:color w:val="000000"/>
                <w:szCs w:val="18"/>
              </w:rPr>
              <w:t>2</w:t>
            </w:r>
          </w:p>
        </w:tc>
        <w:tc>
          <w:tcPr>
            <w:tcW w:w="1134" w:type="dxa"/>
            <w:shd w:val="clear" w:color="auto" w:fill="FFFFFF"/>
            <w:vAlign w:val="bottom"/>
          </w:tcPr>
          <w:p w:rsidR="009056EF" w:rsidRPr="002A401E" w:rsidRDefault="00F326AA" w:rsidP="009056EF">
            <w:pPr>
              <w:pStyle w:val="CETBodytext"/>
              <w:jc w:val="center"/>
              <w:rPr>
                <w:rFonts w:cs="Arial"/>
                <w:color w:val="000000"/>
                <w:szCs w:val="18"/>
              </w:rPr>
            </w:pPr>
            <w:r w:rsidRPr="002A401E">
              <w:rPr>
                <w:rFonts w:cs="Arial"/>
                <w:color w:val="000000"/>
                <w:szCs w:val="18"/>
              </w:rPr>
              <w:t>1</w:t>
            </w:r>
          </w:p>
        </w:tc>
      </w:tr>
      <w:tr w:rsidR="00AB607F" w:rsidTr="00FA6AAF">
        <w:tc>
          <w:tcPr>
            <w:tcW w:w="851" w:type="dxa"/>
            <w:shd w:val="clear" w:color="auto" w:fill="FFFFFF"/>
            <w:vAlign w:val="center"/>
          </w:tcPr>
          <w:p w:rsidR="009056EF" w:rsidRPr="00B57B36" w:rsidRDefault="00F326AA" w:rsidP="009056EF">
            <w:pPr>
              <w:pStyle w:val="CETBodytext"/>
              <w:ind w:right="-1"/>
              <w:jc w:val="center"/>
              <w:rPr>
                <w:rFonts w:cs="Arial"/>
                <w:szCs w:val="18"/>
                <w:lang w:val="en-GB"/>
              </w:rPr>
            </w:pPr>
            <w:r>
              <w:rPr>
                <w:rFonts w:cs="Arial"/>
                <w:szCs w:val="18"/>
                <w:lang w:val="en-GB"/>
              </w:rPr>
              <w:t>A4</w:t>
            </w:r>
          </w:p>
        </w:tc>
        <w:tc>
          <w:tcPr>
            <w:tcW w:w="1134" w:type="dxa"/>
            <w:shd w:val="clear" w:color="auto" w:fill="FFFFFF"/>
            <w:vAlign w:val="bottom"/>
          </w:tcPr>
          <w:p w:rsidR="009056EF" w:rsidRPr="00F53B0B" w:rsidRDefault="00F326AA" w:rsidP="009056EF">
            <w:pPr>
              <w:pStyle w:val="CETBodytext"/>
              <w:jc w:val="center"/>
              <w:rPr>
                <w:rFonts w:cs="Arial"/>
                <w:color w:val="000000"/>
                <w:szCs w:val="18"/>
              </w:rPr>
            </w:pPr>
            <w:r w:rsidRPr="002A401E">
              <w:rPr>
                <w:rFonts w:cs="Arial"/>
                <w:color w:val="000000"/>
                <w:szCs w:val="18"/>
              </w:rPr>
              <w:t>5</w:t>
            </w:r>
          </w:p>
        </w:tc>
        <w:tc>
          <w:tcPr>
            <w:tcW w:w="1134" w:type="dxa"/>
            <w:shd w:val="clear" w:color="auto" w:fill="FFFFFF"/>
            <w:vAlign w:val="bottom"/>
          </w:tcPr>
          <w:p w:rsidR="009056EF" w:rsidRPr="00F53B0B" w:rsidRDefault="00F326AA" w:rsidP="009056EF">
            <w:pPr>
              <w:pStyle w:val="CETBodytext"/>
              <w:jc w:val="center"/>
              <w:rPr>
                <w:rFonts w:cs="Arial"/>
                <w:color w:val="000000"/>
                <w:szCs w:val="18"/>
              </w:rPr>
            </w:pPr>
            <w:r w:rsidRPr="002A401E">
              <w:rPr>
                <w:rFonts w:cs="Arial"/>
                <w:color w:val="000000"/>
                <w:szCs w:val="18"/>
              </w:rPr>
              <w:t>3</w:t>
            </w:r>
          </w:p>
        </w:tc>
        <w:tc>
          <w:tcPr>
            <w:tcW w:w="1134" w:type="dxa"/>
            <w:shd w:val="clear" w:color="auto" w:fill="FFFFFF"/>
            <w:vAlign w:val="center"/>
          </w:tcPr>
          <w:p w:rsidR="009056EF" w:rsidRPr="002A401E" w:rsidRDefault="00F326AA" w:rsidP="009056EF">
            <w:pPr>
              <w:pStyle w:val="CETBodytext"/>
              <w:jc w:val="center"/>
              <w:rPr>
                <w:rFonts w:cs="Arial"/>
                <w:color w:val="000000"/>
                <w:szCs w:val="18"/>
              </w:rPr>
            </w:pPr>
            <w:r>
              <w:rPr>
                <w:rFonts w:cs="Arial"/>
                <w:szCs w:val="18"/>
                <w:lang w:val="en-GB"/>
              </w:rPr>
              <w:t>C4</w:t>
            </w:r>
          </w:p>
        </w:tc>
        <w:tc>
          <w:tcPr>
            <w:tcW w:w="1134" w:type="dxa"/>
            <w:shd w:val="clear" w:color="auto" w:fill="FFFFFF"/>
            <w:vAlign w:val="bottom"/>
          </w:tcPr>
          <w:p w:rsidR="009056EF" w:rsidRPr="002A401E" w:rsidRDefault="00F326AA" w:rsidP="009056EF">
            <w:pPr>
              <w:pStyle w:val="CETBodytext"/>
              <w:jc w:val="center"/>
              <w:rPr>
                <w:rFonts w:cs="Arial"/>
                <w:color w:val="000000"/>
                <w:szCs w:val="18"/>
              </w:rPr>
            </w:pPr>
            <w:r w:rsidRPr="007154B8">
              <w:rPr>
                <w:rFonts w:cs="Arial"/>
                <w:color w:val="000000"/>
                <w:szCs w:val="18"/>
              </w:rPr>
              <w:t>1</w:t>
            </w:r>
          </w:p>
        </w:tc>
        <w:tc>
          <w:tcPr>
            <w:tcW w:w="1134" w:type="dxa"/>
            <w:shd w:val="clear" w:color="auto" w:fill="FFFFFF"/>
            <w:vAlign w:val="bottom"/>
          </w:tcPr>
          <w:p w:rsidR="009056EF" w:rsidRPr="002A401E" w:rsidRDefault="00F326AA" w:rsidP="009056EF">
            <w:pPr>
              <w:pStyle w:val="CETBodytext"/>
              <w:jc w:val="center"/>
              <w:rPr>
                <w:rFonts w:cs="Arial"/>
                <w:color w:val="000000"/>
                <w:szCs w:val="18"/>
              </w:rPr>
            </w:pPr>
            <w:r w:rsidRPr="002A401E">
              <w:rPr>
                <w:rFonts w:cs="Arial"/>
                <w:color w:val="000000"/>
                <w:szCs w:val="18"/>
              </w:rPr>
              <w:t>1</w:t>
            </w:r>
          </w:p>
        </w:tc>
      </w:tr>
      <w:tr w:rsidR="00AB607F" w:rsidTr="00FA6AAF">
        <w:tc>
          <w:tcPr>
            <w:tcW w:w="851" w:type="dxa"/>
            <w:shd w:val="clear" w:color="auto" w:fill="FFFFFF"/>
            <w:vAlign w:val="center"/>
          </w:tcPr>
          <w:p w:rsidR="009056EF" w:rsidRPr="00B57B36" w:rsidRDefault="00F326AA" w:rsidP="009056EF">
            <w:pPr>
              <w:pStyle w:val="CETBodytext"/>
              <w:ind w:right="-1"/>
              <w:jc w:val="center"/>
              <w:rPr>
                <w:rFonts w:cs="Arial"/>
                <w:szCs w:val="18"/>
                <w:lang w:val="en-GB"/>
              </w:rPr>
            </w:pPr>
            <w:r>
              <w:rPr>
                <w:rFonts w:cs="Arial"/>
                <w:szCs w:val="18"/>
                <w:lang w:val="en-GB"/>
              </w:rPr>
              <w:t>A5</w:t>
            </w:r>
          </w:p>
        </w:tc>
        <w:tc>
          <w:tcPr>
            <w:tcW w:w="1134" w:type="dxa"/>
            <w:shd w:val="clear" w:color="auto" w:fill="FFFFFF"/>
            <w:vAlign w:val="bottom"/>
          </w:tcPr>
          <w:p w:rsidR="009056EF" w:rsidRPr="00F53B0B" w:rsidRDefault="00F326AA" w:rsidP="009056EF">
            <w:pPr>
              <w:pStyle w:val="CETBodytext"/>
              <w:jc w:val="center"/>
              <w:rPr>
                <w:rFonts w:cs="Arial"/>
                <w:color w:val="000000"/>
                <w:szCs w:val="18"/>
              </w:rPr>
            </w:pPr>
            <w:r w:rsidRPr="002A401E">
              <w:rPr>
                <w:rFonts w:cs="Arial"/>
                <w:color w:val="000000"/>
                <w:szCs w:val="18"/>
              </w:rPr>
              <w:t>4</w:t>
            </w:r>
          </w:p>
        </w:tc>
        <w:tc>
          <w:tcPr>
            <w:tcW w:w="1134" w:type="dxa"/>
            <w:shd w:val="clear" w:color="auto" w:fill="FFFFFF"/>
            <w:vAlign w:val="bottom"/>
          </w:tcPr>
          <w:p w:rsidR="009056EF" w:rsidRPr="00F53B0B" w:rsidRDefault="00F326AA" w:rsidP="009056EF">
            <w:pPr>
              <w:pStyle w:val="CETBodytext"/>
              <w:jc w:val="center"/>
              <w:rPr>
                <w:rFonts w:cs="Arial"/>
                <w:color w:val="000000"/>
                <w:szCs w:val="18"/>
              </w:rPr>
            </w:pPr>
            <w:r w:rsidRPr="002A401E">
              <w:rPr>
                <w:rFonts w:cs="Arial"/>
                <w:color w:val="000000"/>
                <w:szCs w:val="18"/>
              </w:rPr>
              <w:t>2</w:t>
            </w:r>
          </w:p>
        </w:tc>
        <w:tc>
          <w:tcPr>
            <w:tcW w:w="1134" w:type="dxa"/>
            <w:shd w:val="clear" w:color="auto" w:fill="FFFFFF"/>
            <w:vAlign w:val="center"/>
          </w:tcPr>
          <w:p w:rsidR="009056EF" w:rsidRPr="002A401E" w:rsidRDefault="00F326AA" w:rsidP="009056EF">
            <w:pPr>
              <w:pStyle w:val="CETBodytext"/>
              <w:jc w:val="center"/>
              <w:rPr>
                <w:rFonts w:cs="Arial"/>
                <w:color w:val="000000"/>
                <w:szCs w:val="18"/>
              </w:rPr>
            </w:pPr>
            <w:r>
              <w:rPr>
                <w:rFonts w:cs="Arial"/>
                <w:szCs w:val="18"/>
                <w:lang w:val="en-GB"/>
              </w:rPr>
              <w:t>C5</w:t>
            </w:r>
          </w:p>
        </w:tc>
        <w:tc>
          <w:tcPr>
            <w:tcW w:w="1134" w:type="dxa"/>
            <w:shd w:val="clear" w:color="auto" w:fill="FFFFFF"/>
            <w:vAlign w:val="bottom"/>
          </w:tcPr>
          <w:p w:rsidR="009056EF" w:rsidRPr="002A401E" w:rsidRDefault="00F326AA" w:rsidP="009056EF">
            <w:pPr>
              <w:pStyle w:val="CETBodytext"/>
              <w:jc w:val="center"/>
              <w:rPr>
                <w:rFonts w:cs="Arial"/>
                <w:color w:val="000000"/>
                <w:szCs w:val="18"/>
              </w:rPr>
            </w:pPr>
            <w:r w:rsidRPr="007154B8">
              <w:rPr>
                <w:rFonts w:cs="Arial"/>
                <w:color w:val="000000"/>
                <w:szCs w:val="18"/>
              </w:rPr>
              <w:t>4</w:t>
            </w:r>
          </w:p>
        </w:tc>
        <w:tc>
          <w:tcPr>
            <w:tcW w:w="1134" w:type="dxa"/>
            <w:shd w:val="clear" w:color="auto" w:fill="FFFFFF"/>
            <w:vAlign w:val="bottom"/>
          </w:tcPr>
          <w:p w:rsidR="009056EF" w:rsidRPr="002A401E" w:rsidRDefault="00F326AA" w:rsidP="009056EF">
            <w:pPr>
              <w:pStyle w:val="CETBodytext"/>
              <w:jc w:val="center"/>
              <w:rPr>
                <w:rFonts w:cs="Arial"/>
                <w:color w:val="000000"/>
                <w:szCs w:val="18"/>
              </w:rPr>
            </w:pPr>
            <w:r w:rsidRPr="002A401E">
              <w:rPr>
                <w:rFonts w:cs="Arial"/>
                <w:color w:val="000000"/>
                <w:szCs w:val="18"/>
              </w:rPr>
              <w:t>3</w:t>
            </w:r>
          </w:p>
        </w:tc>
      </w:tr>
      <w:tr w:rsidR="00AB607F" w:rsidTr="00FA6AAF">
        <w:tc>
          <w:tcPr>
            <w:tcW w:w="851" w:type="dxa"/>
            <w:shd w:val="clear" w:color="auto" w:fill="FFFFFF"/>
            <w:vAlign w:val="center"/>
          </w:tcPr>
          <w:p w:rsidR="009056EF" w:rsidRPr="00B57B36" w:rsidRDefault="00F326AA" w:rsidP="009056EF">
            <w:pPr>
              <w:pStyle w:val="CETBodytext"/>
              <w:ind w:right="-1"/>
              <w:jc w:val="center"/>
              <w:rPr>
                <w:rFonts w:cs="Arial"/>
                <w:szCs w:val="18"/>
                <w:lang w:val="en-GB"/>
              </w:rPr>
            </w:pPr>
            <w:r>
              <w:rPr>
                <w:rFonts w:cs="Arial"/>
                <w:szCs w:val="18"/>
                <w:lang w:val="en-GB"/>
              </w:rPr>
              <w:t>B1</w:t>
            </w:r>
          </w:p>
        </w:tc>
        <w:tc>
          <w:tcPr>
            <w:tcW w:w="1134" w:type="dxa"/>
            <w:shd w:val="clear" w:color="auto" w:fill="FFFFFF"/>
            <w:vAlign w:val="bottom"/>
          </w:tcPr>
          <w:p w:rsidR="009056EF" w:rsidRPr="00F53B0B" w:rsidRDefault="00F326AA" w:rsidP="009056EF">
            <w:pPr>
              <w:pStyle w:val="CETBodytext"/>
              <w:jc w:val="center"/>
              <w:rPr>
                <w:rFonts w:cs="Arial"/>
                <w:color w:val="000000"/>
                <w:szCs w:val="18"/>
              </w:rPr>
            </w:pPr>
            <w:r w:rsidRPr="002A401E">
              <w:rPr>
                <w:rFonts w:cs="Arial"/>
                <w:color w:val="000000"/>
                <w:szCs w:val="18"/>
              </w:rPr>
              <w:t>4</w:t>
            </w:r>
          </w:p>
        </w:tc>
        <w:tc>
          <w:tcPr>
            <w:tcW w:w="1134" w:type="dxa"/>
            <w:shd w:val="clear" w:color="auto" w:fill="FFFFFF"/>
            <w:vAlign w:val="bottom"/>
          </w:tcPr>
          <w:p w:rsidR="009056EF" w:rsidRPr="00F53B0B" w:rsidRDefault="00F326AA" w:rsidP="009056EF">
            <w:pPr>
              <w:pStyle w:val="CETBodytext"/>
              <w:jc w:val="center"/>
              <w:rPr>
                <w:rFonts w:cs="Arial"/>
                <w:color w:val="000000"/>
                <w:szCs w:val="18"/>
              </w:rPr>
            </w:pPr>
            <w:r w:rsidRPr="002A401E">
              <w:rPr>
                <w:rFonts w:cs="Arial"/>
                <w:color w:val="000000"/>
                <w:szCs w:val="18"/>
              </w:rPr>
              <w:t>4</w:t>
            </w:r>
          </w:p>
        </w:tc>
        <w:tc>
          <w:tcPr>
            <w:tcW w:w="1134" w:type="dxa"/>
            <w:shd w:val="clear" w:color="auto" w:fill="FFFFFF"/>
            <w:vAlign w:val="center"/>
          </w:tcPr>
          <w:p w:rsidR="009056EF" w:rsidRPr="002A401E" w:rsidRDefault="00F326AA" w:rsidP="009056EF">
            <w:pPr>
              <w:pStyle w:val="CETBodytext"/>
              <w:jc w:val="center"/>
              <w:rPr>
                <w:rFonts w:cs="Arial"/>
                <w:color w:val="000000"/>
                <w:szCs w:val="18"/>
              </w:rPr>
            </w:pPr>
            <w:r>
              <w:rPr>
                <w:rFonts w:cs="Arial"/>
                <w:color w:val="000000"/>
                <w:szCs w:val="18"/>
              </w:rPr>
              <w:t>D1</w:t>
            </w:r>
          </w:p>
        </w:tc>
        <w:tc>
          <w:tcPr>
            <w:tcW w:w="1134" w:type="dxa"/>
            <w:shd w:val="clear" w:color="auto" w:fill="FFFFFF"/>
            <w:vAlign w:val="bottom"/>
          </w:tcPr>
          <w:p w:rsidR="009056EF" w:rsidRPr="002A401E" w:rsidRDefault="00F326AA" w:rsidP="009056EF">
            <w:pPr>
              <w:pStyle w:val="CETBodytext"/>
              <w:jc w:val="center"/>
              <w:rPr>
                <w:rFonts w:cs="Arial"/>
                <w:color w:val="000000"/>
                <w:szCs w:val="18"/>
              </w:rPr>
            </w:pPr>
            <w:r w:rsidRPr="002A401E">
              <w:rPr>
                <w:rFonts w:cs="Arial"/>
                <w:color w:val="000000"/>
                <w:szCs w:val="18"/>
              </w:rPr>
              <w:t>5</w:t>
            </w:r>
          </w:p>
        </w:tc>
        <w:tc>
          <w:tcPr>
            <w:tcW w:w="1134" w:type="dxa"/>
            <w:shd w:val="clear" w:color="auto" w:fill="FFFFFF"/>
            <w:vAlign w:val="bottom"/>
          </w:tcPr>
          <w:p w:rsidR="009056EF" w:rsidRPr="002A401E" w:rsidRDefault="00F326AA" w:rsidP="009056EF">
            <w:pPr>
              <w:pStyle w:val="CETBodytext"/>
              <w:jc w:val="center"/>
              <w:rPr>
                <w:rFonts w:cs="Arial"/>
                <w:color w:val="000000"/>
                <w:szCs w:val="18"/>
              </w:rPr>
            </w:pPr>
            <w:r w:rsidRPr="002A401E">
              <w:rPr>
                <w:rFonts w:cs="Arial"/>
                <w:color w:val="000000"/>
                <w:szCs w:val="18"/>
              </w:rPr>
              <w:t>5</w:t>
            </w:r>
          </w:p>
        </w:tc>
      </w:tr>
      <w:tr w:rsidR="00AB607F" w:rsidTr="00FA6AAF">
        <w:tc>
          <w:tcPr>
            <w:tcW w:w="851" w:type="dxa"/>
            <w:shd w:val="clear" w:color="auto" w:fill="FFFFFF"/>
            <w:vAlign w:val="center"/>
          </w:tcPr>
          <w:p w:rsidR="009056EF" w:rsidRPr="00B57B36" w:rsidRDefault="00F326AA" w:rsidP="009056EF">
            <w:pPr>
              <w:pStyle w:val="CETBodytext"/>
              <w:ind w:right="-1"/>
              <w:jc w:val="center"/>
              <w:rPr>
                <w:rFonts w:cs="Arial"/>
                <w:szCs w:val="18"/>
                <w:lang w:val="en-GB"/>
              </w:rPr>
            </w:pPr>
            <w:r>
              <w:rPr>
                <w:rFonts w:cs="Arial"/>
                <w:szCs w:val="18"/>
                <w:lang w:val="en-GB"/>
              </w:rPr>
              <w:t>B2</w:t>
            </w:r>
          </w:p>
        </w:tc>
        <w:tc>
          <w:tcPr>
            <w:tcW w:w="1134" w:type="dxa"/>
            <w:shd w:val="clear" w:color="auto" w:fill="FFFFFF"/>
            <w:vAlign w:val="bottom"/>
          </w:tcPr>
          <w:p w:rsidR="009056EF" w:rsidRPr="00F53B0B" w:rsidRDefault="00F326AA" w:rsidP="009056EF">
            <w:pPr>
              <w:pStyle w:val="CETBodytext"/>
              <w:jc w:val="center"/>
              <w:rPr>
                <w:rFonts w:cs="Arial"/>
                <w:color w:val="000000"/>
                <w:szCs w:val="18"/>
              </w:rPr>
            </w:pPr>
            <w:r w:rsidRPr="002A401E">
              <w:rPr>
                <w:rFonts w:cs="Arial"/>
                <w:color w:val="000000"/>
                <w:szCs w:val="18"/>
              </w:rPr>
              <w:t>4</w:t>
            </w:r>
          </w:p>
        </w:tc>
        <w:tc>
          <w:tcPr>
            <w:tcW w:w="1134" w:type="dxa"/>
            <w:shd w:val="clear" w:color="auto" w:fill="FFFFFF"/>
            <w:vAlign w:val="bottom"/>
          </w:tcPr>
          <w:p w:rsidR="009056EF" w:rsidRPr="00F53B0B" w:rsidRDefault="00F326AA" w:rsidP="009056EF">
            <w:pPr>
              <w:pStyle w:val="CETBodytext"/>
              <w:jc w:val="center"/>
              <w:rPr>
                <w:rFonts w:cs="Arial"/>
                <w:color w:val="000000"/>
                <w:szCs w:val="18"/>
              </w:rPr>
            </w:pPr>
            <w:r w:rsidRPr="002A401E">
              <w:rPr>
                <w:rFonts w:cs="Arial"/>
                <w:color w:val="000000"/>
                <w:szCs w:val="18"/>
              </w:rPr>
              <w:t>5</w:t>
            </w:r>
          </w:p>
        </w:tc>
        <w:tc>
          <w:tcPr>
            <w:tcW w:w="1134" w:type="dxa"/>
            <w:shd w:val="clear" w:color="auto" w:fill="FFFFFF"/>
            <w:vAlign w:val="center"/>
          </w:tcPr>
          <w:p w:rsidR="009056EF" w:rsidRPr="002A401E" w:rsidRDefault="00F326AA" w:rsidP="009056EF">
            <w:pPr>
              <w:pStyle w:val="CETBodytext"/>
              <w:jc w:val="center"/>
              <w:rPr>
                <w:rFonts w:cs="Arial"/>
                <w:color w:val="000000"/>
                <w:szCs w:val="18"/>
              </w:rPr>
            </w:pPr>
            <w:r>
              <w:rPr>
                <w:rFonts w:cs="Arial"/>
                <w:color w:val="000000"/>
                <w:szCs w:val="18"/>
              </w:rPr>
              <w:t>D2</w:t>
            </w:r>
          </w:p>
        </w:tc>
        <w:tc>
          <w:tcPr>
            <w:tcW w:w="1134" w:type="dxa"/>
            <w:shd w:val="clear" w:color="auto" w:fill="FFFFFF"/>
            <w:vAlign w:val="bottom"/>
          </w:tcPr>
          <w:p w:rsidR="009056EF" w:rsidRPr="002A401E" w:rsidRDefault="00F326AA" w:rsidP="009056EF">
            <w:pPr>
              <w:pStyle w:val="CETBodytext"/>
              <w:jc w:val="center"/>
              <w:rPr>
                <w:rFonts w:cs="Arial"/>
                <w:color w:val="000000"/>
                <w:szCs w:val="18"/>
              </w:rPr>
            </w:pPr>
            <w:r w:rsidRPr="002A401E">
              <w:rPr>
                <w:rFonts w:cs="Arial"/>
                <w:color w:val="000000"/>
                <w:szCs w:val="18"/>
              </w:rPr>
              <w:t>5</w:t>
            </w:r>
          </w:p>
        </w:tc>
        <w:tc>
          <w:tcPr>
            <w:tcW w:w="1134" w:type="dxa"/>
            <w:shd w:val="clear" w:color="auto" w:fill="FFFFFF"/>
            <w:vAlign w:val="bottom"/>
          </w:tcPr>
          <w:p w:rsidR="009056EF" w:rsidRPr="002A401E" w:rsidRDefault="00F326AA" w:rsidP="009056EF">
            <w:pPr>
              <w:pStyle w:val="CETBodytext"/>
              <w:jc w:val="center"/>
              <w:rPr>
                <w:rFonts w:cs="Arial"/>
                <w:color w:val="000000"/>
                <w:szCs w:val="18"/>
              </w:rPr>
            </w:pPr>
            <w:r w:rsidRPr="002A401E">
              <w:rPr>
                <w:rFonts w:cs="Arial"/>
                <w:color w:val="000000"/>
                <w:szCs w:val="18"/>
              </w:rPr>
              <w:t>4</w:t>
            </w:r>
          </w:p>
        </w:tc>
      </w:tr>
      <w:tr w:rsidR="00AB607F" w:rsidTr="00FA6AAF">
        <w:tc>
          <w:tcPr>
            <w:tcW w:w="851" w:type="dxa"/>
            <w:shd w:val="clear" w:color="auto" w:fill="FFFFFF"/>
            <w:vAlign w:val="center"/>
          </w:tcPr>
          <w:p w:rsidR="009056EF" w:rsidRPr="00B57B36" w:rsidRDefault="00F326AA" w:rsidP="009056EF">
            <w:pPr>
              <w:pStyle w:val="CETBodytext"/>
              <w:ind w:right="-1"/>
              <w:jc w:val="center"/>
              <w:rPr>
                <w:rFonts w:cs="Arial"/>
                <w:szCs w:val="18"/>
                <w:lang w:val="en-GB"/>
              </w:rPr>
            </w:pPr>
            <w:r>
              <w:rPr>
                <w:rFonts w:cs="Arial"/>
                <w:szCs w:val="18"/>
                <w:lang w:val="en-GB"/>
              </w:rPr>
              <w:t>B3</w:t>
            </w:r>
          </w:p>
        </w:tc>
        <w:tc>
          <w:tcPr>
            <w:tcW w:w="1134" w:type="dxa"/>
            <w:shd w:val="clear" w:color="auto" w:fill="FFFFFF"/>
            <w:vAlign w:val="bottom"/>
          </w:tcPr>
          <w:p w:rsidR="009056EF" w:rsidRPr="00F53B0B" w:rsidRDefault="00F326AA" w:rsidP="009056EF">
            <w:pPr>
              <w:pStyle w:val="CETBodytext"/>
              <w:jc w:val="center"/>
              <w:rPr>
                <w:rFonts w:cs="Arial"/>
                <w:color w:val="000000"/>
                <w:szCs w:val="18"/>
              </w:rPr>
            </w:pPr>
            <w:r w:rsidRPr="002A401E">
              <w:rPr>
                <w:rFonts w:cs="Arial"/>
                <w:color w:val="000000"/>
                <w:szCs w:val="18"/>
              </w:rPr>
              <w:t>5</w:t>
            </w:r>
          </w:p>
        </w:tc>
        <w:tc>
          <w:tcPr>
            <w:tcW w:w="1134" w:type="dxa"/>
            <w:shd w:val="clear" w:color="auto" w:fill="FFFFFF"/>
            <w:vAlign w:val="bottom"/>
          </w:tcPr>
          <w:p w:rsidR="009056EF" w:rsidRPr="00F53B0B" w:rsidRDefault="00F326AA" w:rsidP="009056EF">
            <w:pPr>
              <w:pStyle w:val="CETBodytext"/>
              <w:jc w:val="center"/>
              <w:rPr>
                <w:rFonts w:cs="Arial"/>
                <w:color w:val="000000"/>
                <w:szCs w:val="18"/>
              </w:rPr>
            </w:pPr>
            <w:r w:rsidRPr="002A401E">
              <w:rPr>
                <w:rFonts w:cs="Arial"/>
                <w:color w:val="000000"/>
                <w:szCs w:val="18"/>
              </w:rPr>
              <w:t>4</w:t>
            </w:r>
          </w:p>
        </w:tc>
        <w:tc>
          <w:tcPr>
            <w:tcW w:w="1134" w:type="dxa"/>
            <w:shd w:val="clear" w:color="auto" w:fill="FFFFFF"/>
            <w:vAlign w:val="center"/>
          </w:tcPr>
          <w:p w:rsidR="009056EF" w:rsidRPr="002A401E" w:rsidRDefault="00F326AA" w:rsidP="009056EF">
            <w:pPr>
              <w:pStyle w:val="CETBodytext"/>
              <w:jc w:val="center"/>
              <w:rPr>
                <w:rFonts w:cs="Arial"/>
                <w:color w:val="000000"/>
                <w:szCs w:val="18"/>
              </w:rPr>
            </w:pPr>
            <w:r>
              <w:rPr>
                <w:rFonts w:cs="Arial"/>
                <w:color w:val="000000"/>
                <w:szCs w:val="18"/>
              </w:rPr>
              <w:t>D3</w:t>
            </w:r>
          </w:p>
        </w:tc>
        <w:tc>
          <w:tcPr>
            <w:tcW w:w="1134" w:type="dxa"/>
            <w:shd w:val="clear" w:color="auto" w:fill="FFFFFF"/>
            <w:vAlign w:val="bottom"/>
          </w:tcPr>
          <w:p w:rsidR="009056EF" w:rsidRPr="002A401E" w:rsidRDefault="00F326AA" w:rsidP="009056EF">
            <w:pPr>
              <w:pStyle w:val="CETBodytext"/>
              <w:jc w:val="center"/>
              <w:rPr>
                <w:rFonts w:cs="Arial"/>
                <w:color w:val="000000"/>
                <w:szCs w:val="18"/>
              </w:rPr>
            </w:pPr>
            <w:r w:rsidRPr="002A401E">
              <w:rPr>
                <w:rFonts w:cs="Arial"/>
                <w:color w:val="000000"/>
                <w:szCs w:val="18"/>
              </w:rPr>
              <w:t>4</w:t>
            </w:r>
          </w:p>
        </w:tc>
        <w:tc>
          <w:tcPr>
            <w:tcW w:w="1134" w:type="dxa"/>
            <w:shd w:val="clear" w:color="auto" w:fill="FFFFFF"/>
            <w:vAlign w:val="bottom"/>
          </w:tcPr>
          <w:p w:rsidR="009056EF" w:rsidRPr="002A401E" w:rsidRDefault="00F326AA" w:rsidP="009056EF">
            <w:pPr>
              <w:pStyle w:val="CETBodytext"/>
              <w:jc w:val="center"/>
              <w:rPr>
                <w:rFonts w:cs="Arial"/>
                <w:color w:val="000000"/>
                <w:szCs w:val="18"/>
              </w:rPr>
            </w:pPr>
            <w:r w:rsidRPr="002A401E">
              <w:rPr>
                <w:rFonts w:cs="Arial"/>
                <w:color w:val="000000"/>
                <w:szCs w:val="18"/>
              </w:rPr>
              <w:t>3</w:t>
            </w:r>
          </w:p>
        </w:tc>
      </w:tr>
      <w:tr w:rsidR="00AB607F" w:rsidTr="00FA6AAF">
        <w:tc>
          <w:tcPr>
            <w:tcW w:w="851" w:type="dxa"/>
            <w:shd w:val="clear" w:color="auto" w:fill="FFFFFF"/>
            <w:vAlign w:val="center"/>
          </w:tcPr>
          <w:p w:rsidR="009056EF" w:rsidRPr="00B57B36" w:rsidRDefault="00F326AA" w:rsidP="009056EF">
            <w:pPr>
              <w:pStyle w:val="CETBodytext"/>
              <w:ind w:right="-1"/>
              <w:jc w:val="center"/>
              <w:rPr>
                <w:rFonts w:cs="Arial"/>
                <w:szCs w:val="18"/>
                <w:lang w:val="en-GB"/>
              </w:rPr>
            </w:pPr>
            <w:r>
              <w:rPr>
                <w:rFonts w:cs="Arial"/>
                <w:szCs w:val="18"/>
                <w:lang w:val="en-GB"/>
              </w:rPr>
              <w:t>B4</w:t>
            </w:r>
          </w:p>
        </w:tc>
        <w:tc>
          <w:tcPr>
            <w:tcW w:w="1134" w:type="dxa"/>
            <w:shd w:val="clear" w:color="auto" w:fill="FFFFFF"/>
            <w:vAlign w:val="bottom"/>
          </w:tcPr>
          <w:p w:rsidR="009056EF" w:rsidRPr="00F53B0B" w:rsidRDefault="00F326AA" w:rsidP="009056EF">
            <w:pPr>
              <w:pStyle w:val="CETBodytext"/>
              <w:jc w:val="center"/>
              <w:rPr>
                <w:rFonts w:cs="Arial"/>
                <w:color w:val="000000"/>
                <w:szCs w:val="18"/>
              </w:rPr>
            </w:pPr>
            <w:r w:rsidRPr="002A401E">
              <w:rPr>
                <w:rFonts w:cs="Arial"/>
                <w:color w:val="000000"/>
                <w:szCs w:val="18"/>
              </w:rPr>
              <w:t>5</w:t>
            </w:r>
          </w:p>
        </w:tc>
        <w:tc>
          <w:tcPr>
            <w:tcW w:w="1134" w:type="dxa"/>
            <w:shd w:val="clear" w:color="auto" w:fill="FFFFFF"/>
            <w:vAlign w:val="bottom"/>
          </w:tcPr>
          <w:p w:rsidR="009056EF" w:rsidRPr="00F53B0B" w:rsidRDefault="00F326AA" w:rsidP="009056EF">
            <w:pPr>
              <w:pStyle w:val="CETBodytext"/>
              <w:jc w:val="center"/>
              <w:rPr>
                <w:rFonts w:cs="Arial"/>
                <w:color w:val="000000"/>
                <w:szCs w:val="18"/>
              </w:rPr>
            </w:pPr>
            <w:r w:rsidRPr="002A401E">
              <w:rPr>
                <w:rFonts w:cs="Arial"/>
                <w:color w:val="000000"/>
                <w:szCs w:val="18"/>
              </w:rPr>
              <w:t>4</w:t>
            </w:r>
          </w:p>
        </w:tc>
        <w:tc>
          <w:tcPr>
            <w:tcW w:w="1134" w:type="dxa"/>
            <w:shd w:val="clear" w:color="auto" w:fill="FFFFFF"/>
            <w:vAlign w:val="center"/>
          </w:tcPr>
          <w:p w:rsidR="009056EF" w:rsidRPr="002A401E" w:rsidRDefault="00F326AA" w:rsidP="009056EF">
            <w:pPr>
              <w:pStyle w:val="CETBodytext"/>
              <w:jc w:val="center"/>
              <w:rPr>
                <w:rFonts w:cs="Arial"/>
                <w:color w:val="000000"/>
                <w:szCs w:val="18"/>
              </w:rPr>
            </w:pPr>
            <w:r>
              <w:rPr>
                <w:rFonts w:cs="Arial"/>
                <w:color w:val="000000"/>
                <w:szCs w:val="18"/>
              </w:rPr>
              <w:t>D4</w:t>
            </w:r>
          </w:p>
        </w:tc>
        <w:tc>
          <w:tcPr>
            <w:tcW w:w="1134" w:type="dxa"/>
            <w:shd w:val="clear" w:color="auto" w:fill="FFFFFF"/>
            <w:vAlign w:val="bottom"/>
          </w:tcPr>
          <w:p w:rsidR="009056EF" w:rsidRPr="002A401E" w:rsidRDefault="00F326AA" w:rsidP="009056EF">
            <w:pPr>
              <w:pStyle w:val="CETBodytext"/>
              <w:jc w:val="center"/>
              <w:rPr>
                <w:rFonts w:cs="Arial"/>
                <w:color w:val="000000"/>
                <w:szCs w:val="18"/>
              </w:rPr>
            </w:pPr>
            <w:r w:rsidRPr="002A401E">
              <w:rPr>
                <w:rFonts w:cs="Arial"/>
                <w:color w:val="000000"/>
                <w:szCs w:val="18"/>
              </w:rPr>
              <w:t>4</w:t>
            </w:r>
          </w:p>
        </w:tc>
        <w:tc>
          <w:tcPr>
            <w:tcW w:w="1134" w:type="dxa"/>
            <w:shd w:val="clear" w:color="auto" w:fill="FFFFFF"/>
            <w:vAlign w:val="bottom"/>
          </w:tcPr>
          <w:p w:rsidR="009056EF" w:rsidRPr="002A401E" w:rsidRDefault="00F326AA" w:rsidP="009056EF">
            <w:pPr>
              <w:pStyle w:val="CETBodytext"/>
              <w:jc w:val="center"/>
              <w:rPr>
                <w:rFonts w:cs="Arial"/>
                <w:color w:val="000000"/>
                <w:szCs w:val="18"/>
              </w:rPr>
            </w:pPr>
            <w:r w:rsidRPr="002A401E">
              <w:rPr>
                <w:rFonts w:cs="Arial"/>
                <w:color w:val="000000"/>
                <w:szCs w:val="18"/>
              </w:rPr>
              <w:t>4</w:t>
            </w:r>
          </w:p>
        </w:tc>
      </w:tr>
    </w:tbl>
    <w:p w:rsidR="00C84561" w:rsidRPr="00792A82" w:rsidRDefault="00C84561" w:rsidP="006514B5">
      <w:pPr>
        <w:pStyle w:val="CETBodytext"/>
      </w:pPr>
    </w:p>
    <w:p w:rsidR="00671A42" w:rsidRPr="00B57B36" w:rsidRDefault="00F326AA" w:rsidP="00671A42">
      <w:pPr>
        <w:pStyle w:val="CETTabletitle"/>
      </w:pPr>
      <w:r w:rsidRPr="00B57B36">
        <w:t xml:space="preserve">Table </w:t>
      </w:r>
      <w:r>
        <w:t>4</w:t>
      </w:r>
      <w:r w:rsidRPr="00B57B36">
        <w:t xml:space="preserve">: </w:t>
      </w:r>
      <w:r w:rsidR="00315FE2">
        <w:t>Synthesis of the evaluation</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843"/>
        <w:gridCol w:w="1701"/>
        <w:gridCol w:w="1701"/>
        <w:gridCol w:w="851"/>
        <w:gridCol w:w="708"/>
      </w:tblGrid>
      <w:tr w:rsidR="00AB607F" w:rsidTr="00C722BB">
        <w:tc>
          <w:tcPr>
            <w:tcW w:w="1134" w:type="dxa"/>
            <w:tcBorders>
              <w:top w:val="single" w:sz="12" w:space="0" w:color="008000"/>
              <w:bottom w:val="single" w:sz="6" w:space="0" w:color="008000"/>
            </w:tcBorders>
            <w:shd w:val="clear" w:color="auto" w:fill="FFFFFF"/>
          </w:tcPr>
          <w:p w:rsidR="004E2ED3" w:rsidRPr="00B57B36" w:rsidRDefault="00F326AA" w:rsidP="00886B75">
            <w:pPr>
              <w:pStyle w:val="CETBodytext"/>
              <w:rPr>
                <w:lang w:val="en-GB"/>
              </w:rPr>
            </w:pPr>
            <w:r>
              <w:rPr>
                <w:lang w:val="en-GB"/>
              </w:rPr>
              <w:t>Top term</w:t>
            </w:r>
            <w:r w:rsidRPr="00B57B36">
              <w:rPr>
                <w:lang w:val="en-GB"/>
              </w:rPr>
              <w:t xml:space="preserve"> </w:t>
            </w:r>
          </w:p>
        </w:tc>
        <w:tc>
          <w:tcPr>
            <w:tcW w:w="1843" w:type="dxa"/>
            <w:tcBorders>
              <w:top w:val="single" w:sz="12" w:space="0" w:color="008000"/>
              <w:bottom w:val="single" w:sz="6" w:space="0" w:color="008000"/>
            </w:tcBorders>
            <w:shd w:val="clear" w:color="auto" w:fill="FFFFFF"/>
          </w:tcPr>
          <w:p w:rsidR="004E2ED3" w:rsidRPr="00B57B36" w:rsidRDefault="00F326AA" w:rsidP="00886B75">
            <w:pPr>
              <w:pStyle w:val="CETBodytext"/>
              <w:rPr>
                <w:lang w:val="en-GB"/>
              </w:rPr>
            </w:pPr>
            <w:r>
              <w:rPr>
                <w:rFonts w:cs="Arial"/>
                <w:color w:val="000000"/>
                <w:szCs w:val="18"/>
              </w:rPr>
              <w:t>Construct</w:t>
            </w:r>
          </w:p>
        </w:tc>
        <w:tc>
          <w:tcPr>
            <w:tcW w:w="1701" w:type="dxa"/>
            <w:tcBorders>
              <w:top w:val="single" w:sz="12" w:space="0" w:color="008000"/>
              <w:bottom w:val="single" w:sz="6" w:space="0" w:color="008000"/>
            </w:tcBorders>
            <w:shd w:val="clear" w:color="auto" w:fill="FFFFFF"/>
          </w:tcPr>
          <w:p w:rsidR="004E2ED3" w:rsidRPr="00B57B36" w:rsidRDefault="00F326AA" w:rsidP="004E2ED3">
            <w:pPr>
              <w:pStyle w:val="CETBodytext"/>
              <w:ind w:right="-1"/>
              <w:jc w:val="center"/>
              <w:rPr>
                <w:rFonts w:cs="Arial"/>
                <w:szCs w:val="18"/>
                <w:lang w:val="en-GB"/>
              </w:rPr>
            </w:pPr>
            <w:r>
              <w:rPr>
                <w:rFonts w:cs="Arial"/>
                <w:szCs w:val="18"/>
                <w:lang w:val="en-GB"/>
              </w:rPr>
              <w:t>Mean importance</w:t>
            </w:r>
          </w:p>
        </w:tc>
        <w:tc>
          <w:tcPr>
            <w:tcW w:w="1701" w:type="dxa"/>
            <w:tcBorders>
              <w:top w:val="single" w:sz="12" w:space="0" w:color="008000"/>
              <w:bottom w:val="single" w:sz="6" w:space="0" w:color="008000"/>
            </w:tcBorders>
            <w:shd w:val="clear" w:color="auto" w:fill="FFFFFF"/>
          </w:tcPr>
          <w:p w:rsidR="004E2ED3" w:rsidRPr="00B57B36" w:rsidRDefault="00F326AA" w:rsidP="00A928F6">
            <w:pPr>
              <w:pStyle w:val="CETBodytext"/>
              <w:ind w:right="-1"/>
              <w:jc w:val="center"/>
              <w:rPr>
                <w:rFonts w:cs="Arial"/>
                <w:szCs w:val="18"/>
                <w:lang w:val="en-GB"/>
              </w:rPr>
            </w:pPr>
            <w:r>
              <w:rPr>
                <w:rFonts w:cs="Arial"/>
                <w:szCs w:val="18"/>
                <w:lang w:val="en-GB"/>
              </w:rPr>
              <w:t>Mean performance</w:t>
            </w:r>
          </w:p>
        </w:tc>
        <w:tc>
          <w:tcPr>
            <w:tcW w:w="851" w:type="dxa"/>
            <w:tcBorders>
              <w:top w:val="single" w:sz="12" w:space="0" w:color="008000"/>
              <w:bottom w:val="single" w:sz="6" w:space="0" w:color="008000"/>
            </w:tcBorders>
            <w:shd w:val="clear" w:color="auto" w:fill="FFFFFF"/>
          </w:tcPr>
          <w:p w:rsidR="004E2ED3" w:rsidRDefault="00F326AA" w:rsidP="00A928F6">
            <w:pPr>
              <w:pStyle w:val="CETBodytext"/>
              <w:ind w:right="-1"/>
              <w:jc w:val="center"/>
              <w:rPr>
                <w:rFonts w:cs="Arial"/>
                <w:szCs w:val="18"/>
                <w:lang w:val="en-GB"/>
              </w:rPr>
            </w:pPr>
            <w:r>
              <w:rPr>
                <w:rFonts w:cs="Arial"/>
                <w:szCs w:val="18"/>
                <w:lang w:val="en-GB"/>
              </w:rPr>
              <w:t>Gap</w:t>
            </w:r>
          </w:p>
        </w:tc>
        <w:tc>
          <w:tcPr>
            <w:tcW w:w="708" w:type="dxa"/>
            <w:tcBorders>
              <w:top w:val="single" w:sz="12" w:space="0" w:color="008000"/>
              <w:bottom w:val="single" w:sz="6" w:space="0" w:color="008000"/>
            </w:tcBorders>
            <w:shd w:val="clear" w:color="auto" w:fill="FFFFFF"/>
          </w:tcPr>
          <w:p w:rsidR="004E2ED3" w:rsidRDefault="00F326AA" w:rsidP="00C722BB">
            <w:pPr>
              <w:pStyle w:val="CETBodytext"/>
              <w:ind w:right="-1"/>
              <w:jc w:val="left"/>
              <w:rPr>
                <w:rFonts w:cs="Arial"/>
                <w:szCs w:val="18"/>
                <w:lang w:val="en-GB"/>
              </w:rPr>
            </w:pPr>
            <w:r>
              <w:rPr>
                <w:rFonts w:cs="Arial"/>
                <w:szCs w:val="18"/>
                <w:lang w:val="en-GB"/>
              </w:rPr>
              <w:t>Order</w:t>
            </w:r>
          </w:p>
        </w:tc>
      </w:tr>
      <w:tr w:rsidR="00AB607F" w:rsidTr="00C722BB">
        <w:tc>
          <w:tcPr>
            <w:tcW w:w="1134" w:type="dxa"/>
            <w:shd w:val="clear" w:color="auto" w:fill="FFFFFF"/>
          </w:tcPr>
          <w:p w:rsidR="007154B8" w:rsidRPr="00B57B36" w:rsidRDefault="00F326AA" w:rsidP="007154B8">
            <w:pPr>
              <w:pStyle w:val="CETBodytext"/>
              <w:rPr>
                <w:lang w:val="en-GB"/>
              </w:rPr>
            </w:pPr>
            <w:r>
              <w:rPr>
                <w:lang w:val="en-GB"/>
              </w:rPr>
              <w:t>EIP</w:t>
            </w:r>
          </w:p>
        </w:tc>
        <w:tc>
          <w:tcPr>
            <w:tcW w:w="1843" w:type="dxa"/>
            <w:shd w:val="clear" w:color="auto" w:fill="FFFFFF"/>
            <w:vAlign w:val="center"/>
          </w:tcPr>
          <w:p w:rsidR="007154B8" w:rsidRPr="00B57B36" w:rsidRDefault="00F326AA" w:rsidP="007154B8">
            <w:pPr>
              <w:pStyle w:val="CETBodytext"/>
              <w:rPr>
                <w:lang w:val="en-GB"/>
              </w:rPr>
            </w:pPr>
            <w:r>
              <w:rPr>
                <w:rFonts w:cs="Arial"/>
                <w:color w:val="000000"/>
                <w:szCs w:val="18"/>
              </w:rPr>
              <w:t>Internal relationships</w:t>
            </w:r>
          </w:p>
        </w:tc>
        <w:tc>
          <w:tcPr>
            <w:tcW w:w="1701" w:type="dxa"/>
            <w:shd w:val="clear" w:color="auto" w:fill="FFFFFF"/>
            <w:vAlign w:val="bottom"/>
          </w:tcPr>
          <w:p w:rsidR="007154B8" w:rsidRPr="00F53B0B" w:rsidRDefault="00F326AA" w:rsidP="007154B8">
            <w:pPr>
              <w:pStyle w:val="CETBodytext"/>
              <w:jc w:val="center"/>
              <w:rPr>
                <w:rFonts w:cs="Arial"/>
                <w:color w:val="000000"/>
                <w:szCs w:val="18"/>
              </w:rPr>
            </w:pPr>
            <w:r w:rsidRPr="007154B8">
              <w:rPr>
                <w:rFonts w:cs="Arial"/>
                <w:color w:val="000000"/>
                <w:szCs w:val="18"/>
              </w:rPr>
              <w:t>4.00</w:t>
            </w:r>
          </w:p>
        </w:tc>
        <w:tc>
          <w:tcPr>
            <w:tcW w:w="1701" w:type="dxa"/>
            <w:shd w:val="clear" w:color="auto" w:fill="FFFFFF"/>
            <w:vAlign w:val="bottom"/>
          </w:tcPr>
          <w:p w:rsidR="007154B8" w:rsidRPr="00F53B0B" w:rsidRDefault="00F326AA" w:rsidP="007154B8">
            <w:pPr>
              <w:pStyle w:val="CETBodytext"/>
              <w:jc w:val="center"/>
              <w:rPr>
                <w:rFonts w:cs="Arial"/>
                <w:color w:val="000000"/>
                <w:szCs w:val="18"/>
              </w:rPr>
            </w:pPr>
            <w:r w:rsidRPr="007154B8">
              <w:rPr>
                <w:rFonts w:cs="Arial"/>
                <w:color w:val="000000"/>
                <w:szCs w:val="18"/>
              </w:rPr>
              <w:t>2.60</w:t>
            </w:r>
          </w:p>
        </w:tc>
        <w:tc>
          <w:tcPr>
            <w:tcW w:w="851" w:type="dxa"/>
            <w:shd w:val="clear" w:color="auto" w:fill="FFFFFF"/>
            <w:vAlign w:val="bottom"/>
          </w:tcPr>
          <w:p w:rsidR="007154B8" w:rsidRPr="00F53B0B" w:rsidRDefault="00F326AA" w:rsidP="007154B8">
            <w:pPr>
              <w:pStyle w:val="CETBodytext"/>
              <w:jc w:val="center"/>
              <w:rPr>
                <w:rFonts w:cs="Arial"/>
                <w:color w:val="000000"/>
                <w:szCs w:val="18"/>
              </w:rPr>
            </w:pPr>
            <w:r w:rsidRPr="007154B8">
              <w:rPr>
                <w:rFonts w:cs="Arial"/>
                <w:color w:val="000000"/>
                <w:szCs w:val="18"/>
              </w:rPr>
              <w:t>1.40</w:t>
            </w:r>
          </w:p>
        </w:tc>
        <w:tc>
          <w:tcPr>
            <w:tcW w:w="708" w:type="dxa"/>
            <w:shd w:val="clear" w:color="auto" w:fill="FFFFFF"/>
          </w:tcPr>
          <w:p w:rsidR="007154B8" w:rsidRPr="004E2ED3" w:rsidRDefault="00F326AA" w:rsidP="00C722BB">
            <w:pPr>
              <w:pStyle w:val="CETBodytext"/>
              <w:jc w:val="left"/>
              <w:rPr>
                <w:rFonts w:cs="Arial"/>
                <w:color w:val="000000"/>
                <w:szCs w:val="18"/>
              </w:rPr>
            </w:pPr>
            <w:r>
              <w:rPr>
                <w:rFonts w:cs="Arial"/>
                <w:color w:val="000000"/>
                <w:szCs w:val="18"/>
              </w:rPr>
              <w:t>first</w:t>
            </w:r>
          </w:p>
        </w:tc>
      </w:tr>
      <w:tr w:rsidR="00AB607F" w:rsidTr="00C722BB">
        <w:tc>
          <w:tcPr>
            <w:tcW w:w="1134" w:type="dxa"/>
            <w:shd w:val="clear" w:color="auto" w:fill="FFFFFF"/>
          </w:tcPr>
          <w:p w:rsidR="007154B8" w:rsidRPr="00B57B36" w:rsidRDefault="00F326AA" w:rsidP="007154B8">
            <w:pPr>
              <w:pStyle w:val="CETBodytext"/>
              <w:ind w:right="-1"/>
              <w:rPr>
                <w:rFonts w:cs="Arial"/>
                <w:szCs w:val="18"/>
                <w:lang w:val="en-GB"/>
              </w:rPr>
            </w:pPr>
            <w:r>
              <w:rPr>
                <w:rFonts w:cs="Arial"/>
                <w:szCs w:val="18"/>
                <w:lang w:val="en-GB"/>
              </w:rPr>
              <w:t>performance</w:t>
            </w:r>
          </w:p>
        </w:tc>
        <w:tc>
          <w:tcPr>
            <w:tcW w:w="1843" w:type="dxa"/>
            <w:shd w:val="clear" w:color="auto" w:fill="FFFFFF"/>
            <w:vAlign w:val="center"/>
          </w:tcPr>
          <w:p w:rsidR="007154B8" w:rsidRPr="00B57B36" w:rsidRDefault="00F326AA" w:rsidP="007154B8">
            <w:pPr>
              <w:pStyle w:val="CETBodytext"/>
              <w:ind w:right="-1"/>
              <w:rPr>
                <w:rFonts w:cs="Arial"/>
                <w:szCs w:val="18"/>
                <w:lang w:val="en-GB"/>
              </w:rPr>
            </w:pPr>
            <w:r>
              <w:rPr>
                <w:rFonts w:cs="Arial"/>
                <w:color w:val="000000"/>
                <w:szCs w:val="18"/>
              </w:rPr>
              <w:t>External relationships</w:t>
            </w:r>
          </w:p>
        </w:tc>
        <w:tc>
          <w:tcPr>
            <w:tcW w:w="1701" w:type="dxa"/>
            <w:shd w:val="clear" w:color="auto" w:fill="FFFFFF"/>
            <w:vAlign w:val="bottom"/>
          </w:tcPr>
          <w:p w:rsidR="007154B8" w:rsidRPr="00F53B0B" w:rsidRDefault="00F326AA" w:rsidP="007154B8">
            <w:pPr>
              <w:pStyle w:val="CETBodytext"/>
              <w:jc w:val="center"/>
              <w:rPr>
                <w:rFonts w:cs="Arial"/>
                <w:color w:val="000000"/>
                <w:szCs w:val="18"/>
              </w:rPr>
            </w:pPr>
            <w:r w:rsidRPr="007154B8">
              <w:rPr>
                <w:rFonts w:cs="Arial"/>
                <w:color w:val="000000"/>
                <w:szCs w:val="18"/>
              </w:rPr>
              <w:t>4.50</w:t>
            </w:r>
          </w:p>
        </w:tc>
        <w:tc>
          <w:tcPr>
            <w:tcW w:w="1701" w:type="dxa"/>
            <w:shd w:val="clear" w:color="auto" w:fill="FFFFFF"/>
            <w:vAlign w:val="bottom"/>
          </w:tcPr>
          <w:p w:rsidR="007154B8" w:rsidRPr="00F53B0B" w:rsidRDefault="00F326AA" w:rsidP="007154B8">
            <w:pPr>
              <w:pStyle w:val="CETBodytext"/>
              <w:jc w:val="center"/>
              <w:rPr>
                <w:rFonts w:cs="Arial"/>
                <w:color w:val="000000"/>
                <w:szCs w:val="18"/>
              </w:rPr>
            </w:pPr>
            <w:r w:rsidRPr="007154B8">
              <w:rPr>
                <w:rFonts w:cs="Arial"/>
                <w:color w:val="000000"/>
                <w:szCs w:val="18"/>
              </w:rPr>
              <w:t>4.25</w:t>
            </w:r>
          </w:p>
        </w:tc>
        <w:tc>
          <w:tcPr>
            <w:tcW w:w="851" w:type="dxa"/>
            <w:shd w:val="clear" w:color="auto" w:fill="FFFFFF"/>
            <w:vAlign w:val="bottom"/>
          </w:tcPr>
          <w:p w:rsidR="007154B8" w:rsidRPr="00F53B0B" w:rsidRDefault="00F326AA" w:rsidP="007154B8">
            <w:pPr>
              <w:pStyle w:val="CETBodytext"/>
              <w:jc w:val="center"/>
              <w:rPr>
                <w:rFonts w:cs="Arial"/>
                <w:color w:val="000000"/>
                <w:szCs w:val="18"/>
              </w:rPr>
            </w:pPr>
            <w:r w:rsidRPr="007154B8">
              <w:rPr>
                <w:rFonts w:cs="Arial"/>
                <w:color w:val="000000"/>
                <w:szCs w:val="18"/>
              </w:rPr>
              <w:t>0.25</w:t>
            </w:r>
          </w:p>
        </w:tc>
        <w:tc>
          <w:tcPr>
            <w:tcW w:w="708" w:type="dxa"/>
            <w:shd w:val="clear" w:color="auto" w:fill="FFFFFF"/>
          </w:tcPr>
          <w:p w:rsidR="007154B8" w:rsidRPr="004E2ED3" w:rsidRDefault="00F326AA" w:rsidP="00C722BB">
            <w:pPr>
              <w:pStyle w:val="CETBodytext"/>
              <w:jc w:val="left"/>
              <w:rPr>
                <w:rFonts w:cs="Arial"/>
                <w:color w:val="000000"/>
                <w:szCs w:val="18"/>
              </w:rPr>
            </w:pPr>
            <w:r>
              <w:rPr>
                <w:rFonts w:cs="Arial"/>
                <w:color w:val="000000"/>
                <w:szCs w:val="18"/>
              </w:rPr>
              <w:t>fourth</w:t>
            </w:r>
          </w:p>
        </w:tc>
      </w:tr>
      <w:tr w:rsidR="00AB607F" w:rsidTr="00C722BB">
        <w:tc>
          <w:tcPr>
            <w:tcW w:w="1134" w:type="dxa"/>
            <w:shd w:val="clear" w:color="auto" w:fill="FFFFFF"/>
          </w:tcPr>
          <w:p w:rsidR="007154B8" w:rsidRPr="00B57B36" w:rsidRDefault="007154B8" w:rsidP="007154B8">
            <w:pPr>
              <w:pStyle w:val="CETBodytext"/>
              <w:ind w:right="-1"/>
              <w:rPr>
                <w:rFonts w:cs="Arial"/>
                <w:szCs w:val="18"/>
                <w:lang w:val="en-GB"/>
              </w:rPr>
            </w:pPr>
          </w:p>
        </w:tc>
        <w:tc>
          <w:tcPr>
            <w:tcW w:w="1843" w:type="dxa"/>
            <w:shd w:val="clear" w:color="auto" w:fill="FFFFFF"/>
            <w:vAlign w:val="center"/>
          </w:tcPr>
          <w:p w:rsidR="007154B8" w:rsidRPr="00B57B36" w:rsidRDefault="00F326AA" w:rsidP="007154B8">
            <w:pPr>
              <w:pStyle w:val="CETBodytext"/>
              <w:ind w:right="-1"/>
              <w:rPr>
                <w:rFonts w:cs="Arial"/>
                <w:szCs w:val="18"/>
                <w:lang w:val="en-GB"/>
              </w:rPr>
            </w:pPr>
            <w:r>
              <w:rPr>
                <w:rFonts w:cs="Arial"/>
                <w:color w:val="000000"/>
                <w:szCs w:val="18"/>
              </w:rPr>
              <w:t>Energy recovery</w:t>
            </w:r>
          </w:p>
        </w:tc>
        <w:tc>
          <w:tcPr>
            <w:tcW w:w="1701" w:type="dxa"/>
            <w:shd w:val="clear" w:color="auto" w:fill="FFFFFF"/>
            <w:vAlign w:val="bottom"/>
          </w:tcPr>
          <w:p w:rsidR="007154B8" w:rsidRPr="00F53B0B" w:rsidRDefault="00F326AA" w:rsidP="007154B8">
            <w:pPr>
              <w:pStyle w:val="CETBodytext"/>
              <w:jc w:val="center"/>
              <w:rPr>
                <w:rFonts w:cs="Arial"/>
                <w:color w:val="000000"/>
                <w:szCs w:val="18"/>
              </w:rPr>
            </w:pPr>
            <w:r w:rsidRPr="007154B8">
              <w:rPr>
                <w:rFonts w:cs="Arial"/>
                <w:color w:val="000000"/>
                <w:szCs w:val="18"/>
              </w:rPr>
              <w:t>3.20</w:t>
            </w:r>
          </w:p>
        </w:tc>
        <w:tc>
          <w:tcPr>
            <w:tcW w:w="1701" w:type="dxa"/>
            <w:shd w:val="clear" w:color="auto" w:fill="FFFFFF"/>
            <w:vAlign w:val="bottom"/>
          </w:tcPr>
          <w:p w:rsidR="007154B8" w:rsidRPr="00F53B0B" w:rsidRDefault="00F326AA" w:rsidP="007154B8">
            <w:pPr>
              <w:pStyle w:val="CETBodytext"/>
              <w:jc w:val="center"/>
              <w:rPr>
                <w:rFonts w:cs="Arial"/>
                <w:color w:val="000000"/>
                <w:szCs w:val="18"/>
              </w:rPr>
            </w:pPr>
            <w:r w:rsidRPr="007154B8">
              <w:rPr>
                <w:rFonts w:cs="Arial"/>
                <w:color w:val="000000"/>
                <w:szCs w:val="18"/>
              </w:rPr>
              <w:t>2.00</w:t>
            </w:r>
          </w:p>
        </w:tc>
        <w:tc>
          <w:tcPr>
            <w:tcW w:w="851" w:type="dxa"/>
            <w:shd w:val="clear" w:color="auto" w:fill="FFFFFF"/>
            <w:vAlign w:val="bottom"/>
          </w:tcPr>
          <w:p w:rsidR="007154B8" w:rsidRPr="00F53B0B" w:rsidRDefault="00F326AA" w:rsidP="007154B8">
            <w:pPr>
              <w:pStyle w:val="CETBodytext"/>
              <w:jc w:val="center"/>
              <w:rPr>
                <w:rFonts w:cs="Arial"/>
                <w:color w:val="000000"/>
                <w:szCs w:val="18"/>
              </w:rPr>
            </w:pPr>
            <w:r w:rsidRPr="007154B8">
              <w:rPr>
                <w:rFonts w:cs="Arial"/>
                <w:color w:val="000000"/>
                <w:szCs w:val="18"/>
              </w:rPr>
              <w:t>1.20</w:t>
            </w:r>
          </w:p>
        </w:tc>
        <w:tc>
          <w:tcPr>
            <w:tcW w:w="708" w:type="dxa"/>
            <w:shd w:val="clear" w:color="auto" w:fill="FFFFFF"/>
          </w:tcPr>
          <w:p w:rsidR="007154B8" w:rsidRPr="004E2ED3" w:rsidRDefault="00F326AA" w:rsidP="00C722BB">
            <w:pPr>
              <w:pStyle w:val="CETBodytext"/>
              <w:jc w:val="left"/>
              <w:rPr>
                <w:rFonts w:cs="Arial"/>
                <w:color w:val="000000"/>
                <w:szCs w:val="18"/>
              </w:rPr>
            </w:pPr>
            <w:r>
              <w:rPr>
                <w:rFonts w:cs="Arial"/>
                <w:color w:val="000000"/>
                <w:szCs w:val="18"/>
              </w:rPr>
              <w:t>second</w:t>
            </w:r>
          </w:p>
        </w:tc>
      </w:tr>
      <w:tr w:rsidR="00AB607F" w:rsidTr="00C722BB">
        <w:tc>
          <w:tcPr>
            <w:tcW w:w="1134" w:type="dxa"/>
            <w:shd w:val="clear" w:color="auto" w:fill="FFFFFF"/>
          </w:tcPr>
          <w:p w:rsidR="007154B8" w:rsidRPr="00B57B36" w:rsidRDefault="007154B8" w:rsidP="007154B8">
            <w:pPr>
              <w:pStyle w:val="CETBodytext"/>
              <w:ind w:right="-1"/>
              <w:rPr>
                <w:rFonts w:cs="Arial"/>
                <w:szCs w:val="18"/>
                <w:lang w:val="en-GB"/>
              </w:rPr>
            </w:pPr>
          </w:p>
        </w:tc>
        <w:tc>
          <w:tcPr>
            <w:tcW w:w="1843" w:type="dxa"/>
            <w:shd w:val="clear" w:color="auto" w:fill="FFFFFF"/>
            <w:vAlign w:val="center"/>
          </w:tcPr>
          <w:p w:rsidR="007154B8" w:rsidRDefault="00F326AA" w:rsidP="007154B8">
            <w:pPr>
              <w:pStyle w:val="CETBodytext"/>
              <w:ind w:right="-1"/>
              <w:rPr>
                <w:rFonts w:cs="Arial"/>
                <w:color w:val="000000"/>
                <w:szCs w:val="18"/>
              </w:rPr>
            </w:pPr>
            <w:r>
              <w:rPr>
                <w:rFonts w:cs="Arial"/>
                <w:color w:val="000000"/>
                <w:szCs w:val="18"/>
              </w:rPr>
              <w:t>Materials recovery</w:t>
            </w:r>
          </w:p>
        </w:tc>
        <w:tc>
          <w:tcPr>
            <w:tcW w:w="1701" w:type="dxa"/>
            <w:shd w:val="clear" w:color="auto" w:fill="FFFFFF"/>
            <w:vAlign w:val="bottom"/>
          </w:tcPr>
          <w:p w:rsidR="007154B8" w:rsidRPr="00F53B0B" w:rsidRDefault="00F326AA" w:rsidP="007154B8">
            <w:pPr>
              <w:pStyle w:val="CETBodytext"/>
              <w:jc w:val="center"/>
              <w:rPr>
                <w:rFonts w:cs="Arial"/>
                <w:color w:val="000000"/>
                <w:szCs w:val="18"/>
              </w:rPr>
            </w:pPr>
            <w:r w:rsidRPr="007154B8">
              <w:rPr>
                <w:rFonts w:cs="Arial"/>
                <w:color w:val="000000"/>
                <w:szCs w:val="18"/>
              </w:rPr>
              <w:t>4.50</w:t>
            </w:r>
          </w:p>
        </w:tc>
        <w:tc>
          <w:tcPr>
            <w:tcW w:w="1701" w:type="dxa"/>
            <w:shd w:val="clear" w:color="auto" w:fill="FFFFFF"/>
            <w:vAlign w:val="bottom"/>
          </w:tcPr>
          <w:p w:rsidR="007154B8" w:rsidRPr="00F53B0B" w:rsidRDefault="00F326AA" w:rsidP="007154B8">
            <w:pPr>
              <w:pStyle w:val="CETBodytext"/>
              <w:jc w:val="center"/>
              <w:rPr>
                <w:rFonts w:cs="Arial"/>
                <w:color w:val="000000"/>
                <w:szCs w:val="18"/>
              </w:rPr>
            </w:pPr>
            <w:r w:rsidRPr="007154B8">
              <w:rPr>
                <w:rFonts w:cs="Arial"/>
                <w:color w:val="000000"/>
                <w:szCs w:val="18"/>
              </w:rPr>
              <w:t>4.00</w:t>
            </w:r>
          </w:p>
        </w:tc>
        <w:tc>
          <w:tcPr>
            <w:tcW w:w="851" w:type="dxa"/>
            <w:shd w:val="clear" w:color="auto" w:fill="FFFFFF"/>
            <w:vAlign w:val="bottom"/>
          </w:tcPr>
          <w:p w:rsidR="007154B8" w:rsidRPr="00F53B0B" w:rsidRDefault="00F326AA" w:rsidP="007154B8">
            <w:pPr>
              <w:pStyle w:val="CETBodytext"/>
              <w:jc w:val="center"/>
              <w:rPr>
                <w:rFonts w:cs="Arial"/>
                <w:color w:val="000000"/>
                <w:szCs w:val="18"/>
              </w:rPr>
            </w:pPr>
            <w:r w:rsidRPr="007154B8">
              <w:rPr>
                <w:rFonts w:cs="Arial"/>
                <w:color w:val="000000"/>
                <w:szCs w:val="18"/>
              </w:rPr>
              <w:t>0.50</w:t>
            </w:r>
          </w:p>
        </w:tc>
        <w:tc>
          <w:tcPr>
            <w:tcW w:w="708" w:type="dxa"/>
            <w:shd w:val="clear" w:color="auto" w:fill="FFFFFF"/>
          </w:tcPr>
          <w:p w:rsidR="007154B8" w:rsidRPr="004E2ED3" w:rsidRDefault="00F326AA" w:rsidP="00C722BB">
            <w:pPr>
              <w:pStyle w:val="CETBodytext"/>
              <w:jc w:val="left"/>
              <w:rPr>
                <w:rFonts w:cs="Arial"/>
                <w:color w:val="000000"/>
                <w:szCs w:val="18"/>
              </w:rPr>
            </w:pPr>
            <w:r>
              <w:rPr>
                <w:rFonts w:cs="Arial"/>
                <w:color w:val="000000"/>
                <w:szCs w:val="18"/>
              </w:rPr>
              <w:t>third</w:t>
            </w:r>
          </w:p>
        </w:tc>
      </w:tr>
    </w:tbl>
    <w:p w:rsidR="00A928F6" w:rsidRPr="00792A82" w:rsidRDefault="00A928F6" w:rsidP="00BA7776">
      <w:pPr>
        <w:pStyle w:val="CETBodytext"/>
      </w:pPr>
    </w:p>
    <w:p w:rsidR="00600535" w:rsidRPr="00B57B36" w:rsidRDefault="00F326AA" w:rsidP="00FA5F5F">
      <w:pPr>
        <w:pStyle w:val="CETheadingx"/>
      </w:pPr>
      <w:r>
        <w:t>D</w:t>
      </w:r>
      <w:r w:rsidRPr="00B57B36">
        <w:t>i</w:t>
      </w:r>
      <w:r>
        <w:t>scussi</w:t>
      </w:r>
      <w:r w:rsidRPr="00B57B36">
        <w:t>on</w:t>
      </w:r>
    </w:p>
    <w:p w:rsidR="00315FE2" w:rsidRDefault="00F326AA" w:rsidP="00600535">
      <w:pPr>
        <w:pStyle w:val="CETBodytext"/>
      </w:pPr>
      <w:r>
        <w:t xml:space="preserve">The discussion entails two </w:t>
      </w:r>
      <w:r w:rsidR="00615843">
        <w:t>main issues</w:t>
      </w:r>
      <w:r w:rsidR="0048538E">
        <w:t xml:space="preserve">. The first is the analysis of how the allocation </w:t>
      </w:r>
      <w:r w:rsidR="00615843">
        <w:t>of strategic resources</w:t>
      </w:r>
      <w:r w:rsidR="0048538E">
        <w:t>, such as labor, capital, management, and intangible assets, fits with the importance of the</w:t>
      </w:r>
      <w:r w:rsidR="00615843">
        <w:t xml:space="preserve"> constructs</w:t>
      </w:r>
      <w:r w:rsidR="0048538E">
        <w:t>. Eventually, replacements or reallocation of resources among constructs may be necessary</w:t>
      </w:r>
      <w:r w:rsidR="00D13532">
        <w:t xml:space="preserve"> when imbalances exist</w:t>
      </w:r>
      <w:r w:rsidR="0048538E">
        <w:t>. The second issue is to control the</w:t>
      </w:r>
      <w:r w:rsidR="00615843">
        <w:t xml:space="preserve"> performance</w:t>
      </w:r>
      <w:r w:rsidR="0048538E">
        <w:t xml:space="preserve">. Eventually, control actions focusing on increasing performance may also require managerial </w:t>
      </w:r>
      <w:r w:rsidR="00615843">
        <w:t>improvement</w:t>
      </w:r>
      <w:r w:rsidR="00EE1244">
        <w:t xml:space="preserve"> in procedures, not only in resources</w:t>
      </w:r>
      <w:r w:rsidR="00615843">
        <w:t xml:space="preserve">. </w:t>
      </w:r>
      <w:r w:rsidR="00D13532">
        <w:t>The</w:t>
      </w:r>
      <w:r>
        <w:t xml:space="preserve"> scatter diagram </w:t>
      </w:r>
      <w:r w:rsidR="00D13532">
        <w:t xml:space="preserve">of Figure 1 </w:t>
      </w:r>
      <w:r>
        <w:t>plot</w:t>
      </w:r>
      <w:r w:rsidR="00D13532">
        <w:t>s</w:t>
      </w:r>
      <w:r>
        <w:t xml:space="preserve"> the ordered pairs [importance, performance] for the constructs</w:t>
      </w:r>
      <w:r w:rsidR="00D13532">
        <w:t>,</w:t>
      </w:r>
      <w:r>
        <w:t xml:space="preserve"> </w:t>
      </w:r>
      <w:r w:rsidR="00D13532">
        <w:t xml:space="preserve">which </w:t>
      </w:r>
      <w:r>
        <w:t>helps</w:t>
      </w:r>
      <w:r w:rsidR="00615843">
        <w:t xml:space="preserve"> afford the first </w:t>
      </w:r>
      <w:r w:rsidR="00D13532">
        <w:t>issue</w:t>
      </w:r>
      <w:r w:rsidR="00A50EA5">
        <w:t xml:space="preserve">. </w:t>
      </w:r>
    </w:p>
    <w:p w:rsidR="009B5137" w:rsidRDefault="00E63A41" w:rsidP="00600535">
      <w:pPr>
        <w:pStyle w:val="CETBodytext"/>
      </w:pPr>
      <w:r>
        <w:rPr>
          <w:noProof/>
          <w:lang w:val="pt-BR" w:eastAsia="pt-BR"/>
        </w:rPr>
        <mc:AlternateContent>
          <mc:Choice Requires="wps">
            <w:drawing>
              <wp:anchor distT="0" distB="0" distL="114300" distR="114300" simplePos="0" relativeHeight="251676672" behindDoc="0" locked="0" layoutInCell="1" allowOverlap="1" wp14:anchorId="3E62E798" wp14:editId="735B8397">
                <wp:simplePos x="0" y="0"/>
                <wp:positionH relativeFrom="column">
                  <wp:posOffset>2628265</wp:posOffset>
                </wp:positionH>
                <wp:positionV relativeFrom="paragraph">
                  <wp:posOffset>1295400</wp:posOffset>
                </wp:positionV>
                <wp:extent cx="996950" cy="368300"/>
                <wp:effectExtent l="0" t="0" r="0" b="0"/>
                <wp:wrapNone/>
                <wp:docPr id="7" name="Retângulo 7"/>
                <wp:cNvGraphicFramePr/>
                <a:graphic xmlns:a="http://schemas.openxmlformats.org/drawingml/2006/main">
                  <a:graphicData uri="http://schemas.microsoft.com/office/word/2010/wordprocessingShape">
                    <wps:wsp>
                      <wps:cNvSpPr/>
                      <wps:spPr>
                        <a:xfrm>
                          <a:off x="0" y="0"/>
                          <a:ext cx="996950" cy="36830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3D3096" w:rsidRPr="00B3087D" w:rsidRDefault="003D3096" w:rsidP="003D3096">
                            <w:pPr>
                              <w:jc w:val="left"/>
                              <w:rPr>
                                <w:sz w:val="16"/>
                                <w:szCs w:val="16"/>
                                <w:lang w:val="en-US"/>
                              </w:rPr>
                            </w:pPr>
                            <w:r>
                              <w:rPr>
                                <w:sz w:val="16"/>
                                <w:szCs w:val="16"/>
                                <w:lang w:val="en-US"/>
                              </w:rPr>
                              <w:t>Internal relationships</w:t>
                            </w:r>
                          </w:p>
                          <w:p w:rsidR="003D3096" w:rsidRDefault="003D3096" w:rsidP="003D309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62E798" id="Retângulo 7" o:spid="_x0000_s1026" style="position:absolute;left:0;text-align:left;margin-left:206.95pt;margin-top:102pt;width:78.5pt;height: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" filled="f" stroked="f" strokeweight="2pt">
                <v:textbox>
                  <w:txbxContent>
                    <w:p w:rsidR="003D3096" w:rsidRPr="00B3087D" w:rsidRDefault="003D3096" w:rsidP="003D3096">
                      <w:pPr>
                        <w:jc w:val="left"/>
                        <w:rPr>
                          <w:sz w:val="16"/>
                          <w:szCs w:val="16"/>
                          <w:lang w:val="en-US"/>
                        </w:rPr>
                      </w:pPr>
                      <w:r>
                        <w:rPr>
                          <w:sz w:val="16"/>
                          <w:szCs w:val="16"/>
                          <w:lang w:val="en-US"/>
                        </w:rPr>
                        <w:t>Internal relationships</w:t>
                      </w:r>
                    </w:p>
                    <w:p w:rsidR="003D3096" w:rsidRDefault="003D3096" w:rsidP="003D3096">
                      <w:pPr>
                        <w:jc w:val="center"/>
                      </w:pPr>
                    </w:p>
                  </w:txbxContent>
                </v:textbox>
              </v:rect>
            </w:pict>
          </mc:Fallback>
        </mc:AlternateContent>
      </w:r>
      <w:r>
        <w:rPr>
          <w:noProof/>
          <w:lang w:val="pt-BR" w:eastAsia="pt-BR"/>
        </w:rPr>
        <w:drawing>
          <wp:anchor distT="0" distB="0" distL="114300" distR="114300" simplePos="0" relativeHeight="251670528" behindDoc="0" locked="0" layoutInCell="1" allowOverlap="1" wp14:anchorId="5C71072D" wp14:editId="2548624F">
            <wp:simplePos x="0" y="0"/>
            <wp:positionH relativeFrom="column">
              <wp:posOffset>-635</wp:posOffset>
            </wp:positionH>
            <wp:positionV relativeFrom="paragraph">
              <wp:posOffset>146050</wp:posOffset>
            </wp:positionV>
            <wp:extent cx="4229100" cy="2292350"/>
            <wp:effectExtent l="0" t="0" r="0" b="12700"/>
            <wp:wrapTopAndBottom/>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Pr>
          <w:noProof/>
          <w:lang w:val="pt-BR" w:eastAsia="pt-BR"/>
        </w:rPr>
        <mc:AlternateContent>
          <mc:Choice Requires="wps">
            <w:drawing>
              <wp:anchor distT="0" distB="0" distL="114300" distR="114300" simplePos="0" relativeHeight="251678720" behindDoc="0" locked="0" layoutInCell="1" allowOverlap="1" wp14:anchorId="087A194B" wp14:editId="4F28F78F">
                <wp:simplePos x="0" y="0"/>
                <wp:positionH relativeFrom="column">
                  <wp:posOffset>3136265</wp:posOffset>
                </wp:positionH>
                <wp:positionV relativeFrom="paragraph">
                  <wp:posOffset>768350</wp:posOffset>
                </wp:positionV>
                <wp:extent cx="622300" cy="368300"/>
                <wp:effectExtent l="0" t="0" r="0" b="0"/>
                <wp:wrapNone/>
                <wp:docPr id="15" name="Retângulo 15"/>
                <wp:cNvGraphicFramePr/>
                <a:graphic xmlns:a="http://schemas.openxmlformats.org/drawingml/2006/main">
                  <a:graphicData uri="http://schemas.microsoft.com/office/word/2010/wordprocessingShape">
                    <wps:wsp>
                      <wps:cNvSpPr/>
                      <wps:spPr>
                        <a:xfrm>
                          <a:off x="0" y="0"/>
                          <a:ext cx="622300" cy="36830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3D3096" w:rsidRPr="00B3087D" w:rsidRDefault="003D3096" w:rsidP="003D3096">
                            <w:pPr>
                              <w:jc w:val="left"/>
                              <w:rPr>
                                <w:sz w:val="16"/>
                                <w:szCs w:val="16"/>
                                <w:lang w:val="en-US"/>
                              </w:rPr>
                            </w:pPr>
                            <w:r>
                              <w:rPr>
                                <w:sz w:val="16"/>
                                <w:szCs w:val="16"/>
                                <w:lang w:val="en-US"/>
                              </w:rPr>
                              <w:t>Materials</w:t>
                            </w:r>
                            <w:r w:rsidRPr="00B3087D">
                              <w:rPr>
                                <w:sz w:val="16"/>
                                <w:szCs w:val="16"/>
                                <w:lang w:val="en-US"/>
                              </w:rPr>
                              <w:t xml:space="preserve"> recovery</w:t>
                            </w:r>
                          </w:p>
                          <w:p w:rsidR="003D3096" w:rsidRDefault="003D3096" w:rsidP="003D309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7A194B" id="Retângulo 15" o:spid="_x0000_s1027" style="position:absolute;left:0;text-align:left;margin-left:246.95pt;margin-top:60.5pt;width:49pt;height:2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" filled="f" stroked="f" strokeweight="2pt">
                <v:textbox>
                  <w:txbxContent>
                    <w:p w:rsidR="003D3096" w:rsidRPr="00B3087D" w:rsidRDefault="003D3096" w:rsidP="003D3096">
                      <w:pPr>
                        <w:jc w:val="left"/>
                        <w:rPr>
                          <w:sz w:val="16"/>
                          <w:szCs w:val="16"/>
                          <w:lang w:val="en-US"/>
                        </w:rPr>
                      </w:pPr>
                      <w:r>
                        <w:rPr>
                          <w:sz w:val="16"/>
                          <w:szCs w:val="16"/>
                          <w:lang w:val="en-US"/>
                        </w:rPr>
                        <w:t>Materials</w:t>
                      </w:r>
                      <w:r w:rsidRPr="00B3087D">
                        <w:rPr>
                          <w:sz w:val="16"/>
                          <w:szCs w:val="16"/>
                          <w:lang w:val="en-US"/>
                        </w:rPr>
                        <w:t xml:space="preserve"> recovery</w:t>
                      </w:r>
                    </w:p>
                    <w:p w:rsidR="003D3096" w:rsidRDefault="003D3096" w:rsidP="003D3096">
                      <w:pPr>
                        <w:jc w:val="center"/>
                      </w:pPr>
                    </w:p>
                  </w:txbxContent>
                </v:textbox>
              </v:rect>
            </w:pict>
          </mc:Fallback>
        </mc:AlternateContent>
      </w:r>
      <w:r>
        <w:rPr>
          <w:noProof/>
          <w:lang w:val="pt-BR" w:eastAsia="pt-BR"/>
        </w:rPr>
        <mc:AlternateContent>
          <mc:Choice Requires="wps">
            <w:drawing>
              <wp:anchor distT="0" distB="0" distL="114300" distR="114300" simplePos="0" relativeHeight="251674624" behindDoc="0" locked="0" layoutInCell="1" allowOverlap="1">
                <wp:simplePos x="0" y="0"/>
                <wp:positionH relativeFrom="column">
                  <wp:posOffset>1383665</wp:posOffset>
                </wp:positionH>
                <wp:positionV relativeFrom="paragraph">
                  <wp:posOffset>901700</wp:posOffset>
                </wp:positionV>
                <wp:extent cx="596900" cy="393700"/>
                <wp:effectExtent l="0" t="0" r="0" b="0"/>
                <wp:wrapNone/>
                <wp:docPr id="4" name="Retângulo 4"/>
                <wp:cNvGraphicFramePr/>
                <a:graphic xmlns:a="http://schemas.openxmlformats.org/drawingml/2006/main">
                  <a:graphicData uri="http://schemas.microsoft.com/office/word/2010/wordprocessingShape">
                    <wps:wsp>
                      <wps:cNvSpPr/>
                      <wps:spPr>
                        <a:xfrm>
                          <a:off x="0" y="0"/>
                          <a:ext cx="596900" cy="39370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9B5137" w:rsidRPr="00B3087D" w:rsidRDefault="009B5137" w:rsidP="00E63A41">
                            <w:pPr>
                              <w:jc w:val="left"/>
                              <w:rPr>
                                <w:sz w:val="16"/>
                                <w:szCs w:val="16"/>
                                <w:lang w:val="en-US"/>
                              </w:rPr>
                            </w:pPr>
                            <w:r w:rsidRPr="00B3087D">
                              <w:rPr>
                                <w:sz w:val="16"/>
                                <w:szCs w:val="16"/>
                                <w:lang w:val="en-US"/>
                              </w:rPr>
                              <w:t>Energy recovery</w:t>
                            </w:r>
                          </w:p>
                          <w:p w:rsidR="009B5137" w:rsidRDefault="009B5137" w:rsidP="00E63A41">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4" o:spid="_x0000_s1028" style="position:absolute;left:0;text-align:left;margin-left:108.95pt;margin-top:71pt;width:47pt;height:3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" filled="f" stroked="f" strokeweight="2pt">
                <v:textbox>
                  <w:txbxContent>
                    <w:p w:rsidR="009B5137" w:rsidRPr="00B3087D" w:rsidRDefault="009B5137" w:rsidP="00E63A41">
                      <w:pPr>
                        <w:jc w:val="left"/>
                        <w:rPr>
                          <w:sz w:val="16"/>
                          <w:szCs w:val="16"/>
                          <w:lang w:val="en-US"/>
                        </w:rPr>
                      </w:pPr>
                      <w:r w:rsidRPr="00B3087D">
                        <w:rPr>
                          <w:sz w:val="16"/>
                          <w:szCs w:val="16"/>
                          <w:lang w:val="en-US"/>
                        </w:rPr>
                        <w:t>Energy recovery</w:t>
                      </w:r>
                    </w:p>
                    <w:p w:rsidR="009B5137" w:rsidRDefault="009B5137" w:rsidP="00E63A41">
                      <w:pPr>
                        <w:jc w:val="left"/>
                      </w:pPr>
                    </w:p>
                  </w:txbxContent>
                </v:textbox>
              </v:rect>
            </w:pict>
          </mc:Fallback>
        </mc:AlternateContent>
      </w:r>
      <w:r>
        <w:rPr>
          <w:noProof/>
          <w:lang w:val="pt-BR" w:eastAsia="pt-BR"/>
        </w:rPr>
        <mc:AlternateContent>
          <mc:Choice Requires="wps">
            <w:drawing>
              <wp:anchor distT="0" distB="0" distL="114300" distR="114300" simplePos="0" relativeHeight="251680768" behindDoc="0" locked="0" layoutInCell="1" allowOverlap="1" wp14:anchorId="04E70E9A" wp14:editId="2F27EBBC">
                <wp:simplePos x="0" y="0"/>
                <wp:positionH relativeFrom="column">
                  <wp:posOffset>2367915</wp:posOffset>
                </wp:positionH>
                <wp:positionV relativeFrom="paragraph">
                  <wp:posOffset>387350</wp:posOffset>
                </wp:positionV>
                <wp:extent cx="895350" cy="419100"/>
                <wp:effectExtent l="0" t="0" r="0" b="0"/>
                <wp:wrapNone/>
                <wp:docPr id="16" name="Retângulo 16"/>
                <wp:cNvGraphicFramePr/>
                <a:graphic xmlns:a="http://schemas.openxmlformats.org/drawingml/2006/main">
                  <a:graphicData uri="http://schemas.microsoft.com/office/word/2010/wordprocessingShape">
                    <wps:wsp>
                      <wps:cNvSpPr/>
                      <wps:spPr>
                        <a:xfrm>
                          <a:off x="0" y="0"/>
                          <a:ext cx="895350" cy="41910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3D3096" w:rsidRPr="00B3087D" w:rsidRDefault="003D3096" w:rsidP="00E63A41">
                            <w:pPr>
                              <w:jc w:val="right"/>
                              <w:rPr>
                                <w:sz w:val="16"/>
                                <w:szCs w:val="16"/>
                                <w:lang w:val="en-US"/>
                              </w:rPr>
                            </w:pPr>
                            <w:r>
                              <w:rPr>
                                <w:sz w:val="16"/>
                                <w:szCs w:val="16"/>
                                <w:lang w:val="en-US"/>
                              </w:rPr>
                              <w:t>External relationships</w:t>
                            </w:r>
                          </w:p>
                          <w:p w:rsidR="003D3096" w:rsidRDefault="003D3096" w:rsidP="003D309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E70E9A" id="Retângulo 16" o:spid="_x0000_s1029" style="position:absolute;left:0;text-align:left;margin-left:186.45pt;margin-top:30.5pt;width:70.5pt;height: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" filled="f" stroked="f" strokeweight="2pt">
                <v:textbox>
                  <w:txbxContent>
                    <w:p w:rsidR="003D3096" w:rsidRPr="00B3087D" w:rsidRDefault="003D3096" w:rsidP="00E63A41">
                      <w:pPr>
                        <w:jc w:val="right"/>
                        <w:rPr>
                          <w:sz w:val="16"/>
                          <w:szCs w:val="16"/>
                          <w:lang w:val="en-US"/>
                        </w:rPr>
                      </w:pPr>
                      <w:r>
                        <w:rPr>
                          <w:sz w:val="16"/>
                          <w:szCs w:val="16"/>
                          <w:lang w:val="en-US"/>
                        </w:rPr>
                        <w:t>External relationships</w:t>
                      </w:r>
                    </w:p>
                    <w:p w:rsidR="003D3096" w:rsidRDefault="003D3096" w:rsidP="003D3096">
                      <w:pPr>
                        <w:jc w:val="center"/>
                      </w:pPr>
                    </w:p>
                  </w:txbxContent>
                </v:textbox>
              </v:rect>
            </w:pict>
          </mc:Fallback>
        </mc:AlternateContent>
      </w:r>
      <w:r w:rsidR="009B5137">
        <w:rPr>
          <w:noProof/>
          <w:lang w:val="pt-BR" w:eastAsia="pt-BR"/>
        </w:rPr>
        <mc:AlternateContent>
          <mc:Choice Requires="wps">
            <w:drawing>
              <wp:anchor distT="0" distB="0" distL="114300" distR="114300" simplePos="0" relativeHeight="251671552" behindDoc="0" locked="0" layoutInCell="1" allowOverlap="1">
                <wp:simplePos x="0" y="0"/>
                <wp:positionH relativeFrom="column">
                  <wp:posOffset>520065</wp:posOffset>
                </wp:positionH>
                <wp:positionV relativeFrom="paragraph">
                  <wp:posOffset>375920</wp:posOffset>
                </wp:positionV>
                <wp:extent cx="863600" cy="209550"/>
                <wp:effectExtent l="0" t="0" r="0" b="0"/>
                <wp:wrapNone/>
                <wp:docPr id="2" name="Retângulo 2"/>
                <wp:cNvGraphicFramePr/>
                <a:graphic xmlns:a="http://schemas.openxmlformats.org/drawingml/2006/main">
                  <a:graphicData uri="http://schemas.microsoft.com/office/word/2010/wordprocessingShape">
                    <wps:wsp>
                      <wps:cNvSpPr/>
                      <wps:spPr>
                        <a:xfrm>
                          <a:off x="0" y="0"/>
                          <a:ext cx="863600" cy="2095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9B5137" w:rsidRPr="009B5137" w:rsidRDefault="009B5137" w:rsidP="009B5137">
                            <w:pPr>
                              <w:jc w:val="center"/>
                              <w:rPr>
                                <w:sz w:val="16"/>
                                <w:szCs w:val="16"/>
                                <w:lang w:val="en-US"/>
                              </w:rPr>
                            </w:pPr>
                            <w:r w:rsidRPr="009B5137">
                              <w:rPr>
                                <w:sz w:val="16"/>
                                <w:szCs w:val="16"/>
                                <w:lang w:val="en-US"/>
                              </w:rPr>
                              <w:t>Performance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2" o:spid="_x0000_s1030" style="position:absolute;left:0;text-align:left;margin-left:40.95pt;margin-top:29.6pt;width:68pt;height: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" fillcolor="white [3201]" stroked="f" strokeweight="2pt">
                <v:textbox>
                  <w:txbxContent>
                    <w:p w:rsidR="009B5137" w:rsidRPr="009B5137" w:rsidRDefault="009B5137" w:rsidP="009B5137">
                      <w:pPr>
                        <w:jc w:val="center"/>
                        <w:rPr>
                          <w:sz w:val="16"/>
                          <w:szCs w:val="16"/>
                          <w:lang w:val="en-US"/>
                        </w:rPr>
                      </w:pPr>
                      <w:r w:rsidRPr="009B5137">
                        <w:rPr>
                          <w:sz w:val="16"/>
                          <w:szCs w:val="16"/>
                          <w:lang w:val="en-US"/>
                        </w:rPr>
                        <w:t>Performance</w:t>
                      </w:r>
                    </w:p>
                  </w:txbxContent>
                </v:textbox>
              </v:rect>
            </w:pict>
          </mc:Fallback>
        </mc:AlternateContent>
      </w:r>
      <w:r w:rsidR="009B5137">
        <w:rPr>
          <w:noProof/>
          <w:lang w:val="pt-BR" w:eastAsia="pt-BR"/>
        </w:rPr>
        <mc:AlternateContent>
          <mc:Choice Requires="wps">
            <w:drawing>
              <wp:anchor distT="0" distB="0" distL="114300" distR="114300" simplePos="0" relativeHeight="251673600" behindDoc="0" locked="0" layoutInCell="1" allowOverlap="1" wp14:anchorId="4C9CF0AC" wp14:editId="3BC9D100">
                <wp:simplePos x="0" y="0"/>
                <wp:positionH relativeFrom="column">
                  <wp:posOffset>3098165</wp:posOffset>
                </wp:positionH>
                <wp:positionV relativeFrom="paragraph">
                  <wp:posOffset>1741170</wp:posOffset>
                </wp:positionV>
                <wp:extent cx="787400" cy="241300"/>
                <wp:effectExtent l="0" t="0" r="0" b="6350"/>
                <wp:wrapNone/>
                <wp:docPr id="3" name="Retângulo 3"/>
                <wp:cNvGraphicFramePr/>
                <a:graphic xmlns:a="http://schemas.openxmlformats.org/drawingml/2006/main">
                  <a:graphicData uri="http://schemas.microsoft.com/office/word/2010/wordprocessingShape">
                    <wps:wsp>
                      <wps:cNvSpPr/>
                      <wps:spPr>
                        <a:xfrm>
                          <a:off x="0" y="0"/>
                          <a:ext cx="787400" cy="2413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9B5137" w:rsidRPr="009B5137" w:rsidRDefault="009B5137" w:rsidP="009B5137">
                            <w:pPr>
                              <w:jc w:val="center"/>
                              <w:rPr>
                                <w:sz w:val="16"/>
                                <w:szCs w:val="16"/>
                                <w:lang w:val="pt-BR"/>
                              </w:rPr>
                            </w:pPr>
                            <w:r w:rsidRPr="009B5137">
                              <w:rPr>
                                <w:sz w:val="16"/>
                                <w:szCs w:val="16"/>
                                <w:lang w:val="en-US"/>
                              </w:rPr>
                              <w:t>Import</w:t>
                            </w:r>
                            <w:r w:rsidRPr="009B5137">
                              <w:rPr>
                                <w:sz w:val="16"/>
                                <w:szCs w:val="16"/>
                                <w:lang w:val="en-US"/>
                              </w:rPr>
                              <w: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9CF0AC" id="Retângulo 3" o:spid="_x0000_s1031" style="position:absolute;left:0;text-align:left;margin-left:243.95pt;margin-top:137.1pt;width:62pt;height:1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" fillcolor="white [3201]" stroked="f" strokeweight="2pt">
                <v:textbox>
                  <w:txbxContent>
                    <w:p w:rsidR="009B5137" w:rsidRPr="009B5137" w:rsidRDefault="009B5137" w:rsidP="009B5137">
                      <w:pPr>
                        <w:jc w:val="center"/>
                        <w:rPr>
                          <w:sz w:val="16"/>
                          <w:szCs w:val="16"/>
                          <w:lang w:val="pt-BR"/>
                        </w:rPr>
                      </w:pPr>
                      <w:r w:rsidRPr="009B5137">
                        <w:rPr>
                          <w:sz w:val="16"/>
                          <w:szCs w:val="16"/>
                          <w:lang w:val="en-US"/>
                        </w:rPr>
                        <w:t>Import</w:t>
                      </w:r>
                      <w:r w:rsidRPr="009B5137">
                        <w:rPr>
                          <w:sz w:val="16"/>
                          <w:szCs w:val="16"/>
                          <w:lang w:val="en-US"/>
                        </w:rPr>
                        <w:t>ance</w:t>
                      </w:r>
                    </w:p>
                  </w:txbxContent>
                </v:textbox>
              </v:rect>
            </w:pict>
          </mc:Fallback>
        </mc:AlternateContent>
      </w:r>
    </w:p>
    <w:p w:rsidR="003D3096" w:rsidRPr="00B57B36" w:rsidRDefault="003D3096" w:rsidP="003D3096">
      <w:pPr>
        <w:pStyle w:val="CETCaption"/>
      </w:pPr>
      <w:r w:rsidRPr="00B57B36">
        <w:t xml:space="preserve">Figure 1: </w:t>
      </w:r>
      <w:r>
        <w:t>Relationship between importance and performance for the constructs</w:t>
      </w:r>
    </w:p>
    <w:p w:rsidR="002A10EB" w:rsidRPr="000E48A8" w:rsidRDefault="00F326AA" w:rsidP="00600535">
      <w:pPr>
        <w:pStyle w:val="CETBodytext"/>
      </w:pPr>
      <w:r>
        <w:t>The diagram shows a high likelihood (</w:t>
      </w:r>
      <w:r w:rsidRPr="00A50EA5">
        <w:rPr>
          <w:i/>
        </w:rPr>
        <w:t>R</w:t>
      </w:r>
      <w:r w:rsidRPr="00A50EA5">
        <w:rPr>
          <w:vertAlign w:val="superscript"/>
        </w:rPr>
        <w:t>2</w:t>
      </w:r>
      <w:r>
        <w:t xml:space="preserve"> </w:t>
      </w:r>
      <w:r>
        <w:rPr>
          <w:rFonts w:cs="Arial"/>
        </w:rPr>
        <w:t>≈</w:t>
      </w:r>
      <w:r>
        <w:t xml:space="preserve"> 90 %) for a linear relationship</w:t>
      </w:r>
      <w:r w:rsidRPr="00FA6AAF">
        <w:t xml:space="preserve"> </w:t>
      </w:r>
      <w:r>
        <w:t>among constructs, meaning no imbalance</w:t>
      </w:r>
      <w:r w:rsidR="00977F9E">
        <w:t xml:space="preserve">: the higher the importance, the higher the performance. </w:t>
      </w:r>
      <w:r w:rsidR="000E48A8">
        <w:t>It me</w:t>
      </w:r>
      <w:r w:rsidR="000E48A8" w:rsidRPr="000E48A8">
        <w:t>a</w:t>
      </w:r>
      <w:r w:rsidR="000E48A8">
        <w:t>n</w:t>
      </w:r>
      <w:r w:rsidR="000E48A8" w:rsidRPr="000E48A8">
        <w:t>s</w:t>
      </w:r>
      <w:r w:rsidR="000E48A8">
        <w:t xml:space="preserve"> that the current strategy </w:t>
      </w:r>
      <w:r w:rsidR="003C78FF">
        <w:t xml:space="preserve">coherently </w:t>
      </w:r>
      <w:r w:rsidR="000E48A8">
        <w:t xml:space="preserve">allocates </w:t>
      </w:r>
      <w:r w:rsidR="001265A7">
        <w:t xml:space="preserve">more resources (which </w:t>
      </w:r>
      <w:r w:rsidR="0004178C">
        <w:t>imply</w:t>
      </w:r>
      <w:r w:rsidR="000E48A8">
        <w:t xml:space="preserve"> a higher performance) to the more important constructs.</w:t>
      </w:r>
      <w:r w:rsidR="00977F9E">
        <w:t xml:space="preserve"> Therefore, there is no need for the replacement or exchange </w:t>
      </w:r>
      <w:r>
        <w:t xml:space="preserve">of </w:t>
      </w:r>
      <w:r w:rsidR="00977F9E">
        <w:t xml:space="preserve">strategic resources </w:t>
      </w:r>
      <w:r>
        <w:t xml:space="preserve">among </w:t>
      </w:r>
      <w:r w:rsidR="00977F9E">
        <w:t>constructs.</w:t>
      </w:r>
      <w:r w:rsidR="001265A7">
        <w:t xml:space="preserve"> </w:t>
      </w:r>
      <w:r w:rsidR="003C78FF">
        <w:t>Regarding performance improvement, equation 1 provides an o</w:t>
      </w:r>
      <w:r w:rsidR="009B5792">
        <w:t xml:space="preserve">verall </w:t>
      </w:r>
      <w:r>
        <w:t xml:space="preserve">operational </w:t>
      </w:r>
      <w:r w:rsidR="009B5792">
        <w:t xml:space="preserve">performance </w:t>
      </w:r>
      <w:r>
        <w:t xml:space="preserve">of 59 % </w:t>
      </w:r>
      <w:r w:rsidR="009B5792">
        <w:t>for the EIP.</w:t>
      </w:r>
    </w:p>
    <w:tbl>
      <w:tblPr>
        <w:tblW w:w="5000" w:type="pct"/>
        <w:tblLook w:val="04A0" w:firstRow="1" w:lastRow="0" w:firstColumn="1" w:lastColumn="0" w:noHBand="0" w:noVBand="1"/>
      </w:tblPr>
      <w:tblGrid>
        <w:gridCol w:w="7985"/>
        <w:gridCol w:w="802"/>
      </w:tblGrid>
      <w:tr w:rsidR="00AB607F" w:rsidTr="00EB7BF3">
        <w:tc>
          <w:tcPr>
            <w:tcW w:w="8188" w:type="dxa"/>
            <w:shd w:val="clear" w:color="auto" w:fill="auto"/>
            <w:vAlign w:val="center"/>
          </w:tcPr>
          <w:p w:rsidR="002A10EB" w:rsidRPr="008A6956" w:rsidRDefault="00F326AA" w:rsidP="00FA6AAF">
            <w:pPr>
              <w:pStyle w:val="CETEquation"/>
            </w:pPr>
            <m:oMathPara>
              <m:oMathParaPr>
                <m:jc m:val="left"/>
              </m:oMathParaPr>
              <m:oMath>
                <m:r>
                  <w:rPr>
                    <w:rFonts w:ascii="Cambria Math" w:hAnsi="Cambria Math" w:cs="Arial"/>
                  </w:rPr>
                  <w:lastRenderedPageBreak/>
                  <m:t>P %=</m:t>
                </m:r>
                <m:f>
                  <m:fPr>
                    <m:ctrlPr>
                      <w:rPr>
                        <w:rFonts w:ascii="Cambria Math" w:hAnsi="Cambria Math" w:cs="Arial"/>
                        <w:i/>
                        <w:lang w:val="en-US"/>
                      </w:rPr>
                    </m:ctrlPr>
                  </m:fPr>
                  <m:num>
                    <m:f>
                      <m:fPr>
                        <m:ctrlPr>
                          <w:rPr>
                            <w:rFonts w:ascii="Cambria Math" w:hAnsi="Cambria Math" w:cs="Arial"/>
                            <w:i/>
                            <w:lang w:val="en-US"/>
                          </w:rPr>
                        </m:ctrlPr>
                      </m:fPr>
                      <m:num>
                        <m:nary>
                          <m:naryPr>
                            <m:chr m:val="∑"/>
                            <m:limLoc m:val="undOvr"/>
                            <m:ctrlPr>
                              <w:rPr>
                                <w:rFonts w:ascii="Cambria Math" w:hAnsi="Cambria Math" w:cs="Arial"/>
                                <w:i/>
                                <w:lang w:val="en-US"/>
                              </w:rPr>
                            </m:ctrlPr>
                          </m:naryPr>
                          <m:sub>
                            <m:r>
                              <w:rPr>
                                <w:rFonts w:ascii="Cambria Math" w:hAnsi="Cambria Math" w:cs="Arial"/>
                                <w:lang w:val="en-US"/>
                              </w:rPr>
                              <m:t>i=1</m:t>
                            </m:r>
                          </m:sub>
                          <m:sup>
                            <m:r>
                              <w:rPr>
                                <w:rFonts w:ascii="Cambria Math" w:hAnsi="Cambria Math" w:cs="Arial"/>
                                <w:lang w:val="en-US"/>
                              </w:rPr>
                              <m:t>18</m:t>
                            </m:r>
                          </m:sup>
                          <m:e>
                            <m:sSub>
                              <m:sSubPr>
                                <m:ctrlPr>
                                  <w:rPr>
                                    <w:rFonts w:ascii="Cambria Math" w:hAnsi="Cambria Math" w:cs="Arial"/>
                                    <w:i/>
                                    <w:lang w:val="en-US"/>
                                  </w:rPr>
                                </m:ctrlPr>
                              </m:sSubPr>
                              <m:e>
                                <m:r>
                                  <w:rPr>
                                    <w:rFonts w:ascii="Cambria Math" w:hAnsi="Cambria Math" w:cs="Arial"/>
                                    <w:lang w:val="en-US"/>
                                  </w:rPr>
                                  <m:t>Imp</m:t>
                                </m:r>
                              </m:e>
                              <m:sub>
                                <m:r>
                                  <w:rPr>
                                    <w:rFonts w:ascii="Cambria Math" w:hAnsi="Cambria Math" w:cs="Arial"/>
                                    <w:lang w:val="en-US"/>
                                  </w:rPr>
                                  <m:t>i</m:t>
                                </m:r>
                              </m:sub>
                            </m:sSub>
                            <m:sSub>
                              <m:sSubPr>
                                <m:ctrlPr>
                                  <w:rPr>
                                    <w:rFonts w:ascii="Cambria Math" w:hAnsi="Cambria Math" w:cs="Arial"/>
                                    <w:i/>
                                    <w:lang w:val="en-US"/>
                                  </w:rPr>
                                </m:ctrlPr>
                              </m:sSubPr>
                              <m:e>
                                <m:r>
                                  <w:rPr>
                                    <w:rFonts w:ascii="Cambria Math" w:hAnsi="Cambria Math" w:cs="Arial"/>
                                    <w:lang w:val="en-US"/>
                                  </w:rPr>
                                  <m:t>Perf</m:t>
                                </m:r>
                              </m:e>
                              <m:sub>
                                <m:r>
                                  <w:rPr>
                                    <w:rFonts w:ascii="Cambria Math" w:hAnsi="Cambria Math" w:cs="Arial"/>
                                    <w:lang w:val="en-US"/>
                                  </w:rPr>
                                  <m:t>i</m:t>
                                </m:r>
                              </m:sub>
                            </m:sSub>
                          </m:e>
                        </m:nary>
                      </m:num>
                      <m:den>
                        <m:nary>
                          <m:naryPr>
                            <m:chr m:val="∑"/>
                            <m:limLoc m:val="undOvr"/>
                            <m:ctrlPr>
                              <w:rPr>
                                <w:rFonts w:ascii="Cambria Math" w:hAnsi="Cambria Math" w:cs="Arial"/>
                                <w:i/>
                                <w:lang w:val="en-US"/>
                              </w:rPr>
                            </m:ctrlPr>
                          </m:naryPr>
                          <m:sub>
                            <m:r>
                              <w:rPr>
                                <w:rFonts w:ascii="Cambria Math" w:hAnsi="Cambria Math" w:cs="Arial"/>
                                <w:lang w:val="en-US"/>
                              </w:rPr>
                              <m:t>i=1</m:t>
                            </m:r>
                          </m:sub>
                          <m:sup>
                            <m:r>
                              <w:rPr>
                                <w:rFonts w:ascii="Cambria Math" w:hAnsi="Cambria Math" w:cs="Arial"/>
                                <w:lang w:val="en-US"/>
                              </w:rPr>
                              <m:t>18</m:t>
                            </m:r>
                          </m:sup>
                          <m:e>
                            <m:sSub>
                              <m:sSubPr>
                                <m:ctrlPr>
                                  <w:rPr>
                                    <w:rFonts w:ascii="Cambria Math" w:hAnsi="Cambria Math" w:cs="Arial"/>
                                    <w:i/>
                                    <w:lang w:val="en-US"/>
                                  </w:rPr>
                                </m:ctrlPr>
                              </m:sSubPr>
                              <m:e>
                                <m:r>
                                  <w:rPr>
                                    <w:rFonts w:ascii="Cambria Math" w:hAnsi="Cambria Math" w:cs="Arial"/>
                                    <w:lang w:val="en-US"/>
                                  </w:rPr>
                                  <m:t>Imp</m:t>
                                </m:r>
                              </m:e>
                              <m:sub>
                                <m:r>
                                  <w:rPr>
                                    <w:rFonts w:ascii="Cambria Math" w:hAnsi="Cambria Math" w:cs="Arial"/>
                                    <w:lang w:val="en-US"/>
                                  </w:rPr>
                                  <m:t>i</m:t>
                                </m:r>
                              </m:sub>
                            </m:sSub>
                          </m:e>
                        </m:nary>
                      </m:den>
                    </m:f>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rPr>
                          <m:t>Min</m:t>
                        </m:r>
                      </m:e>
                      <m:sub>
                        <m:r>
                          <w:rPr>
                            <w:rFonts w:ascii="Cambria Math" w:hAnsi="Cambria Math" w:cs="Arial"/>
                          </w:rPr>
                          <m:t>perf</m:t>
                        </m:r>
                      </m:sub>
                    </m:sSub>
                  </m:num>
                  <m:den>
                    <m:sSub>
                      <m:sSubPr>
                        <m:ctrlPr>
                          <w:rPr>
                            <w:rFonts w:ascii="Cambria Math" w:hAnsi="Cambria Math" w:cs="Arial"/>
                            <w:i/>
                            <w:lang w:val="en-US"/>
                          </w:rPr>
                        </m:ctrlPr>
                      </m:sSubPr>
                      <m:e>
                        <m:r>
                          <w:rPr>
                            <w:rFonts w:ascii="Cambria Math" w:hAnsi="Cambria Math" w:cs="Arial"/>
                          </w:rPr>
                          <m:t>Max</m:t>
                        </m:r>
                      </m:e>
                      <m:sub>
                        <m:r>
                          <w:rPr>
                            <w:rFonts w:ascii="Cambria Math" w:hAnsi="Cambria Math" w:cs="Arial"/>
                          </w:rPr>
                          <m:t>perf</m:t>
                        </m:r>
                      </m:sub>
                    </m:sSub>
                    <m:r>
                      <w:rPr>
                        <w:rFonts w:ascii="Cambria Math" w:hAnsi="Cambria Math" w:cs="Arial"/>
                      </w:rPr>
                      <m:t>-</m:t>
                    </m:r>
                    <m:sSub>
                      <m:sSubPr>
                        <m:ctrlPr>
                          <w:rPr>
                            <w:rFonts w:ascii="Cambria Math" w:hAnsi="Cambria Math" w:cs="Arial"/>
                            <w:i/>
                            <w:lang w:val="en-US"/>
                          </w:rPr>
                        </m:ctrlPr>
                      </m:sSubPr>
                      <m:e>
                        <m:r>
                          <w:rPr>
                            <w:rFonts w:ascii="Cambria Math" w:hAnsi="Cambria Math" w:cs="Arial"/>
                          </w:rPr>
                          <m:t>Min</m:t>
                        </m:r>
                      </m:e>
                      <m:sub>
                        <m:r>
                          <w:rPr>
                            <w:rFonts w:ascii="Cambria Math" w:hAnsi="Cambria Math" w:cs="Arial"/>
                          </w:rPr>
                          <m:t>perf</m:t>
                        </m:r>
                      </m:sub>
                    </m:sSub>
                  </m:den>
                </m:f>
                <m:r>
                  <w:rPr>
                    <w:rFonts w:ascii="Cambria Math" w:hAnsi="Cambria Math" w:cs="Arial"/>
                    <w:lang w:val="en-US"/>
                  </w:rPr>
                  <m:t>=</m:t>
                </m:r>
                <m:f>
                  <m:fPr>
                    <m:ctrlPr>
                      <w:rPr>
                        <w:rFonts w:ascii="Cambria Math" w:hAnsi="Cambria Math" w:cs="Arial"/>
                        <w:i/>
                        <w:lang w:val="en-US"/>
                      </w:rPr>
                    </m:ctrlPr>
                  </m:fPr>
                  <m:num>
                    <m:r>
                      <w:rPr>
                        <w:rFonts w:ascii="Cambria Math" w:hAnsi="Cambria Math" w:cs="Arial"/>
                        <w:lang w:val="en-US"/>
                      </w:rPr>
                      <m:t>3.35-1</m:t>
                    </m:r>
                  </m:num>
                  <m:den>
                    <m:r>
                      <w:rPr>
                        <w:rFonts w:ascii="Cambria Math" w:hAnsi="Cambria Math" w:cs="Arial"/>
                        <w:lang w:val="en-US"/>
                      </w:rPr>
                      <m:t>5-1</m:t>
                    </m:r>
                  </m:den>
                </m:f>
                <m:r>
                  <w:rPr>
                    <w:rFonts w:ascii="Cambria Math" w:hAnsi="Cambria Math" w:cs="Arial"/>
                    <w:lang w:val="en-US"/>
                  </w:rPr>
                  <m:t>=59 %</m:t>
                </m:r>
              </m:oMath>
            </m:oMathPara>
          </w:p>
        </w:tc>
        <w:tc>
          <w:tcPr>
            <w:tcW w:w="815" w:type="dxa"/>
            <w:shd w:val="clear" w:color="auto" w:fill="auto"/>
            <w:vAlign w:val="center"/>
          </w:tcPr>
          <w:p w:rsidR="002A10EB" w:rsidRPr="00B57B36" w:rsidRDefault="00F326AA" w:rsidP="00EB7BF3">
            <w:pPr>
              <w:pStyle w:val="CETEquation"/>
              <w:jc w:val="right"/>
            </w:pPr>
            <w:r w:rsidRPr="00B57B36">
              <w:t>(1)</w:t>
            </w:r>
          </w:p>
        </w:tc>
      </w:tr>
    </w:tbl>
    <w:p w:rsidR="008A6956" w:rsidRDefault="00F326AA" w:rsidP="00600535">
      <w:pPr>
        <w:pStyle w:val="CETBodytext"/>
      </w:pPr>
      <w:r>
        <w:t>In which:</w:t>
      </w:r>
    </w:p>
    <w:p w:rsidR="009265A2" w:rsidRDefault="00F326AA" w:rsidP="009265A2">
      <w:pPr>
        <w:pStyle w:val="CETListbullets"/>
        <w:numPr>
          <w:ilvl w:val="0"/>
          <w:numId w:val="13"/>
        </w:numPr>
      </w:pPr>
      <w:r w:rsidRPr="009265A2">
        <w:rPr>
          <w:i/>
        </w:rPr>
        <w:t>P</w:t>
      </w:r>
      <w:r>
        <w:t xml:space="preserve"> % = overall relative performance of the EIP, ranging from 0 to 100 %;</w:t>
      </w:r>
    </w:p>
    <w:p w:rsidR="00C52823" w:rsidRDefault="00F326AA" w:rsidP="00C52823">
      <w:pPr>
        <w:pStyle w:val="CETListbullets"/>
        <w:numPr>
          <w:ilvl w:val="0"/>
          <w:numId w:val="13"/>
        </w:numPr>
      </w:pPr>
      <w:proofErr w:type="spellStart"/>
      <w:r>
        <w:rPr>
          <w:i/>
        </w:rPr>
        <w:t>Imp</w:t>
      </w:r>
      <w:r w:rsidRPr="009265A2">
        <w:rPr>
          <w:i/>
          <w:vertAlign w:val="subscript"/>
        </w:rPr>
        <w:t>i</w:t>
      </w:r>
      <w:proofErr w:type="spellEnd"/>
      <w:r>
        <w:rPr>
          <w:i/>
        </w:rPr>
        <w:t xml:space="preserve"> =</w:t>
      </w:r>
      <w:r>
        <w:t xml:space="preserve"> importance of the </w:t>
      </w:r>
      <w:proofErr w:type="spellStart"/>
      <w:r w:rsidRPr="009265A2">
        <w:rPr>
          <w:i/>
        </w:rPr>
        <w:t>i</w:t>
      </w:r>
      <w:r w:rsidRPr="008558B6">
        <w:rPr>
          <w:i/>
          <w:vertAlign w:val="subscript"/>
        </w:rPr>
        <w:t>th</w:t>
      </w:r>
      <w:proofErr w:type="spellEnd"/>
      <w:r>
        <w:t xml:space="preserve"> indicator</w:t>
      </w:r>
      <w:r>
        <w:rPr>
          <w:i/>
        </w:rPr>
        <w:t xml:space="preserve">, </w:t>
      </w:r>
      <w:proofErr w:type="spellStart"/>
      <w:r>
        <w:rPr>
          <w:i/>
        </w:rPr>
        <w:t>i</w:t>
      </w:r>
      <w:proofErr w:type="spellEnd"/>
      <w:r>
        <w:rPr>
          <w:i/>
        </w:rPr>
        <w:t xml:space="preserve"> </w:t>
      </w:r>
      <w:r>
        <w:rPr>
          <w:rFonts w:ascii="Cambria Math" w:hAnsi="Cambria Math" w:cs="Cambria Math"/>
          <w:color w:val="202124"/>
          <w:sz w:val="21"/>
          <w:szCs w:val="21"/>
          <w:shd w:val="clear" w:color="auto" w:fill="FFFFFF"/>
        </w:rPr>
        <w:t>∈</w:t>
      </w:r>
      <w:r w:rsidRPr="009B5792">
        <w:t xml:space="preserve"> [</w:t>
      </w:r>
      <w:r>
        <w:t>1, 2, … , 20</w:t>
      </w:r>
      <w:r w:rsidRPr="009B5792">
        <w:t>]</w:t>
      </w:r>
      <w:r>
        <w:t>;</w:t>
      </w:r>
    </w:p>
    <w:p w:rsidR="009265A2" w:rsidRDefault="00F326AA" w:rsidP="009265A2">
      <w:pPr>
        <w:pStyle w:val="CETListbullets"/>
        <w:numPr>
          <w:ilvl w:val="0"/>
          <w:numId w:val="13"/>
        </w:numPr>
      </w:pPr>
      <w:proofErr w:type="spellStart"/>
      <w:r>
        <w:rPr>
          <w:i/>
        </w:rPr>
        <w:t>Perf</w:t>
      </w:r>
      <w:r w:rsidRPr="009265A2">
        <w:rPr>
          <w:i/>
          <w:vertAlign w:val="subscript"/>
        </w:rPr>
        <w:t>i</w:t>
      </w:r>
      <w:proofErr w:type="spellEnd"/>
      <w:r>
        <w:rPr>
          <w:i/>
        </w:rPr>
        <w:t xml:space="preserve"> =</w:t>
      </w:r>
      <w:r>
        <w:t xml:space="preserve"> performance of the </w:t>
      </w:r>
      <w:proofErr w:type="spellStart"/>
      <w:r w:rsidR="008558B6" w:rsidRPr="009265A2">
        <w:rPr>
          <w:i/>
        </w:rPr>
        <w:t>i</w:t>
      </w:r>
      <w:r w:rsidR="008558B6" w:rsidRPr="008558B6">
        <w:rPr>
          <w:i/>
          <w:vertAlign w:val="subscript"/>
        </w:rPr>
        <w:t>th</w:t>
      </w:r>
      <w:proofErr w:type="spellEnd"/>
      <w:r w:rsidR="008558B6">
        <w:t xml:space="preserve"> </w:t>
      </w:r>
      <w:r>
        <w:t>indicator</w:t>
      </w:r>
      <w:r w:rsidR="009B5792">
        <w:rPr>
          <w:i/>
        </w:rPr>
        <w:t xml:space="preserve">, </w:t>
      </w:r>
      <w:proofErr w:type="spellStart"/>
      <w:r w:rsidR="009B5792">
        <w:rPr>
          <w:i/>
        </w:rPr>
        <w:t>i</w:t>
      </w:r>
      <w:proofErr w:type="spellEnd"/>
      <w:r w:rsidR="009B5792">
        <w:rPr>
          <w:i/>
        </w:rPr>
        <w:t xml:space="preserve"> </w:t>
      </w:r>
      <w:r w:rsidR="009B5792">
        <w:rPr>
          <w:rFonts w:ascii="Cambria Math" w:hAnsi="Cambria Math" w:cs="Cambria Math"/>
          <w:color w:val="202124"/>
          <w:sz w:val="21"/>
          <w:szCs w:val="21"/>
          <w:shd w:val="clear" w:color="auto" w:fill="FFFFFF"/>
        </w:rPr>
        <w:t>∈</w:t>
      </w:r>
      <w:r w:rsidR="009B5792" w:rsidRPr="009B5792">
        <w:t xml:space="preserve"> [</w:t>
      </w:r>
      <w:r w:rsidR="009B5792">
        <w:t xml:space="preserve">1, 2, </w:t>
      </w:r>
      <w:r>
        <w:t xml:space="preserve">… </w:t>
      </w:r>
      <w:r w:rsidR="009B5792">
        <w:t xml:space="preserve">, </w:t>
      </w:r>
      <w:r>
        <w:t>20</w:t>
      </w:r>
      <w:r w:rsidR="009B5792" w:rsidRPr="009B5792">
        <w:t>]</w:t>
      </w:r>
      <w:r>
        <w:t>;</w:t>
      </w:r>
    </w:p>
    <w:p w:rsidR="009265A2" w:rsidRDefault="00F326AA" w:rsidP="009265A2">
      <w:pPr>
        <w:pStyle w:val="CETListbullets"/>
        <w:numPr>
          <w:ilvl w:val="0"/>
          <w:numId w:val="13"/>
        </w:numPr>
      </w:pPr>
      <w:proofErr w:type="spellStart"/>
      <w:r w:rsidRPr="009265A2">
        <w:rPr>
          <w:i/>
        </w:rPr>
        <w:t>Max</w:t>
      </w:r>
      <w:r w:rsidRPr="009265A2">
        <w:rPr>
          <w:i/>
          <w:vertAlign w:val="subscript"/>
        </w:rPr>
        <w:t>perf</w:t>
      </w:r>
      <w:proofErr w:type="spellEnd"/>
      <w:r>
        <w:t xml:space="preserve"> = maximum possible </w:t>
      </w:r>
      <w:r w:rsidR="00C52823">
        <w:t>individua</w:t>
      </w:r>
      <w:r>
        <w:t xml:space="preserve">l performance = </w:t>
      </w:r>
      <w:r w:rsidR="00C52823">
        <w:t>5</w:t>
      </w:r>
      <w:r>
        <w:t>; and</w:t>
      </w:r>
    </w:p>
    <w:p w:rsidR="009265A2" w:rsidRDefault="00F326AA" w:rsidP="009265A2">
      <w:pPr>
        <w:pStyle w:val="CETListbullets"/>
        <w:numPr>
          <w:ilvl w:val="0"/>
          <w:numId w:val="13"/>
        </w:numPr>
      </w:pPr>
      <w:proofErr w:type="spellStart"/>
      <w:r w:rsidRPr="009265A2">
        <w:rPr>
          <w:i/>
        </w:rPr>
        <w:t>M</w:t>
      </w:r>
      <w:r>
        <w:rPr>
          <w:i/>
        </w:rPr>
        <w:t>in</w:t>
      </w:r>
      <w:r w:rsidRPr="009265A2">
        <w:rPr>
          <w:i/>
          <w:vertAlign w:val="subscript"/>
        </w:rPr>
        <w:t>perf</w:t>
      </w:r>
      <w:proofErr w:type="spellEnd"/>
      <w:r>
        <w:t xml:space="preserve"> = minimum possible </w:t>
      </w:r>
      <w:r w:rsidR="00C52823">
        <w:t>individua</w:t>
      </w:r>
      <w:r>
        <w:t xml:space="preserve">l performance = </w:t>
      </w:r>
      <w:proofErr w:type="gramStart"/>
      <w:r w:rsidR="00C52823">
        <w:t>1</w:t>
      </w:r>
      <w:proofErr w:type="gramEnd"/>
      <w:r>
        <w:t>.</w:t>
      </w:r>
    </w:p>
    <w:p w:rsidR="009265A2" w:rsidRPr="008A6956" w:rsidRDefault="009265A2" w:rsidP="00600535">
      <w:pPr>
        <w:pStyle w:val="CETBodytext"/>
      </w:pPr>
    </w:p>
    <w:p w:rsidR="00C247EB" w:rsidRDefault="00F326AA" w:rsidP="00600535">
      <w:pPr>
        <w:pStyle w:val="CETBodytext"/>
        <w:rPr>
          <w:lang w:val="en-GB"/>
        </w:rPr>
      </w:pPr>
      <w:r>
        <w:rPr>
          <w:lang w:val="en-GB"/>
        </w:rPr>
        <w:t xml:space="preserve">Such a result </w:t>
      </w:r>
      <w:r w:rsidR="003C78FF" w:rsidRPr="005B5572">
        <w:rPr>
          <w:lang w:val="en-GB"/>
        </w:rPr>
        <w:t>means that, although balance</w:t>
      </w:r>
      <w:r w:rsidR="00726D01">
        <w:rPr>
          <w:lang w:val="en-GB"/>
        </w:rPr>
        <w:t>d</w:t>
      </w:r>
      <w:r w:rsidR="003C78FF" w:rsidRPr="005B5572">
        <w:rPr>
          <w:lang w:val="en-GB"/>
        </w:rPr>
        <w:t xml:space="preserve">, the overall </w:t>
      </w:r>
      <w:r>
        <w:rPr>
          <w:lang w:val="en-GB"/>
        </w:rPr>
        <w:t xml:space="preserve">operational </w:t>
      </w:r>
      <w:r w:rsidR="003C78FF" w:rsidRPr="005B5572">
        <w:rPr>
          <w:lang w:val="en-GB"/>
        </w:rPr>
        <w:t>performance barely overco</w:t>
      </w:r>
      <w:r w:rsidR="003C78FF">
        <w:rPr>
          <w:lang w:val="en-GB"/>
        </w:rPr>
        <w:t xml:space="preserve">mes half of </w:t>
      </w:r>
      <w:r w:rsidR="00776389">
        <w:rPr>
          <w:lang w:val="en-GB"/>
        </w:rPr>
        <w:t xml:space="preserve">the </w:t>
      </w:r>
      <w:r w:rsidR="009A1A71">
        <w:rPr>
          <w:lang w:val="en-GB"/>
        </w:rPr>
        <w:t>top</w:t>
      </w:r>
      <w:r w:rsidR="002974F6">
        <w:rPr>
          <w:lang w:val="en-GB"/>
        </w:rPr>
        <w:t xml:space="preserve">, </w:t>
      </w:r>
      <w:r w:rsidR="00726D01">
        <w:rPr>
          <w:lang w:val="en-GB"/>
        </w:rPr>
        <w:t>l</w:t>
      </w:r>
      <w:r w:rsidR="002974F6">
        <w:rPr>
          <w:lang w:val="en-GB"/>
        </w:rPr>
        <w:t>ea</w:t>
      </w:r>
      <w:r w:rsidR="00726D01">
        <w:rPr>
          <w:lang w:val="en-GB"/>
        </w:rPr>
        <w:t>v</w:t>
      </w:r>
      <w:r w:rsidR="002974F6">
        <w:rPr>
          <w:lang w:val="en-GB"/>
        </w:rPr>
        <w:t xml:space="preserve">ing </w:t>
      </w:r>
      <w:r w:rsidR="00776389">
        <w:rPr>
          <w:lang w:val="en-GB"/>
        </w:rPr>
        <w:t>room for improvement.</w:t>
      </w:r>
      <w:r w:rsidR="00624F97">
        <w:rPr>
          <w:lang w:val="en-GB"/>
        </w:rPr>
        <w:t xml:space="preserve"> In tree-like structures, a </w:t>
      </w:r>
      <w:r w:rsidR="002974F6">
        <w:rPr>
          <w:lang w:val="en-GB"/>
        </w:rPr>
        <w:t>usual</w:t>
      </w:r>
      <w:r w:rsidR="00624F97">
        <w:rPr>
          <w:lang w:val="en-GB"/>
        </w:rPr>
        <w:t xml:space="preserve"> assumption is to admit high correlation among indicators of the same construct and low correlation </w:t>
      </w:r>
      <w:r w:rsidR="002974F6">
        <w:rPr>
          <w:lang w:val="en-GB"/>
        </w:rPr>
        <w:t>otherwise</w:t>
      </w:r>
      <w:r w:rsidR="00624F97">
        <w:rPr>
          <w:lang w:val="en-GB"/>
        </w:rPr>
        <w:t xml:space="preserve"> (Sellitto et al., 2015). </w:t>
      </w:r>
      <w:r w:rsidR="00161D0B">
        <w:rPr>
          <w:lang w:val="en-GB"/>
        </w:rPr>
        <w:t>For example, recover</w:t>
      </w:r>
      <w:r w:rsidR="002974F6">
        <w:rPr>
          <w:lang w:val="en-GB"/>
        </w:rPr>
        <w:t>ing</w:t>
      </w:r>
      <w:r w:rsidR="00161D0B">
        <w:rPr>
          <w:lang w:val="en-GB"/>
        </w:rPr>
        <w:t xml:space="preserve"> hot water from a process improves simultaneously the performance of both heat and fluids indicators</w:t>
      </w:r>
      <w:r w:rsidR="00D94FE5">
        <w:rPr>
          <w:lang w:val="en-GB"/>
        </w:rPr>
        <w:t xml:space="preserve"> but has little or no effect in other constructs</w:t>
      </w:r>
      <w:r w:rsidR="00161D0B">
        <w:rPr>
          <w:lang w:val="en-GB"/>
        </w:rPr>
        <w:t xml:space="preserve">. </w:t>
      </w:r>
      <w:r w:rsidR="003C78FF">
        <w:rPr>
          <w:lang w:val="en-GB"/>
        </w:rPr>
        <w:t xml:space="preserve">The same would be true regarding </w:t>
      </w:r>
      <w:r w:rsidR="002974F6">
        <w:rPr>
          <w:lang w:val="en-GB"/>
        </w:rPr>
        <w:t>the</w:t>
      </w:r>
      <w:r w:rsidR="003C78FF">
        <w:rPr>
          <w:lang w:val="en-GB"/>
        </w:rPr>
        <w:t xml:space="preserve"> implement</w:t>
      </w:r>
      <w:r w:rsidR="002974F6">
        <w:rPr>
          <w:lang w:val="en-GB"/>
        </w:rPr>
        <w:t>at</w:t>
      </w:r>
      <w:r w:rsidR="003C78FF">
        <w:rPr>
          <w:lang w:val="en-GB"/>
        </w:rPr>
        <w:t>i</w:t>
      </w:r>
      <w:r w:rsidR="002974F6">
        <w:rPr>
          <w:lang w:val="en-GB"/>
        </w:rPr>
        <w:t>on</w:t>
      </w:r>
      <w:r w:rsidR="003C78FF">
        <w:rPr>
          <w:lang w:val="en-GB"/>
        </w:rPr>
        <w:t xml:space="preserve"> </w:t>
      </w:r>
      <w:r w:rsidR="002974F6">
        <w:rPr>
          <w:lang w:val="en-GB"/>
        </w:rPr>
        <w:t xml:space="preserve">of </w:t>
      </w:r>
      <w:r w:rsidR="003C78FF">
        <w:rPr>
          <w:lang w:val="en-GB"/>
        </w:rPr>
        <w:t xml:space="preserve">a communication channel with the stakeholders. It may improve the performance of more than one indicator in the second construct, such as compliance or social responsibility, but </w:t>
      </w:r>
      <w:r>
        <w:rPr>
          <w:lang w:val="en-GB"/>
        </w:rPr>
        <w:t xml:space="preserve">would have </w:t>
      </w:r>
      <w:r w:rsidR="002974F6">
        <w:rPr>
          <w:lang w:val="en-GB"/>
        </w:rPr>
        <w:t>no</w:t>
      </w:r>
      <w:r>
        <w:rPr>
          <w:lang w:val="en-GB"/>
        </w:rPr>
        <w:t xml:space="preserve"> effect</w:t>
      </w:r>
      <w:r w:rsidR="002974F6">
        <w:rPr>
          <w:lang w:val="en-GB"/>
        </w:rPr>
        <w:t xml:space="preserve"> </w:t>
      </w:r>
      <w:r w:rsidR="003C78FF">
        <w:rPr>
          <w:lang w:val="en-GB"/>
        </w:rPr>
        <w:t>outside the construct.</w:t>
      </w:r>
    </w:p>
    <w:p w:rsidR="009115E4" w:rsidRDefault="00F326AA" w:rsidP="009115E4">
      <w:pPr>
        <w:pStyle w:val="CETBodytext"/>
        <w:rPr>
          <w:lang w:val="en-GB"/>
        </w:rPr>
      </w:pPr>
      <w:r>
        <w:rPr>
          <w:lang w:val="en-GB"/>
        </w:rPr>
        <w:t>Since actions targeting one indicator may influence others in the same construct,</w:t>
      </w:r>
      <w:r w:rsidR="00624F97">
        <w:rPr>
          <w:lang w:val="en-GB"/>
        </w:rPr>
        <w:t xml:space="preserve"> it is useful to </w:t>
      </w:r>
      <w:r w:rsidR="00DC1532">
        <w:rPr>
          <w:lang w:val="en-GB"/>
        </w:rPr>
        <w:t xml:space="preserve">focus on </w:t>
      </w:r>
      <w:r w:rsidR="00C247EB">
        <w:rPr>
          <w:lang w:val="en-GB"/>
        </w:rPr>
        <w:t>th</w:t>
      </w:r>
      <w:r w:rsidR="00FA6AAF">
        <w:rPr>
          <w:lang w:val="en-GB"/>
        </w:rPr>
        <w:t xml:space="preserve">e constructs </w:t>
      </w:r>
      <w:r w:rsidR="00C247EB">
        <w:rPr>
          <w:lang w:val="en-GB"/>
        </w:rPr>
        <w:t xml:space="preserve">with the </w:t>
      </w:r>
      <w:r w:rsidR="00624F97">
        <w:rPr>
          <w:lang w:val="en-GB"/>
        </w:rPr>
        <w:t>major gap</w:t>
      </w:r>
      <w:r>
        <w:rPr>
          <w:lang w:val="en-GB"/>
        </w:rPr>
        <w:t>s.</w:t>
      </w:r>
      <w:r w:rsidR="00624F97">
        <w:rPr>
          <w:lang w:val="en-GB"/>
        </w:rPr>
        <w:t xml:space="preserve"> </w:t>
      </w:r>
      <w:r>
        <w:rPr>
          <w:lang w:val="en-GB"/>
        </w:rPr>
        <w:t>In th</w:t>
      </w:r>
      <w:r w:rsidR="00DC1532">
        <w:rPr>
          <w:lang w:val="en-GB"/>
        </w:rPr>
        <w:t>e EIP</w:t>
      </w:r>
      <w:r>
        <w:rPr>
          <w:lang w:val="en-GB"/>
        </w:rPr>
        <w:t>, those constructs are internal relationships and energy recovery</w:t>
      </w:r>
      <w:r w:rsidR="00624F97">
        <w:rPr>
          <w:lang w:val="en-GB"/>
        </w:rPr>
        <w:t>.</w:t>
      </w:r>
      <w:r>
        <w:rPr>
          <w:lang w:val="en-GB"/>
        </w:rPr>
        <w:t xml:space="preserve"> </w:t>
      </w:r>
      <w:r w:rsidR="00C247EB">
        <w:rPr>
          <w:lang w:val="en-GB"/>
        </w:rPr>
        <w:t>For the same managerial effort</w:t>
      </w:r>
      <w:r w:rsidR="00DC1532">
        <w:rPr>
          <w:lang w:val="en-GB"/>
        </w:rPr>
        <w:t>, technology development,</w:t>
      </w:r>
      <w:r w:rsidR="00C247EB">
        <w:rPr>
          <w:lang w:val="en-GB"/>
        </w:rPr>
        <w:t xml:space="preserve"> or financial investment, s</w:t>
      </w:r>
      <w:r>
        <w:rPr>
          <w:lang w:val="en-GB"/>
        </w:rPr>
        <w:t xml:space="preserve">trategic actions outside these </w:t>
      </w:r>
      <w:r w:rsidR="00C247EB">
        <w:rPr>
          <w:lang w:val="en-GB"/>
        </w:rPr>
        <w:t xml:space="preserve">two </w:t>
      </w:r>
      <w:r>
        <w:rPr>
          <w:lang w:val="en-GB"/>
        </w:rPr>
        <w:t xml:space="preserve">constructs may produce fewer effects on the overall </w:t>
      </w:r>
      <w:r w:rsidR="00DC1532">
        <w:rPr>
          <w:lang w:val="en-GB"/>
        </w:rPr>
        <w:t xml:space="preserve">operational </w:t>
      </w:r>
      <w:r>
        <w:rPr>
          <w:lang w:val="en-GB"/>
        </w:rPr>
        <w:t>performance</w:t>
      </w:r>
      <w:r w:rsidR="00C247EB">
        <w:rPr>
          <w:lang w:val="en-GB"/>
        </w:rPr>
        <w:t>.</w:t>
      </w:r>
      <w:r w:rsidR="00624F97">
        <w:rPr>
          <w:lang w:val="en-GB"/>
        </w:rPr>
        <w:t xml:space="preserve"> </w:t>
      </w:r>
      <w:r>
        <w:rPr>
          <w:lang w:val="en-GB"/>
        </w:rPr>
        <w:t xml:space="preserve">Some examples of strategic actions that the management body should immediately start to boost internal relationships are a structured program to stimulate communication and technology </w:t>
      </w:r>
      <w:r w:rsidR="00DC1532">
        <w:rPr>
          <w:lang w:val="en-GB"/>
        </w:rPr>
        <w:t xml:space="preserve">development and </w:t>
      </w:r>
      <w:r>
        <w:rPr>
          <w:lang w:val="en-GB"/>
        </w:rPr>
        <w:t xml:space="preserve">exchange among members, a systematic schedule of </w:t>
      </w:r>
      <w:r w:rsidR="00DC1532">
        <w:rPr>
          <w:lang w:val="en-GB"/>
        </w:rPr>
        <w:t xml:space="preserve">manager </w:t>
      </w:r>
      <w:r>
        <w:rPr>
          <w:lang w:val="en-GB"/>
        </w:rPr>
        <w:t>meetings to exchange experiences, and the implementation of an integrated information system</w:t>
      </w:r>
      <w:r w:rsidR="00DC1532">
        <w:rPr>
          <w:lang w:val="en-GB"/>
        </w:rPr>
        <w:t xml:space="preserve"> able to exchange and update information in real-time</w:t>
      </w:r>
      <w:r>
        <w:rPr>
          <w:lang w:val="en-GB"/>
        </w:rPr>
        <w:t xml:space="preserve">. To boost energy recovery, management should implement a systematic program to receive </w:t>
      </w:r>
      <w:r w:rsidR="0048538E">
        <w:rPr>
          <w:lang w:val="en-GB"/>
        </w:rPr>
        <w:t xml:space="preserve">larger volumes of </w:t>
      </w:r>
      <w:r>
        <w:rPr>
          <w:lang w:val="en-GB"/>
        </w:rPr>
        <w:t xml:space="preserve">MSW from </w:t>
      </w:r>
      <w:r w:rsidR="0048538E">
        <w:rPr>
          <w:lang w:val="en-GB"/>
        </w:rPr>
        <w:t xml:space="preserve">local, nearby </w:t>
      </w:r>
      <w:r>
        <w:rPr>
          <w:lang w:val="en-GB"/>
        </w:rPr>
        <w:t xml:space="preserve">communities, not </w:t>
      </w:r>
      <w:r w:rsidR="00DC1532">
        <w:rPr>
          <w:lang w:val="en-GB"/>
        </w:rPr>
        <w:t>only from</w:t>
      </w:r>
      <w:r>
        <w:rPr>
          <w:lang w:val="en-GB"/>
        </w:rPr>
        <w:t xml:space="preserve"> </w:t>
      </w:r>
      <w:r w:rsidR="00DC1532">
        <w:rPr>
          <w:lang w:val="en-GB"/>
        </w:rPr>
        <w:t xml:space="preserve">the local </w:t>
      </w:r>
      <w:r>
        <w:rPr>
          <w:lang w:val="en-GB"/>
        </w:rPr>
        <w:t>industrial activity</w:t>
      </w:r>
      <w:r w:rsidR="00DC1532">
        <w:rPr>
          <w:lang w:val="en-GB"/>
        </w:rPr>
        <w:t xml:space="preserve"> of the region</w:t>
      </w:r>
      <w:r>
        <w:rPr>
          <w:lang w:val="en-GB"/>
        </w:rPr>
        <w:t>, and biomass from the rural activity, which is intensive in the region.</w:t>
      </w:r>
      <w:r w:rsidR="00DC1532">
        <w:rPr>
          <w:lang w:val="en-GB"/>
        </w:rPr>
        <w:t xml:space="preserve"> Such actions immediately increase performance with a low managerial implementation effort.</w:t>
      </w:r>
      <w:r>
        <w:rPr>
          <w:lang w:val="en-GB"/>
        </w:rPr>
        <w:t xml:space="preserve">    </w:t>
      </w:r>
      <w:r w:rsidR="00624F97">
        <w:rPr>
          <w:lang w:val="en-GB"/>
        </w:rPr>
        <w:t xml:space="preserve"> </w:t>
      </w:r>
    </w:p>
    <w:p w:rsidR="00600535" w:rsidRPr="00B57B36" w:rsidRDefault="00F326AA" w:rsidP="00600535">
      <w:pPr>
        <w:pStyle w:val="CETHeading1"/>
        <w:rPr>
          <w:lang w:val="en-GB"/>
        </w:rPr>
      </w:pPr>
      <w:r w:rsidRPr="00B57B36">
        <w:rPr>
          <w:lang w:val="en-GB"/>
        </w:rPr>
        <w:t>Conclusions</w:t>
      </w:r>
    </w:p>
    <w:p w:rsidR="001161BD" w:rsidRPr="008929F4" w:rsidRDefault="00F326AA" w:rsidP="00600535">
      <w:pPr>
        <w:pStyle w:val="CETBodytext"/>
        <w:rPr>
          <w:lang w:val="en-GB"/>
        </w:rPr>
      </w:pPr>
      <w:r w:rsidRPr="008929F4">
        <w:rPr>
          <w:lang w:val="en-GB"/>
        </w:rPr>
        <w:t xml:space="preserve">The </w:t>
      </w:r>
      <w:r w:rsidR="009115E4" w:rsidRPr="008929F4">
        <w:rPr>
          <w:lang w:val="en-GB"/>
        </w:rPr>
        <w:t xml:space="preserve">main conclusion is that </w:t>
      </w:r>
      <w:r w:rsidR="003473AE">
        <w:rPr>
          <w:lang w:val="en-GB"/>
        </w:rPr>
        <w:t xml:space="preserve">even if </w:t>
      </w:r>
      <w:r w:rsidR="009115E4" w:rsidRPr="008929F4">
        <w:rPr>
          <w:lang w:val="en-GB"/>
        </w:rPr>
        <w:t>a balance exists in the strategic resources allocation</w:t>
      </w:r>
      <w:r w:rsidRPr="008929F4">
        <w:rPr>
          <w:lang w:val="en-GB"/>
        </w:rPr>
        <w:t xml:space="preserve"> in the EIP</w:t>
      </w:r>
      <w:r w:rsidR="009115E4" w:rsidRPr="008929F4">
        <w:rPr>
          <w:lang w:val="en-GB"/>
        </w:rPr>
        <w:t>, the overall performance is not satisfactory. The procedure pointed out that the EIP achieves only 59 % of the maximum performance it should achieve</w:t>
      </w:r>
      <w:r w:rsidRPr="008929F4">
        <w:rPr>
          <w:lang w:val="en-GB"/>
        </w:rPr>
        <w:t>. Therefore, control</w:t>
      </w:r>
      <w:r w:rsidR="009115E4" w:rsidRPr="008929F4">
        <w:rPr>
          <w:lang w:val="en-GB"/>
        </w:rPr>
        <w:t xml:space="preserve"> actions are due</w:t>
      </w:r>
      <w:r w:rsidR="00606437">
        <w:rPr>
          <w:lang w:val="en-GB"/>
        </w:rPr>
        <w:t xml:space="preserve"> mainly to the constructs with larger gaps (mean importance – mean perfo</w:t>
      </w:r>
      <w:r w:rsidR="0048538E">
        <w:rPr>
          <w:lang w:val="en-GB"/>
        </w:rPr>
        <w:t>r</w:t>
      </w:r>
      <w:r w:rsidR="00606437">
        <w:rPr>
          <w:lang w:val="en-GB"/>
        </w:rPr>
        <w:t>mance).</w:t>
      </w:r>
      <w:r w:rsidR="009115E4" w:rsidRPr="008929F4">
        <w:rPr>
          <w:lang w:val="en-GB"/>
        </w:rPr>
        <w:t xml:space="preserve">  </w:t>
      </w:r>
      <w:r w:rsidR="00EC1977" w:rsidRPr="008929F4">
        <w:rPr>
          <w:lang w:val="en-GB"/>
        </w:rPr>
        <w:t xml:space="preserve">Internal relationships and energy recovery are the </w:t>
      </w:r>
      <w:r w:rsidR="00EC1977">
        <w:rPr>
          <w:lang w:val="en-GB"/>
        </w:rPr>
        <w:t>constructs with larger gaps</w:t>
      </w:r>
      <w:r w:rsidR="00EC1977" w:rsidRPr="008929F4">
        <w:rPr>
          <w:lang w:val="en-GB"/>
        </w:rPr>
        <w:t xml:space="preserve"> </w:t>
      </w:r>
      <w:r w:rsidR="00EC1977">
        <w:rPr>
          <w:lang w:val="en-GB"/>
        </w:rPr>
        <w:t>and should be priorities for control actions aiming at</w:t>
      </w:r>
      <w:r w:rsidR="00EC1977" w:rsidRPr="008929F4">
        <w:rPr>
          <w:lang w:val="en-GB"/>
        </w:rPr>
        <w:t xml:space="preserve"> increasing performance.</w:t>
      </w:r>
    </w:p>
    <w:p w:rsidR="00B848D2" w:rsidRPr="00326823" w:rsidRDefault="00F326AA" w:rsidP="00326823">
      <w:pPr>
        <w:pStyle w:val="CETBodytext"/>
        <w:rPr>
          <w:lang w:val="en-GB"/>
        </w:rPr>
      </w:pPr>
      <w:r w:rsidRPr="008929F4">
        <w:rPr>
          <w:color w:val="000000" w:themeColor="text1"/>
        </w:rPr>
        <w:t xml:space="preserve">The study opens room for more research. </w:t>
      </w:r>
      <w:r w:rsidR="001161BD" w:rsidRPr="008929F4">
        <w:rPr>
          <w:color w:val="000000" w:themeColor="text1"/>
        </w:rPr>
        <w:t xml:space="preserve">Further research </w:t>
      </w:r>
      <w:r w:rsidRPr="008929F4">
        <w:rPr>
          <w:color w:val="000000" w:themeColor="text1"/>
        </w:rPr>
        <w:t xml:space="preserve">should </w:t>
      </w:r>
      <w:r w:rsidR="001161BD" w:rsidRPr="008929F4">
        <w:rPr>
          <w:color w:val="000000" w:themeColor="text1"/>
        </w:rPr>
        <w:t>inclu</w:t>
      </w:r>
      <w:r w:rsidRPr="008929F4">
        <w:rPr>
          <w:color w:val="000000" w:themeColor="text1"/>
        </w:rPr>
        <w:t>de</w:t>
      </w:r>
      <w:r w:rsidR="001161BD" w:rsidRPr="008929F4">
        <w:rPr>
          <w:color w:val="000000" w:themeColor="text1"/>
        </w:rPr>
        <w:t xml:space="preserve"> </w:t>
      </w:r>
      <w:proofErr w:type="spellStart"/>
      <w:r w:rsidR="001161BD" w:rsidRPr="008929F4">
        <w:rPr>
          <w:color w:val="000000" w:themeColor="text1"/>
        </w:rPr>
        <w:t>multicriteria</w:t>
      </w:r>
      <w:proofErr w:type="spellEnd"/>
      <w:r w:rsidR="001161BD" w:rsidRPr="008929F4">
        <w:rPr>
          <w:color w:val="000000" w:themeColor="text1"/>
        </w:rPr>
        <w:t xml:space="preserve"> decision methods for evaluating the importance and more respondents, which will allow the refinement of the metric, mainly regarding multivariate analysis and multicollinearity in indicators. </w:t>
      </w:r>
      <w:r w:rsidR="008929F4" w:rsidRPr="008929F4">
        <w:rPr>
          <w:color w:val="000000" w:themeColor="text1"/>
        </w:rPr>
        <w:t>M</w:t>
      </w:r>
      <w:r w:rsidR="001161BD" w:rsidRPr="008929F4">
        <w:rPr>
          <w:color w:val="000000" w:themeColor="text1"/>
        </w:rPr>
        <w:t xml:space="preserve">ulticollinearity </w:t>
      </w:r>
      <w:r w:rsidRPr="008929F4">
        <w:rPr>
          <w:color w:val="000000" w:themeColor="text1"/>
        </w:rPr>
        <w:t>should</w:t>
      </w:r>
      <w:r w:rsidR="001161BD" w:rsidRPr="008929F4">
        <w:rPr>
          <w:color w:val="000000" w:themeColor="text1"/>
        </w:rPr>
        <w:t xml:space="preserve"> be verified by cross-loading (correlation with more than one construct), wrong-loading (correlation with the wrong construct), and </w:t>
      </w:r>
      <w:proofErr w:type="gramStart"/>
      <w:r w:rsidR="001161BD" w:rsidRPr="008929F4">
        <w:rPr>
          <w:color w:val="000000" w:themeColor="text1"/>
        </w:rPr>
        <w:t>weak-loading</w:t>
      </w:r>
      <w:proofErr w:type="gramEnd"/>
      <w:r w:rsidR="001161BD" w:rsidRPr="008929F4">
        <w:rPr>
          <w:color w:val="000000" w:themeColor="text1"/>
        </w:rPr>
        <w:t xml:space="preserve"> (</w:t>
      </w:r>
      <w:r w:rsidR="008929F4" w:rsidRPr="008929F4">
        <w:rPr>
          <w:color w:val="000000" w:themeColor="text1"/>
        </w:rPr>
        <w:t xml:space="preserve">no </w:t>
      </w:r>
      <w:r w:rsidR="001161BD" w:rsidRPr="008929F4">
        <w:rPr>
          <w:color w:val="000000" w:themeColor="text1"/>
        </w:rPr>
        <w:t xml:space="preserve">correlation) and whenever possible forewarned. The </w:t>
      </w:r>
      <w:r w:rsidR="008929F4" w:rsidRPr="008929F4">
        <w:rPr>
          <w:color w:val="000000" w:themeColor="text1"/>
        </w:rPr>
        <w:t>solution may require</w:t>
      </w:r>
      <w:r w:rsidR="001161BD" w:rsidRPr="008929F4">
        <w:rPr>
          <w:color w:val="000000" w:themeColor="text1"/>
        </w:rPr>
        <w:t xml:space="preserve"> relocation, reconfiguration, or elimination of indicator</w:t>
      </w:r>
      <w:r w:rsidR="008929F4" w:rsidRPr="008929F4">
        <w:rPr>
          <w:color w:val="000000" w:themeColor="text1"/>
        </w:rPr>
        <w:t>s</w:t>
      </w:r>
      <w:r w:rsidR="001161BD" w:rsidRPr="008929F4">
        <w:rPr>
          <w:color w:val="000000" w:themeColor="text1"/>
        </w:rPr>
        <w:t xml:space="preserve">. These actions lead to a more robust </w:t>
      </w:r>
      <w:r w:rsidR="00290C6C">
        <w:rPr>
          <w:color w:val="000000" w:themeColor="text1"/>
        </w:rPr>
        <w:t>assessment</w:t>
      </w:r>
      <w:r w:rsidR="008929F4" w:rsidRPr="008929F4">
        <w:rPr>
          <w:color w:val="000000" w:themeColor="text1"/>
        </w:rPr>
        <w:t xml:space="preserve"> procedure</w:t>
      </w:r>
      <w:r w:rsidR="001161BD" w:rsidRPr="008929F4">
        <w:rPr>
          <w:color w:val="000000" w:themeColor="text1"/>
        </w:rPr>
        <w:t xml:space="preserve"> that can serve as a strategic feedback link for the performance management of eco-industrial parks</w:t>
      </w:r>
      <w:r w:rsidR="00326823">
        <w:rPr>
          <w:color w:val="000000" w:themeColor="text1"/>
        </w:rPr>
        <w:t>.</w:t>
      </w:r>
    </w:p>
    <w:p w:rsidR="00600535" w:rsidRPr="00B57B36" w:rsidRDefault="00F326AA" w:rsidP="00600535">
      <w:pPr>
        <w:pStyle w:val="CETAcknowledgementstitle"/>
      </w:pPr>
      <w:r w:rsidRPr="00B57B36">
        <w:t>Acknowledgments</w:t>
      </w:r>
    </w:p>
    <w:p w:rsidR="00600535" w:rsidRPr="00B57B36" w:rsidRDefault="00F326AA" w:rsidP="00600535">
      <w:pPr>
        <w:pStyle w:val="CETBodytext"/>
        <w:rPr>
          <w:lang w:val="en-GB"/>
        </w:rPr>
      </w:pPr>
      <w:r>
        <w:rPr>
          <w:lang w:val="en-GB"/>
        </w:rPr>
        <w:t xml:space="preserve">The research was funded by </w:t>
      </w:r>
      <w:r w:rsidR="005227C9">
        <w:rPr>
          <w:lang w:val="en-GB"/>
        </w:rPr>
        <w:t>PROSUP/</w:t>
      </w:r>
      <w:r>
        <w:rPr>
          <w:lang w:val="en-GB"/>
        </w:rPr>
        <w:t xml:space="preserve">CAPES </w:t>
      </w:r>
      <w:r w:rsidR="006F6FB4">
        <w:rPr>
          <w:lang w:val="en-GB"/>
        </w:rPr>
        <w:t>(</w:t>
      </w:r>
      <w:r w:rsidR="00606437">
        <w:rPr>
          <w:lang w:val="en-GB"/>
        </w:rPr>
        <w:t>application</w:t>
      </w:r>
      <w:r w:rsidR="006F6FB4">
        <w:rPr>
          <w:lang w:val="en-GB"/>
        </w:rPr>
        <w:t xml:space="preserve"> number </w:t>
      </w:r>
      <w:r w:rsidR="005227C9" w:rsidRPr="005227C9">
        <w:rPr>
          <w:lang w:val="en-GB"/>
        </w:rPr>
        <w:t>3/2021</w:t>
      </w:r>
      <w:r w:rsidR="006F6FB4">
        <w:rPr>
          <w:lang w:val="en-GB"/>
        </w:rPr>
        <w:t>)</w:t>
      </w:r>
      <w:r w:rsidR="005227C9">
        <w:rPr>
          <w:lang w:val="en-GB"/>
        </w:rPr>
        <w:t>,</w:t>
      </w:r>
      <w:r>
        <w:rPr>
          <w:lang w:val="en-GB"/>
        </w:rPr>
        <w:t xml:space="preserve"> </w:t>
      </w:r>
      <w:proofErr w:type="spellStart"/>
      <w:r>
        <w:rPr>
          <w:lang w:val="en-GB"/>
        </w:rPr>
        <w:t>CNPq</w:t>
      </w:r>
      <w:proofErr w:type="spellEnd"/>
      <w:r w:rsidR="0037282E">
        <w:rPr>
          <w:lang w:val="en-GB"/>
        </w:rPr>
        <w:t xml:space="preserve"> (grant number </w:t>
      </w:r>
      <w:r w:rsidR="0037282E" w:rsidRPr="0037282E">
        <w:rPr>
          <w:lang w:val="en-GB"/>
        </w:rPr>
        <w:t>302570/2019-5</w:t>
      </w:r>
      <w:r w:rsidR="0037282E">
        <w:rPr>
          <w:lang w:val="en-GB"/>
        </w:rPr>
        <w:t>)</w:t>
      </w:r>
      <w:r>
        <w:rPr>
          <w:lang w:val="en-GB"/>
        </w:rPr>
        <w:t xml:space="preserve">, </w:t>
      </w:r>
      <w:r w:rsidR="005227C9">
        <w:rPr>
          <w:lang w:val="en-GB"/>
        </w:rPr>
        <w:t>bo</w:t>
      </w:r>
      <w:r>
        <w:rPr>
          <w:lang w:val="en-GB"/>
        </w:rPr>
        <w:t>th Brazilian research agencies, as well as by UNISINOS, a Jesuit Brazilian University</w:t>
      </w:r>
      <w:r w:rsidRPr="00B57B36">
        <w:rPr>
          <w:lang w:val="en-GB"/>
        </w:rPr>
        <w:t>.</w:t>
      </w:r>
    </w:p>
    <w:p w:rsidR="00600535" w:rsidRPr="00973121" w:rsidRDefault="00F326AA" w:rsidP="00600535">
      <w:pPr>
        <w:pStyle w:val="CETReference"/>
        <w:rPr>
          <w:lang w:val="en-US"/>
        </w:rPr>
      </w:pPr>
      <w:r w:rsidRPr="00973121">
        <w:rPr>
          <w:lang w:val="en-US"/>
        </w:rPr>
        <w:t>References</w:t>
      </w:r>
    </w:p>
    <w:p w:rsidR="009E1F1C" w:rsidRDefault="00F326AA" w:rsidP="004E1E4A">
      <w:pPr>
        <w:pStyle w:val="CETReferencetext"/>
      </w:pPr>
      <w:proofErr w:type="gramStart"/>
      <w:r w:rsidRPr="00AD3145">
        <w:rPr>
          <w:lang w:val="en-US"/>
        </w:rPr>
        <w:t xml:space="preserve">Abreu, M., </w:t>
      </w:r>
      <w:proofErr w:type="spellStart"/>
      <w:r w:rsidRPr="00AD3145">
        <w:rPr>
          <w:lang w:val="en-US"/>
        </w:rPr>
        <w:t>Mota</w:t>
      </w:r>
      <w:proofErr w:type="spellEnd"/>
      <w:r w:rsidRPr="00AD3145">
        <w:rPr>
          <w:lang w:val="en-US"/>
        </w:rPr>
        <w:t xml:space="preserve">, R., Paula, E. 2020, </w:t>
      </w:r>
      <w:r w:rsidRPr="00AD3145">
        <w:t>Identifying barriers and proposing a roadmap to develop industrial symbiosis projects.</w:t>
      </w:r>
      <w:proofErr w:type="gramEnd"/>
      <w:r w:rsidRPr="00AD3145">
        <w:t xml:space="preserve"> </w:t>
      </w:r>
      <w:r w:rsidRPr="00AD3145">
        <w:rPr>
          <w:rFonts w:cs="Arial"/>
          <w:iCs/>
          <w:color w:val="222222"/>
          <w:shd w:val="clear" w:color="auto" w:fill="FFFFFF"/>
        </w:rPr>
        <w:t>Brazilian Journal of Management</w:t>
      </w:r>
      <w:r w:rsidRPr="00AD3145">
        <w:t>, 13, 517-534.</w:t>
      </w:r>
    </w:p>
    <w:p w:rsidR="009E1F1C" w:rsidRPr="00AB6B45" w:rsidRDefault="00F326AA" w:rsidP="004E1E4A">
      <w:pPr>
        <w:pStyle w:val="CETReferencetext"/>
      </w:pPr>
      <w:r>
        <w:t>Ashton, W</w:t>
      </w:r>
      <w:r w:rsidRPr="00AB6B45">
        <w:t xml:space="preserve">. </w:t>
      </w:r>
      <w:r>
        <w:t xml:space="preserve">2008, </w:t>
      </w:r>
      <w:r w:rsidRPr="00AB6B45">
        <w:t>Understanding the organization of industrial ecosystems: A social network approach. Journal of Industrial Ecology, 12, 34-51.</w:t>
      </w:r>
    </w:p>
    <w:p w:rsidR="00E572B8" w:rsidRDefault="00E572B8" w:rsidP="009E1F1C">
      <w:pPr>
        <w:pStyle w:val="CETReferencetext"/>
      </w:pPr>
      <w:r w:rsidRPr="00E572B8">
        <w:t xml:space="preserve">Baierle, I., </w:t>
      </w:r>
      <w:r w:rsidRPr="00E572B8">
        <w:t xml:space="preserve">Benitez, G., Nara, E., Schaefer, J., Sellitto, M. </w:t>
      </w:r>
      <w:r w:rsidRPr="00E572B8">
        <w:t>2020</w:t>
      </w:r>
      <w:r w:rsidRPr="00E572B8">
        <w:t>. Influence of open innovation variables on the competitive edge of small and medium enterprises. Journal of Open Innovation: Technology, Market, and Complexity, 6, 179.</w:t>
      </w:r>
    </w:p>
    <w:p w:rsidR="009E1F1C" w:rsidRPr="009E1F1C" w:rsidRDefault="00F326AA" w:rsidP="009E1F1C">
      <w:pPr>
        <w:pStyle w:val="CETReferencetext"/>
        <w:rPr>
          <w:highlight w:val="yellow"/>
        </w:rPr>
      </w:pPr>
      <w:r w:rsidRPr="009E1F1C">
        <w:lastRenderedPageBreak/>
        <w:t>Bain</w:t>
      </w:r>
      <w:r>
        <w:t xml:space="preserve">, A., </w:t>
      </w:r>
      <w:proofErr w:type="spellStart"/>
      <w:r>
        <w:t>Shenoy</w:t>
      </w:r>
      <w:proofErr w:type="spellEnd"/>
      <w:r>
        <w:t xml:space="preserve">, M., Ashton, W., </w:t>
      </w:r>
      <w:proofErr w:type="spellStart"/>
      <w:r>
        <w:t>Chertow</w:t>
      </w:r>
      <w:proofErr w:type="spellEnd"/>
      <w:r>
        <w:t xml:space="preserve">, M. </w:t>
      </w:r>
      <w:r w:rsidRPr="009E1F1C">
        <w:t>2010</w:t>
      </w:r>
      <w:r>
        <w:t>,</w:t>
      </w:r>
      <w:r w:rsidRPr="009E1F1C">
        <w:t xml:space="preserve"> Industrial symbiosis and waste recovery in an Indian industrial area. Resources, Conservation and Recycling, 54, 1278-1287</w:t>
      </w:r>
      <w:r>
        <w:t>.</w:t>
      </w:r>
    </w:p>
    <w:p w:rsidR="009E1F1C" w:rsidRDefault="00F326AA" w:rsidP="004E1E4A">
      <w:pPr>
        <w:pStyle w:val="CETReferencetext"/>
        <w:rPr>
          <w:lang w:val="en-US"/>
        </w:rPr>
      </w:pPr>
      <w:proofErr w:type="spellStart"/>
      <w:r w:rsidRPr="00B95322">
        <w:rPr>
          <w:lang w:val="en-US"/>
        </w:rPr>
        <w:t>Belaud</w:t>
      </w:r>
      <w:proofErr w:type="spellEnd"/>
      <w:r w:rsidRPr="00B95322">
        <w:rPr>
          <w:lang w:val="en-US"/>
        </w:rPr>
        <w:t xml:space="preserve">, J., </w:t>
      </w:r>
      <w:proofErr w:type="spellStart"/>
      <w:r w:rsidRPr="00B95322">
        <w:rPr>
          <w:lang w:val="en-US"/>
        </w:rPr>
        <w:t>Adoue</w:t>
      </w:r>
      <w:proofErr w:type="spellEnd"/>
      <w:r w:rsidRPr="00B95322">
        <w:rPr>
          <w:lang w:val="en-US"/>
        </w:rPr>
        <w:t xml:space="preserve">, C., </w:t>
      </w:r>
      <w:proofErr w:type="spellStart"/>
      <w:r w:rsidRPr="00B95322">
        <w:rPr>
          <w:lang w:val="en-US"/>
        </w:rPr>
        <w:t>Vialle</w:t>
      </w:r>
      <w:proofErr w:type="spellEnd"/>
      <w:r w:rsidRPr="00B95322">
        <w:rPr>
          <w:lang w:val="en-US"/>
        </w:rPr>
        <w:t xml:space="preserve">, C., </w:t>
      </w:r>
      <w:proofErr w:type="spellStart"/>
      <w:r w:rsidRPr="00B95322">
        <w:rPr>
          <w:lang w:val="en-US"/>
        </w:rPr>
        <w:t>Chorro</w:t>
      </w:r>
      <w:proofErr w:type="spellEnd"/>
      <w:r w:rsidRPr="00B95322">
        <w:rPr>
          <w:lang w:val="en-US"/>
        </w:rPr>
        <w:t xml:space="preserve">, A., </w:t>
      </w:r>
      <w:proofErr w:type="spellStart"/>
      <w:r w:rsidRPr="00B95322">
        <w:rPr>
          <w:lang w:val="en-US"/>
        </w:rPr>
        <w:t>Sablayrolles</w:t>
      </w:r>
      <w:proofErr w:type="spellEnd"/>
      <w:r w:rsidRPr="00B95322">
        <w:rPr>
          <w:lang w:val="en-US"/>
        </w:rPr>
        <w:t>, C. 2019, A circular economy and industrial ecology toolbox for developing an eco-industrial park: perspectives from French policy. Clean Technologies and Environmental Policy, 21, 967-985.</w:t>
      </w:r>
    </w:p>
    <w:p w:rsidR="004D7675" w:rsidRPr="00B95322" w:rsidRDefault="00F326AA" w:rsidP="004E1E4A">
      <w:pPr>
        <w:pStyle w:val="CETReferencetext"/>
        <w:rPr>
          <w:lang w:val="en-US"/>
        </w:rPr>
      </w:pPr>
      <w:proofErr w:type="spellStart"/>
      <w:r w:rsidRPr="004D7675">
        <w:rPr>
          <w:lang w:val="en-US"/>
        </w:rPr>
        <w:t>Brás</w:t>
      </w:r>
      <w:proofErr w:type="spellEnd"/>
      <w:r w:rsidRPr="004D7675">
        <w:rPr>
          <w:lang w:val="en-US"/>
        </w:rPr>
        <w:t xml:space="preserve">, I., Silva, M., Lobo, G., </w:t>
      </w:r>
      <w:proofErr w:type="spellStart"/>
      <w:r w:rsidRPr="004D7675">
        <w:rPr>
          <w:lang w:val="en-US"/>
        </w:rPr>
        <w:t>Cordeiro</w:t>
      </w:r>
      <w:proofErr w:type="spellEnd"/>
      <w:r w:rsidRPr="004D7675">
        <w:rPr>
          <w:lang w:val="en-US"/>
        </w:rPr>
        <w:t xml:space="preserve">, A., </w:t>
      </w:r>
      <w:proofErr w:type="spellStart"/>
      <w:r w:rsidRPr="004D7675">
        <w:rPr>
          <w:lang w:val="en-US"/>
        </w:rPr>
        <w:t>Faria</w:t>
      </w:r>
      <w:proofErr w:type="spellEnd"/>
      <w:r w:rsidRPr="004D7675">
        <w:rPr>
          <w:lang w:val="en-US"/>
        </w:rPr>
        <w:t xml:space="preserve">, M., </w:t>
      </w:r>
      <w:proofErr w:type="spellStart"/>
      <w:r>
        <w:rPr>
          <w:lang w:val="en-US"/>
        </w:rPr>
        <w:t>Lemos</w:t>
      </w:r>
      <w:proofErr w:type="spellEnd"/>
      <w:r>
        <w:rPr>
          <w:lang w:val="en-US"/>
        </w:rPr>
        <w:t>, L. 2017,</w:t>
      </w:r>
      <w:r w:rsidRPr="004D7675">
        <w:rPr>
          <w:lang w:val="en-US"/>
        </w:rPr>
        <w:t xml:space="preserve"> Refuse derived fuel from municipal solid waste rejected fractions-a case study. Energy Procedia, 120, 349-356.</w:t>
      </w:r>
    </w:p>
    <w:p w:rsidR="009E1F1C" w:rsidRPr="00ED015A" w:rsidRDefault="00F326AA" w:rsidP="004E1E4A">
      <w:pPr>
        <w:pStyle w:val="CETReferencetext"/>
      </w:pPr>
      <w:proofErr w:type="spellStart"/>
      <w:r w:rsidRPr="00ED015A">
        <w:t>Butturi</w:t>
      </w:r>
      <w:proofErr w:type="spellEnd"/>
      <w:r w:rsidRPr="00ED015A">
        <w:t xml:space="preserve">, M., Lolli, F., Sellitto, M., </w:t>
      </w:r>
      <w:proofErr w:type="spellStart"/>
      <w:r w:rsidRPr="00ED015A">
        <w:t>Balugani</w:t>
      </w:r>
      <w:proofErr w:type="spellEnd"/>
      <w:r w:rsidRPr="00ED015A">
        <w:t xml:space="preserve">, E., </w:t>
      </w:r>
      <w:proofErr w:type="spellStart"/>
      <w:r w:rsidRPr="00ED015A">
        <w:t>Gamberini</w:t>
      </w:r>
      <w:proofErr w:type="spellEnd"/>
      <w:r w:rsidRPr="00ED015A">
        <w:t>, R., Rimini, B. 2019, Renewable energy in eco-industrial parks and urban-industrial symbiosis: A literature review and a conceptual synthesis. Applied Energy, 255, 113825.</w:t>
      </w:r>
    </w:p>
    <w:p w:rsidR="009E1F1C" w:rsidRPr="00973121" w:rsidRDefault="00F326AA" w:rsidP="004E1E4A">
      <w:pPr>
        <w:pStyle w:val="CETReferencetext"/>
        <w:rPr>
          <w:lang w:val="en-US"/>
        </w:rPr>
      </w:pPr>
      <w:r w:rsidRPr="00ED015A">
        <w:t xml:space="preserve">Ceglia, D., Abreu, M., Silva </w:t>
      </w:r>
      <w:proofErr w:type="spellStart"/>
      <w:r w:rsidRPr="00ED015A">
        <w:t>Filho</w:t>
      </w:r>
      <w:proofErr w:type="spellEnd"/>
      <w:r w:rsidRPr="00ED015A">
        <w:t xml:space="preserve">, J. 2017, Critical elements for eco-retrofitting a conventional industrial park: Social barriers to </w:t>
      </w:r>
      <w:proofErr w:type="gramStart"/>
      <w:r w:rsidRPr="00ED015A">
        <w:t>be overcome</w:t>
      </w:r>
      <w:proofErr w:type="gramEnd"/>
      <w:r w:rsidRPr="00ED015A">
        <w:t xml:space="preserve">. </w:t>
      </w:r>
      <w:r w:rsidRPr="00973121">
        <w:rPr>
          <w:lang w:val="en-US"/>
        </w:rPr>
        <w:t>Journal of Environmental Management, 187, 375-383.</w:t>
      </w:r>
    </w:p>
    <w:p w:rsidR="009E1F1C" w:rsidRPr="002C3603" w:rsidRDefault="00F326AA" w:rsidP="002C3603">
      <w:pPr>
        <w:pStyle w:val="CETReferencetext"/>
        <w:rPr>
          <w:lang w:val="en-US"/>
        </w:rPr>
      </w:pPr>
      <w:proofErr w:type="spellStart"/>
      <w:r w:rsidRPr="002C3603">
        <w:rPr>
          <w:lang w:val="en-US"/>
        </w:rPr>
        <w:t>Chantasiriwan</w:t>
      </w:r>
      <w:proofErr w:type="spellEnd"/>
      <w:r w:rsidRPr="002C3603">
        <w:rPr>
          <w:lang w:val="en-US"/>
        </w:rPr>
        <w:t>, S. 2021, Improving Energy Efficiency of Cogeneration System in Cane Sugar Industry by Steam Dryer. Chemical Engineering Transactions, 87, 511-516.</w:t>
      </w:r>
    </w:p>
    <w:p w:rsidR="009E1F1C" w:rsidRPr="009A6023" w:rsidRDefault="00F326AA" w:rsidP="004E1E4A">
      <w:pPr>
        <w:pStyle w:val="CETReferencetext"/>
        <w:rPr>
          <w:lang w:val="en-US"/>
        </w:rPr>
      </w:pPr>
      <w:proofErr w:type="spellStart"/>
      <w:proofErr w:type="gramStart"/>
      <w:r w:rsidRPr="00286CDF">
        <w:rPr>
          <w:lang w:val="en-US"/>
        </w:rPr>
        <w:t>Faria</w:t>
      </w:r>
      <w:proofErr w:type="spellEnd"/>
      <w:r w:rsidRPr="00286CDF">
        <w:rPr>
          <w:lang w:val="en-US"/>
        </w:rPr>
        <w:t xml:space="preserve">, E., </w:t>
      </w:r>
      <w:proofErr w:type="spellStart"/>
      <w:r w:rsidRPr="00286CDF">
        <w:rPr>
          <w:lang w:val="en-US"/>
        </w:rPr>
        <w:t>Caldeira-Pires</w:t>
      </w:r>
      <w:proofErr w:type="spellEnd"/>
      <w:r w:rsidRPr="00286CDF">
        <w:rPr>
          <w:lang w:val="en-US"/>
        </w:rPr>
        <w:t xml:space="preserve">, A., </w:t>
      </w:r>
      <w:proofErr w:type="spellStart"/>
      <w:r w:rsidRPr="00286CDF">
        <w:rPr>
          <w:lang w:val="en-US"/>
        </w:rPr>
        <w:t>Barreto</w:t>
      </w:r>
      <w:proofErr w:type="spellEnd"/>
      <w:r w:rsidRPr="00286CDF">
        <w:rPr>
          <w:lang w:val="en-US"/>
        </w:rPr>
        <w:t>.</w:t>
      </w:r>
      <w:proofErr w:type="gramEnd"/>
      <w:r w:rsidRPr="00286CDF">
        <w:rPr>
          <w:lang w:val="en-US"/>
        </w:rPr>
        <w:t xml:space="preserve"> </w:t>
      </w:r>
      <w:proofErr w:type="gramStart"/>
      <w:r w:rsidRPr="009A6023">
        <w:rPr>
          <w:lang w:val="en-US"/>
        </w:rPr>
        <w:t>2021</w:t>
      </w:r>
      <w:proofErr w:type="gramEnd"/>
      <w:r w:rsidRPr="009A6023">
        <w:rPr>
          <w:lang w:val="en-US"/>
        </w:rPr>
        <w:t>, Social, Economic, and Institutional Configurations of the Industrial Symbiosis Process: A Comparative Analysis of the literature and a Proposed Theoretical and Analytical Framework. </w:t>
      </w:r>
      <w:proofErr w:type="gramStart"/>
      <w:r w:rsidRPr="009A6023">
        <w:rPr>
          <w:lang w:val="en-US"/>
        </w:rPr>
        <w:t>Sustainability, 13, 7123.</w:t>
      </w:r>
      <w:proofErr w:type="gramEnd"/>
    </w:p>
    <w:p w:rsidR="009E1F1C" w:rsidRPr="00973121" w:rsidRDefault="00F326AA" w:rsidP="004E1E4A">
      <w:pPr>
        <w:pStyle w:val="CETReferencetext"/>
        <w:rPr>
          <w:lang w:val="en-US"/>
        </w:rPr>
      </w:pPr>
      <w:proofErr w:type="spellStart"/>
      <w:r w:rsidRPr="00973121">
        <w:rPr>
          <w:lang w:val="en-US"/>
        </w:rPr>
        <w:t>Fraccascia</w:t>
      </w:r>
      <w:proofErr w:type="spellEnd"/>
      <w:r w:rsidRPr="00973121">
        <w:rPr>
          <w:lang w:val="en-US"/>
        </w:rPr>
        <w:t xml:space="preserve">, L., </w:t>
      </w:r>
      <w:proofErr w:type="spellStart"/>
      <w:r w:rsidRPr="00973121">
        <w:rPr>
          <w:lang w:val="en-US"/>
        </w:rPr>
        <w:t>Giannoccaro</w:t>
      </w:r>
      <w:proofErr w:type="spellEnd"/>
      <w:r w:rsidRPr="00973121">
        <w:rPr>
          <w:lang w:val="en-US"/>
        </w:rPr>
        <w:t xml:space="preserve">, I., Albino, V. </w:t>
      </w:r>
      <w:r>
        <w:rPr>
          <w:lang w:val="en-US"/>
        </w:rPr>
        <w:t xml:space="preserve">2017, </w:t>
      </w:r>
      <w:r w:rsidRPr="00973121">
        <w:rPr>
          <w:lang w:val="en-US"/>
        </w:rPr>
        <w:t>Efficacy of landfill tax and subsidy policies for the emergence of industrial symbiosis networks: An agent-based simulation study. </w:t>
      </w:r>
      <w:proofErr w:type="gramStart"/>
      <w:r w:rsidRPr="00973121">
        <w:rPr>
          <w:lang w:val="en-US"/>
        </w:rPr>
        <w:t>Sustainability, 9</w:t>
      </w:r>
      <w:r>
        <w:rPr>
          <w:lang w:val="en-US"/>
        </w:rPr>
        <w:t>,</w:t>
      </w:r>
      <w:r w:rsidRPr="00973121">
        <w:rPr>
          <w:lang w:val="en-US"/>
        </w:rPr>
        <w:t xml:space="preserve"> 521, 2017.</w:t>
      </w:r>
      <w:proofErr w:type="gramEnd"/>
    </w:p>
    <w:p w:rsidR="009E1F1C" w:rsidRPr="00B41A8F" w:rsidRDefault="00F326AA" w:rsidP="004E1E4A">
      <w:pPr>
        <w:pStyle w:val="CETReferencetext"/>
      </w:pPr>
      <w:r w:rsidRPr="00B41A8F">
        <w:t xml:space="preserve">Gil, T., </w:t>
      </w:r>
      <w:proofErr w:type="spellStart"/>
      <w:r w:rsidRPr="00B41A8F">
        <w:t>Ilchenko</w:t>
      </w:r>
      <w:proofErr w:type="spellEnd"/>
      <w:r w:rsidRPr="00B41A8F">
        <w:t xml:space="preserve"> M., </w:t>
      </w:r>
      <w:proofErr w:type="spellStart"/>
      <w:r w:rsidRPr="00B41A8F">
        <w:t>Kaldybae</w:t>
      </w:r>
      <w:r>
        <w:t>va</w:t>
      </w:r>
      <w:proofErr w:type="spellEnd"/>
      <w:r>
        <w:t xml:space="preserve"> B., </w:t>
      </w:r>
      <w:proofErr w:type="spellStart"/>
      <w:r>
        <w:t>Mironov</w:t>
      </w:r>
      <w:proofErr w:type="spellEnd"/>
      <w:r>
        <w:t xml:space="preserve"> A., </w:t>
      </w:r>
      <w:proofErr w:type="spellStart"/>
      <w:r>
        <w:t>Boldyryev</w:t>
      </w:r>
      <w:proofErr w:type="spellEnd"/>
      <w:r>
        <w:t xml:space="preserve"> S.</w:t>
      </w:r>
      <w:r w:rsidRPr="00B41A8F">
        <w:t xml:space="preserve"> 2021, Economic Assessment of Heat Exchanger Network Retrofit Options Based on Historical Data. Chemical Engineering Transactions, 88, 343-348. </w:t>
      </w:r>
    </w:p>
    <w:p w:rsidR="009E1F1C" w:rsidRPr="00BA7776" w:rsidRDefault="00F326AA" w:rsidP="004E1E4A">
      <w:pPr>
        <w:pStyle w:val="CETReferencetext"/>
        <w:rPr>
          <w:lang w:val="en-US"/>
        </w:rPr>
      </w:pPr>
      <w:proofErr w:type="spellStart"/>
      <w:r w:rsidRPr="00BA7776">
        <w:rPr>
          <w:lang w:val="en-US"/>
        </w:rPr>
        <w:t>Golev</w:t>
      </w:r>
      <w:proofErr w:type="spellEnd"/>
      <w:r w:rsidRPr="00BA7776">
        <w:rPr>
          <w:lang w:val="en-US"/>
        </w:rPr>
        <w:t>, A</w:t>
      </w:r>
      <w:r>
        <w:rPr>
          <w:lang w:val="en-US"/>
        </w:rPr>
        <w:t>.,</w:t>
      </w:r>
      <w:r w:rsidRPr="00BA7776">
        <w:rPr>
          <w:lang w:val="en-US"/>
        </w:rPr>
        <w:t xml:space="preserve"> </w:t>
      </w:r>
      <w:proofErr w:type="spellStart"/>
      <w:r w:rsidRPr="00BA7776">
        <w:rPr>
          <w:lang w:val="en-US"/>
        </w:rPr>
        <w:t>Corder</w:t>
      </w:r>
      <w:proofErr w:type="spellEnd"/>
      <w:r w:rsidRPr="00BA7776">
        <w:rPr>
          <w:lang w:val="en-US"/>
        </w:rPr>
        <w:t>, G</w:t>
      </w:r>
      <w:r>
        <w:rPr>
          <w:lang w:val="en-US"/>
        </w:rPr>
        <w:t>.,</w:t>
      </w:r>
      <w:r w:rsidRPr="00BA7776">
        <w:rPr>
          <w:lang w:val="en-US"/>
        </w:rPr>
        <w:t xml:space="preserve"> </w:t>
      </w:r>
      <w:proofErr w:type="spellStart"/>
      <w:r w:rsidRPr="00BA7776">
        <w:rPr>
          <w:lang w:val="en-US"/>
        </w:rPr>
        <w:t>Giurco</w:t>
      </w:r>
      <w:proofErr w:type="spellEnd"/>
      <w:r w:rsidRPr="00BA7776">
        <w:rPr>
          <w:lang w:val="en-US"/>
        </w:rPr>
        <w:t xml:space="preserve">, D. </w:t>
      </w:r>
      <w:r>
        <w:rPr>
          <w:lang w:val="en-US"/>
        </w:rPr>
        <w:t xml:space="preserve">2015, </w:t>
      </w:r>
      <w:r w:rsidRPr="00BA7776">
        <w:rPr>
          <w:lang w:val="en-US"/>
        </w:rPr>
        <w:t>Barriers to industrial symbiosis: Insights from the use of a maturity grid. Journal of Industrial Ecology, 19, 141-153.</w:t>
      </w:r>
    </w:p>
    <w:p w:rsidR="009E1F1C" w:rsidRPr="00BA7776" w:rsidRDefault="00F326AA" w:rsidP="004E1E4A">
      <w:pPr>
        <w:pStyle w:val="CETReferencetext"/>
        <w:rPr>
          <w:lang w:val="en-US"/>
        </w:rPr>
      </w:pPr>
      <w:r w:rsidRPr="00BA7776">
        <w:rPr>
          <w:lang w:val="en-US"/>
        </w:rPr>
        <w:t xml:space="preserve">Hewes, A., Lyons, D. 2008, </w:t>
      </w:r>
      <w:proofErr w:type="gramStart"/>
      <w:r w:rsidRPr="00BA7776">
        <w:rPr>
          <w:lang w:val="en-US"/>
        </w:rPr>
        <w:t>The</w:t>
      </w:r>
      <w:proofErr w:type="gramEnd"/>
      <w:r w:rsidRPr="00BA7776">
        <w:rPr>
          <w:lang w:val="en-US"/>
        </w:rPr>
        <w:t xml:space="preserve"> humanistic side of eco-industrial parks: champions and the role of trust. Regional Studies, 42, 1329-1342.</w:t>
      </w:r>
    </w:p>
    <w:p w:rsidR="009E1F1C" w:rsidRPr="00973121" w:rsidRDefault="00F326AA" w:rsidP="004E1E4A">
      <w:pPr>
        <w:pStyle w:val="CETReferencetext"/>
        <w:rPr>
          <w:lang w:val="en-US"/>
        </w:rPr>
      </w:pPr>
      <w:r w:rsidRPr="009774F0">
        <w:rPr>
          <w:lang w:val="en-US"/>
        </w:rPr>
        <w:t xml:space="preserve">King, S., Lusher, D., Hopkins, J., Simpson, </w:t>
      </w:r>
      <w:proofErr w:type="gramStart"/>
      <w:r w:rsidRPr="009774F0">
        <w:rPr>
          <w:lang w:val="en-US"/>
        </w:rPr>
        <w:t>G</w:t>
      </w:r>
      <w:proofErr w:type="gramEnd"/>
      <w:r w:rsidRPr="009774F0">
        <w:rPr>
          <w:lang w:val="en-US"/>
        </w:rPr>
        <w:t>. 2020, Industrial symbiosis in Australia: The social relations of making contact in a matchmaking marketplace for SMEs. </w:t>
      </w:r>
      <w:proofErr w:type="gramStart"/>
      <w:r w:rsidRPr="00973121">
        <w:rPr>
          <w:lang w:val="en-US"/>
        </w:rPr>
        <w:t>Journal of Cleaner Production, 270, 122146.</w:t>
      </w:r>
      <w:proofErr w:type="gramEnd"/>
    </w:p>
    <w:p w:rsidR="009E1F1C" w:rsidRPr="00776A9F" w:rsidRDefault="00F326AA" w:rsidP="00776A9F">
      <w:pPr>
        <w:pStyle w:val="CETReferencetext"/>
        <w:rPr>
          <w:lang w:val="en-US"/>
        </w:rPr>
      </w:pPr>
      <w:proofErr w:type="spellStart"/>
      <w:r w:rsidRPr="00776A9F">
        <w:rPr>
          <w:lang w:val="en-US"/>
        </w:rPr>
        <w:t>Loureiro</w:t>
      </w:r>
      <w:proofErr w:type="spellEnd"/>
      <w:r w:rsidRPr="00776A9F">
        <w:rPr>
          <w:lang w:val="en-US"/>
        </w:rPr>
        <w:t>, F., Eusebio, A., Marques, I. 2021, Energy Recovery from Food Industry Sludge through Anaerobic Digestion. Chemical Engineering Transactions, 87, 481-486.</w:t>
      </w:r>
    </w:p>
    <w:p w:rsidR="009E1F1C" w:rsidRDefault="00F326AA" w:rsidP="00E572B8">
      <w:pPr>
        <w:pStyle w:val="CETReferencetext"/>
        <w:rPr>
          <w:lang w:val="en-US"/>
        </w:rPr>
      </w:pPr>
      <w:proofErr w:type="spellStart"/>
      <w:r w:rsidRPr="00730735">
        <w:rPr>
          <w:lang w:val="en-US"/>
        </w:rPr>
        <w:t>Manaf</w:t>
      </w:r>
      <w:proofErr w:type="spellEnd"/>
      <w:r w:rsidRPr="00730735">
        <w:rPr>
          <w:lang w:val="en-US"/>
        </w:rPr>
        <w:t>, N., Abbas, A. 2021, Investment Decision Making for Carbon Capture and Storage Technology in High Efficiency, Low-Emission Coal-fired Power Plant via Dynamic Techno-Economic-Policy Evaluation Framework: Case Study in China. Chemical Engineering Transactions, 83, 25-30.</w:t>
      </w:r>
    </w:p>
    <w:p w:rsidR="00183D62" w:rsidRDefault="00285520" w:rsidP="00183D62">
      <w:pPr>
        <w:pStyle w:val="CETReferencetext"/>
        <w:rPr>
          <w:rFonts w:cs="Arial"/>
          <w:color w:val="323232"/>
        </w:rPr>
      </w:pPr>
      <w:hyperlink r:id="rId9" w:tooltip="Show author details" w:history="1">
        <w:r w:rsidR="003C78FF">
          <w:rPr>
            <w:lang w:val="en-US"/>
          </w:rPr>
          <w:t>Sellitto M</w:t>
        </w:r>
        <w:r w:rsidR="003C78FF" w:rsidRPr="00183D62">
          <w:rPr>
            <w:lang w:val="en-US"/>
          </w:rPr>
          <w:t>.</w:t>
        </w:r>
      </w:hyperlink>
      <w:r w:rsidR="003C78FF" w:rsidRPr="00183D62">
        <w:rPr>
          <w:lang w:val="en-US"/>
        </w:rPr>
        <w:t>, </w:t>
      </w:r>
      <w:proofErr w:type="spellStart"/>
      <w:r>
        <w:rPr>
          <w:lang w:val="en-US"/>
        </w:rPr>
        <w:fldChar w:fldCharType="begin"/>
      </w:r>
      <w:r>
        <w:rPr>
          <w:lang w:val="en-US"/>
        </w:rPr>
        <w:instrText xml:space="preserve"> HYPERLINK "https://www.scopus.</w:instrText>
      </w:r>
      <w:r>
        <w:rPr>
          <w:lang w:val="en-US"/>
        </w:rPr>
        <w:instrText xml:space="preserve">com/authid/detail.uri?origin=resultslist&amp;authorId=56940426700&amp;zone=" \o "Show author details" </w:instrText>
      </w:r>
      <w:r>
        <w:rPr>
          <w:lang w:val="en-US"/>
        </w:rPr>
        <w:fldChar w:fldCharType="separate"/>
      </w:r>
      <w:r w:rsidR="003C78FF">
        <w:rPr>
          <w:lang w:val="en-US"/>
        </w:rPr>
        <w:t>Bittencourt</w:t>
      </w:r>
      <w:proofErr w:type="spellEnd"/>
      <w:r w:rsidR="003C78FF">
        <w:rPr>
          <w:lang w:val="en-US"/>
        </w:rPr>
        <w:t xml:space="preserve"> S</w:t>
      </w:r>
      <w:r w:rsidR="003C78FF" w:rsidRPr="00183D62">
        <w:rPr>
          <w:lang w:val="en-US"/>
        </w:rPr>
        <w:t>.</w:t>
      </w:r>
      <w:r>
        <w:rPr>
          <w:lang w:val="en-US"/>
        </w:rPr>
        <w:fldChar w:fldCharType="end"/>
      </w:r>
      <w:r w:rsidR="003C78FF" w:rsidRPr="00183D62">
        <w:rPr>
          <w:lang w:val="en-US"/>
        </w:rPr>
        <w:t>, </w:t>
      </w:r>
      <w:proofErr w:type="spellStart"/>
      <w:r>
        <w:rPr>
          <w:lang w:val="en-US"/>
        </w:rPr>
        <w:fldChar w:fldCharType="begin"/>
      </w:r>
      <w:r>
        <w:rPr>
          <w:lang w:val="en-US"/>
        </w:rPr>
        <w:instrText xml:space="preserve"> HYPERLINK "https://www.scopus.com/authid/detail.uri?origin=resultslist&amp;authorId=56940745400&amp;zone=" \o "Show author details" </w:instrText>
      </w:r>
      <w:r>
        <w:rPr>
          <w:lang w:val="en-US"/>
        </w:rPr>
        <w:fldChar w:fldCharType="separate"/>
      </w:r>
      <w:r w:rsidR="003C78FF">
        <w:rPr>
          <w:lang w:val="en-US"/>
        </w:rPr>
        <w:t>Reckziegel</w:t>
      </w:r>
      <w:proofErr w:type="spellEnd"/>
      <w:r w:rsidR="003C78FF">
        <w:rPr>
          <w:lang w:val="en-US"/>
        </w:rPr>
        <w:t xml:space="preserve"> B</w:t>
      </w:r>
      <w:r w:rsidR="003C78FF" w:rsidRPr="00183D62">
        <w:rPr>
          <w:lang w:val="en-US"/>
        </w:rPr>
        <w:t>.</w:t>
      </w:r>
      <w:r>
        <w:rPr>
          <w:lang w:val="en-US"/>
        </w:rPr>
        <w:fldChar w:fldCharType="end"/>
      </w:r>
      <w:r w:rsidR="003C78FF" w:rsidRPr="00183D62">
        <w:rPr>
          <w:lang w:val="en-US"/>
        </w:rPr>
        <w:t xml:space="preserve"> </w:t>
      </w:r>
      <w:r w:rsidR="003C78FF">
        <w:rPr>
          <w:lang w:val="en-US"/>
        </w:rPr>
        <w:t xml:space="preserve">2015, </w:t>
      </w:r>
      <w:hyperlink r:id="rId10" w:tooltip="Abstract + Refs(opens in a new window)" w:history="1">
        <w:r w:rsidR="003C78FF" w:rsidRPr="00183D62">
          <w:rPr>
            <w:lang w:val="en-US"/>
          </w:rPr>
          <w:t>Evaluating the implementation of GSCM in industrial supply chains: Two cases in the automotive industry</w:t>
        </w:r>
      </w:hyperlink>
      <w:r w:rsidR="003C78FF">
        <w:rPr>
          <w:lang w:val="en-US"/>
        </w:rPr>
        <w:t>,</w:t>
      </w:r>
      <w:r w:rsidR="003C78FF" w:rsidRPr="00183D62">
        <w:rPr>
          <w:lang w:val="en-US"/>
        </w:rPr>
        <w:t xml:space="preserve"> Chemic</w:t>
      </w:r>
      <w:r w:rsidR="003C78FF">
        <w:rPr>
          <w:lang w:val="en-US"/>
        </w:rPr>
        <w:t>al Engineering Transactions, 43</w:t>
      </w:r>
      <w:r w:rsidR="003C78FF" w:rsidRPr="00183D62">
        <w:rPr>
          <w:lang w:val="en-US"/>
        </w:rPr>
        <w:t>, 1315-1320.</w:t>
      </w:r>
    </w:p>
    <w:p w:rsidR="00183D62" w:rsidRDefault="00F326AA" w:rsidP="004E1E4A">
      <w:pPr>
        <w:pStyle w:val="CETReferencetext"/>
        <w:rPr>
          <w:lang w:val="en-US"/>
        </w:rPr>
      </w:pPr>
      <w:r w:rsidRPr="005C4221">
        <w:rPr>
          <w:lang w:val="en-US"/>
        </w:rPr>
        <w:t>Sellitto, M., Hermann, F. 2016, Prioritization of green practices in GSCM: case study with companies of the peach industry. </w:t>
      </w:r>
      <w:proofErr w:type="spellStart"/>
      <w:r w:rsidRPr="005C4221">
        <w:rPr>
          <w:lang w:val="en-US"/>
        </w:rPr>
        <w:t>Gestão</w:t>
      </w:r>
      <w:proofErr w:type="spellEnd"/>
      <w:r w:rsidRPr="005C4221">
        <w:rPr>
          <w:lang w:val="en-US"/>
        </w:rPr>
        <w:t xml:space="preserve"> &amp; </w:t>
      </w:r>
      <w:proofErr w:type="spellStart"/>
      <w:r w:rsidRPr="005C4221">
        <w:rPr>
          <w:lang w:val="en-US"/>
        </w:rPr>
        <w:t>Produção</w:t>
      </w:r>
      <w:proofErr w:type="spellEnd"/>
      <w:r w:rsidRPr="005C4221">
        <w:rPr>
          <w:lang w:val="en-US"/>
        </w:rPr>
        <w:t>, 23, 871-886.</w:t>
      </w:r>
    </w:p>
    <w:p w:rsidR="00183D62" w:rsidRDefault="00F326AA" w:rsidP="004E1E4A">
      <w:pPr>
        <w:pStyle w:val="CETReferencetext"/>
        <w:rPr>
          <w:lang w:val="en-US"/>
        </w:rPr>
      </w:pPr>
      <w:r w:rsidRPr="001211F6">
        <w:rPr>
          <w:lang w:val="en-US"/>
        </w:rPr>
        <w:t>Sellitto, M., Hermann, F. 2019, Influence of green practices on organizational competitiveness: a study of the electrical and electronics industry. </w:t>
      </w:r>
      <w:proofErr w:type="gramStart"/>
      <w:r w:rsidRPr="001211F6">
        <w:rPr>
          <w:lang w:val="en-US"/>
        </w:rPr>
        <w:t>Engineering Management Journal, 31, 98-112.</w:t>
      </w:r>
      <w:proofErr w:type="gramEnd"/>
    </w:p>
    <w:p w:rsidR="00183D62" w:rsidRPr="006E3547" w:rsidRDefault="00F326AA" w:rsidP="006E3547">
      <w:pPr>
        <w:pStyle w:val="CETReferencetext"/>
      </w:pPr>
      <w:r w:rsidRPr="006E3547">
        <w:rPr>
          <w:lang w:val="en-US"/>
        </w:rPr>
        <w:t xml:space="preserve">Sellitto, M., </w:t>
      </w:r>
      <w:proofErr w:type="spellStart"/>
      <w:r w:rsidRPr="006E3547">
        <w:rPr>
          <w:lang w:val="en-US"/>
        </w:rPr>
        <w:t>Kadel</w:t>
      </w:r>
      <w:proofErr w:type="spellEnd"/>
      <w:r w:rsidRPr="006E3547">
        <w:rPr>
          <w:lang w:val="en-US"/>
        </w:rPr>
        <w:t xml:space="preserve"> Jr, N., </w:t>
      </w:r>
      <w:proofErr w:type="spellStart"/>
      <w:r w:rsidRPr="006E3547">
        <w:rPr>
          <w:lang w:val="en-US"/>
        </w:rPr>
        <w:t>Borchardt</w:t>
      </w:r>
      <w:proofErr w:type="spellEnd"/>
      <w:r w:rsidRPr="006E3547">
        <w:rPr>
          <w:lang w:val="en-US"/>
        </w:rPr>
        <w:t xml:space="preserve">, M., Pereira, G., </w:t>
      </w:r>
      <w:proofErr w:type="spellStart"/>
      <w:r w:rsidRPr="006E3547">
        <w:rPr>
          <w:lang w:val="en-US"/>
        </w:rPr>
        <w:t>Domingues</w:t>
      </w:r>
      <w:proofErr w:type="spellEnd"/>
      <w:r w:rsidRPr="006E3547">
        <w:rPr>
          <w:lang w:val="en-US"/>
        </w:rPr>
        <w:t xml:space="preserve">, J. 2013, </w:t>
      </w:r>
      <w:r w:rsidRPr="006E3547">
        <w:t>Rice husk and scrap tires co-processing and reverse logistics in cement manufacturing. </w:t>
      </w:r>
      <w:proofErr w:type="spellStart"/>
      <w:r w:rsidRPr="006E3547">
        <w:t>Ambiente</w:t>
      </w:r>
      <w:proofErr w:type="spellEnd"/>
      <w:r w:rsidRPr="006E3547">
        <w:t xml:space="preserve"> &amp; </w:t>
      </w:r>
      <w:proofErr w:type="spellStart"/>
      <w:r w:rsidRPr="006E3547">
        <w:t>Sociedade</w:t>
      </w:r>
      <w:proofErr w:type="spellEnd"/>
      <w:r w:rsidRPr="006E3547">
        <w:t>, 16, 141-162.</w:t>
      </w:r>
    </w:p>
    <w:p w:rsidR="00183D62" w:rsidRPr="00973121" w:rsidRDefault="00F326AA" w:rsidP="004E1E4A">
      <w:pPr>
        <w:pStyle w:val="CETReferencetext"/>
        <w:rPr>
          <w:lang w:val="en-US"/>
        </w:rPr>
      </w:pPr>
      <w:r w:rsidRPr="00BA7776">
        <w:rPr>
          <w:lang w:val="en-US"/>
        </w:rPr>
        <w:t>Sellitto, M., Murakami, F. 2018, Industrial symbiosis: A case study involving a steelmaking, a cement manufacturing, and a zinc smelting plant. </w:t>
      </w:r>
      <w:r w:rsidRPr="00973121">
        <w:rPr>
          <w:lang w:val="en-US"/>
        </w:rPr>
        <w:t>Chemical Engineering Transactions, 70, 211-216.</w:t>
      </w:r>
    </w:p>
    <w:p w:rsidR="00183D62" w:rsidRDefault="00F326AA" w:rsidP="00183D62">
      <w:pPr>
        <w:pStyle w:val="CETReferencetext"/>
        <w:rPr>
          <w:lang w:val="en-US"/>
        </w:rPr>
      </w:pPr>
      <w:proofErr w:type="gramStart"/>
      <w:r w:rsidRPr="006046E6">
        <w:rPr>
          <w:lang w:val="en-US"/>
        </w:rPr>
        <w:t xml:space="preserve">Sellitto, M., Murakami, F., </w:t>
      </w:r>
      <w:proofErr w:type="spellStart"/>
      <w:r w:rsidRPr="006046E6">
        <w:rPr>
          <w:lang w:val="en-US"/>
        </w:rPr>
        <w:t>Butturi</w:t>
      </w:r>
      <w:proofErr w:type="spellEnd"/>
      <w:r w:rsidRPr="006046E6">
        <w:rPr>
          <w:lang w:val="en-US"/>
        </w:rPr>
        <w:t xml:space="preserve">, M., </w:t>
      </w:r>
      <w:proofErr w:type="spellStart"/>
      <w:r w:rsidRPr="006046E6">
        <w:rPr>
          <w:lang w:val="en-US"/>
        </w:rPr>
        <w:t>Marinelli</w:t>
      </w:r>
      <w:proofErr w:type="spellEnd"/>
      <w:r w:rsidRPr="006046E6">
        <w:rPr>
          <w:lang w:val="en-US"/>
        </w:rPr>
        <w:t xml:space="preserve">, S., </w:t>
      </w:r>
      <w:proofErr w:type="spellStart"/>
      <w:r w:rsidRPr="006046E6">
        <w:rPr>
          <w:lang w:val="en-US"/>
        </w:rPr>
        <w:t>Kadel</w:t>
      </w:r>
      <w:proofErr w:type="spellEnd"/>
      <w:r w:rsidRPr="006046E6">
        <w:rPr>
          <w:lang w:val="en-US"/>
        </w:rPr>
        <w:t xml:space="preserve"> Jr, N., Rimini, B. 2021, Barriers, drivers, and relationships in industrial symbiosis of a network of Brazilian manufacturing companies.</w:t>
      </w:r>
      <w:proofErr w:type="gramEnd"/>
      <w:r w:rsidRPr="006046E6">
        <w:rPr>
          <w:lang w:val="en-US"/>
        </w:rPr>
        <w:t> Sustainable Production and Consumption, 26, 443-454.</w:t>
      </w:r>
    </w:p>
    <w:p w:rsidR="003A71DA" w:rsidRPr="00183D62" w:rsidRDefault="00F326AA" w:rsidP="00183D62">
      <w:pPr>
        <w:pStyle w:val="CETReferencetext"/>
        <w:rPr>
          <w:lang w:val="en-US"/>
        </w:rPr>
      </w:pPr>
      <w:r>
        <w:rPr>
          <w:lang w:val="en-US"/>
        </w:rPr>
        <w:t>Slack, N. 1991,</w:t>
      </w:r>
      <w:r w:rsidRPr="003A71DA">
        <w:rPr>
          <w:lang w:val="en-US"/>
        </w:rPr>
        <w:t> </w:t>
      </w:r>
      <w:proofErr w:type="gramStart"/>
      <w:r w:rsidRPr="003A71DA">
        <w:rPr>
          <w:lang w:val="en-US"/>
        </w:rPr>
        <w:t>The</w:t>
      </w:r>
      <w:proofErr w:type="gramEnd"/>
      <w:r w:rsidRPr="003A71DA">
        <w:rPr>
          <w:lang w:val="en-US"/>
        </w:rPr>
        <w:t xml:space="preserve"> manufacturing advantage: achieving competitive manufacturing operations. </w:t>
      </w:r>
      <w:proofErr w:type="gramStart"/>
      <w:r w:rsidRPr="003A71DA">
        <w:rPr>
          <w:lang w:val="en-US"/>
        </w:rPr>
        <w:t>Mercury Books.</w:t>
      </w:r>
      <w:proofErr w:type="gramEnd"/>
    </w:p>
    <w:p w:rsidR="009E1F1C" w:rsidRPr="00BA7776" w:rsidRDefault="002E691B" w:rsidP="004E1E4A">
      <w:pPr>
        <w:pStyle w:val="CETReferencetext"/>
        <w:rPr>
          <w:lang w:val="en-US"/>
        </w:rPr>
      </w:pPr>
      <w:r w:rsidRPr="002E691B">
        <w:rPr>
          <w:lang w:val="en-US"/>
        </w:rPr>
        <w:t>Tudor, T., Adam, E.,</w:t>
      </w:r>
      <w:r w:rsidR="00F326AA" w:rsidRPr="002E691B">
        <w:rPr>
          <w:lang w:val="en-US"/>
        </w:rPr>
        <w:t xml:space="preserve"> Bates, </w:t>
      </w:r>
      <w:proofErr w:type="gramStart"/>
      <w:r w:rsidR="00F326AA" w:rsidRPr="002E691B">
        <w:rPr>
          <w:lang w:val="en-US"/>
        </w:rPr>
        <w:t>M</w:t>
      </w:r>
      <w:proofErr w:type="gramEnd"/>
      <w:r w:rsidR="00F326AA" w:rsidRPr="002E691B">
        <w:rPr>
          <w:lang w:val="en-US"/>
        </w:rPr>
        <w:t>.</w:t>
      </w:r>
      <w:r w:rsidRPr="002E691B">
        <w:rPr>
          <w:lang w:val="en-US"/>
        </w:rPr>
        <w:t xml:space="preserve"> 200</w:t>
      </w:r>
      <w:r>
        <w:rPr>
          <w:lang w:val="en-US"/>
        </w:rPr>
        <w:t>7,</w:t>
      </w:r>
      <w:r w:rsidR="00F326AA" w:rsidRPr="002E691B">
        <w:rPr>
          <w:lang w:val="en-US"/>
        </w:rPr>
        <w:t xml:space="preserve"> </w:t>
      </w:r>
      <w:r w:rsidR="00F326AA" w:rsidRPr="00973121">
        <w:rPr>
          <w:lang w:val="en-US"/>
        </w:rPr>
        <w:t xml:space="preserve">Drivers and limitations for the successful development and functioning of EIPs (eco-industrial parks): A literature review. </w:t>
      </w:r>
      <w:r w:rsidR="00F326AA" w:rsidRPr="00BA7776">
        <w:rPr>
          <w:lang w:val="en-US"/>
        </w:rPr>
        <w:t>Ecological Economics, 61, 199-207.</w:t>
      </w:r>
    </w:p>
    <w:p w:rsidR="009E1F1C" w:rsidRDefault="002E691B" w:rsidP="002E691B">
      <w:pPr>
        <w:pStyle w:val="CETReferencetext"/>
        <w:rPr>
          <w:lang w:val="en-US"/>
        </w:rPr>
      </w:pPr>
      <w:proofErr w:type="spellStart"/>
      <w:r w:rsidRPr="002E691B">
        <w:rPr>
          <w:lang w:val="en-US"/>
        </w:rPr>
        <w:t>Vimal</w:t>
      </w:r>
      <w:proofErr w:type="spellEnd"/>
      <w:r w:rsidRPr="002E691B">
        <w:rPr>
          <w:lang w:val="en-US"/>
        </w:rPr>
        <w:t xml:space="preserve">, K., </w:t>
      </w:r>
      <w:proofErr w:type="spellStart"/>
      <w:r w:rsidRPr="002E691B">
        <w:rPr>
          <w:lang w:val="en-US"/>
        </w:rPr>
        <w:t>Jayakrishna</w:t>
      </w:r>
      <w:proofErr w:type="spellEnd"/>
      <w:r w:rsidRPr="002E691B">
        <w:rPr>
          <w:lang w:val="en-US"/>
        </w:rPr>
        <w:t xml:space="preserve">, K., Ameen, T., </w:t>
      </w:r>
      <w:proofErr w:type="spellStart"/>
      <w:r w:rsidRPr="002E691B">
        <w:rPr>
          <w:lang w:val="en-US"/>
        </w:rPr>
        <w:t>Afridhi</w:t>
      </w:r>
      <w:proofErr w:type="spellEnd"/>
      <w:r w:rsidRPr="002E691B">
        <w:rPr>
          <w:lang w:val="en-US"/>
        </w:rPr>
        <w:t xml:space="preserve">, S, </w:t>
      </w:r>
      <w:proofErr w:type="spellStart"/>
      <w:r w:rsidRPr="002E691B">
        <w:rPr>
          <w:lang w:val="en-US"/>
        </w:rPr>
        <w:t>Vasudevan</w:t>
      </w:r>
      <w:proofErr w:type="spellEnd"/>
      <w:r w:rsidRPr="002E691B">
        <w:rPr>
          <w:lang w:val="en-US"/>
        </w:rPr>
        <w:t>, V.</w:t>
      </w:r>
      <w:r w:rsidR="00F326AA" w:rsidRPr="004E1E4A">
        <w:rPr>
          <w:lang w:val="en-US"/>
        </w:rPr>
        <w:t xml:space="preserve"> 2019, </w:t>
      </w:r>
      <w:proofErr w:type="gramStart"/>
      <w:r w:rsidR="00F326AA" w:rsidRPr="004E1E4A">
        <w:rPr>
          <w:lang w:val="en-US"/>
        </w:rPr>
        <w:t>An</w:t>
      </w:r>
      <w:proofErr w:type="gramEnd"/>
      <w:r w:rsidR="00F326AA" w:rsidRPr="004E1E4A">
        <w:rPr>
          <w:lang w:val="en-US"/>
        </w:rPr>
        <w:t xml:space="preserve"> investigation on the impact of industrial symbiosis implementation on organizational performance using analytical hierarchical approach. </w:t>
      </w:r>
      <w:proofErr w:type="gramStart"/>
      <w:r w:rsidR="00F326AA" w:rsidRPr="004E1E4A">
        <w:rPr>
          <w:lang w:val="en-US"/>
        </w:rPr>
        <w:t>Benchmarking:</w:t>
      </w:r>
      <w:proofErr w:type="gramEnd"/>
      <w:r w:rsidR="00F326AA" w:rsidRPr="004E1E4A">
        <w:rPr>
          <w:lang w:val="en-US"/>
        </w:rPr>
        <w:t xml:space="preserve"> An International Journal</w:t>
      </w:r>
      <w:r w:rsidR="00F326AA">
        <w:rPr>
          <w:lang w:val="en-US"/>
        </w:rPr>
        <w:t>,</w:t>
      </w:r>
      <w:r w:rsidR="00F326AA" w:rsidRPr="004E1E4A">
        <w:rPr>
          <w:lang w:val="en-US"/>
        </w:rPr>
        <w:t xml:space="preserve"> 27, 886-911</w:t>
      </w:r>
      <w:r w:rsidR="00F326AA">
        <w:rPr>
          <w:lang w:val="en-US"/>
        </w:rPr>
        <w:t>.</w:t>
      </w:r>
    </w:p>
    <w:p w:rsidR="009E1F1C" w:rsidRPr="00B848D2" w:rsidRDefault="00F326AA" w:rsidP="00B848D2">
      <w:pPr>
        <w:pStyle w:val="CETReferencetext"/>
        <w:rPr>
          <w:highlight w:val="yellow"/>
        </w:rPr>
      </w:pPr>
      <w:proofErr w:type="spellStart"/>
      <w:r w:rsidRPr="00B848D2">
        <w:t>Yamsrual</w:t>
      </w:r>
      <w:proofErr w:type="spellEnd"/>
      <w:r>
        <w:t xml:space="preserve">, S., Sasaki, N., </w:t>
      </w:r>
      <w:proofErr w:type="spellStart"/>
      <w:r>
        <w:t>Tsusaka</w:t>
      </w:r>
      <w:proofErr w:type="spellEnd"/>
      <w:r>
        <w:t xml:space="preserve">, T., </w:t>
      </w:r>
      <w:proofErr w:type="spellStart"/>
      <w:r>
        <w:t>Winijkul</w:t>
      </w:r>
      <w:proofErr w:type="spellEnd"/>
      <w:r>
        <w:t xml:space="preserve">, E. </w:t>
      </w:r>
      <w:r w:rsidRPr="00B848D2">
        <w:t>2019</w:t>
      </w:r>
      <w:r>
        <w:t>,</w:t>
      </w:r>
      <w:r w:rsidRPr="00B848D2">
        <w:t xml:space="preserve"> Assessment of local perception on eco-industrial estate performances after 17 years of implementation in </w:t>
      </w:r>
      <w:r>
        <w:t>T</w:t>
      </w:r>
      <w:r w:rsidRPr="00B848D2">
        <w:t>hailand. Environmental Development, 32, 100457.</w:t>
      </w:r>
    </w:p>
    <w:p w:rsidR="00DC1532" w:rsidRPr="004A6EF4" w:rsidRDefault="00F326AA" w:rsidP="00DC1532">
      <w:pPr>
        <w:pStyle w:val="CETReferencetext"/>
        <w:rPr>
          <w:lang w:val="en-US"/>
        </w:rPr>
      </w:pPr>
      <w:r w:rsidRPr="00973121">
        <w:rPr>
          <w:lang w:val="en-US"/>
        </w:rPr>
        <w:t>Yu, C</w:t>
      </w:r>
      <w:r>
        <w:rPr>
          <w:lang w:val="en-US"/>
        </w:rPr>
        <w:t>.,</w:t>
      </w:r>
      <w:r w:rsidRPr="00973121">
        <w:rPr>
          <w:lang w:val="en-US"/>
        </w:rPr>
        <w:t xml:space="preserve"> Jong, M</w:t>
      </w:r>
      <w:r>
        <w:rPr>
          <w:lang w:val="en-US"/>
        </w:rPr>
        <w:t>.,</w:t>
      </w:r>
      <w:r w:rsidRPr="00973121">
        <w:rPr>
          <w:lang w:val="en-US"/>
        </w:rPr>
        <w:t xml:space="preserve"> </w:t>
      </w:r>
      <w:proofErr w:type="spellStart"/>
      <w:r w:rsidRPr="00973121">
        <w:rPr>
          <w:lang w:val="en-US"/>
        </w:rPr>
        <w:t>Dijkema</w:t>
      </w:r>
      <w:proofErr w:type="spellEnd"/>
      <w:r w:rsidRPr="00973121">
        <w:rPr>
          <w:lang w:val="en-US"/>
        </w:rPr>
        <w:t xml:space="preserve">, G. </w:t>
      </w:r>
      <w:r>
        <w:rPr>
          <w:lang w:val="en-US"/>
        </w:rPr>
        <w:t xml:space="preserve">2014, </w:t>
      </w:r>
      <w:r w:rsidRPr="00973121">
        <w:rPr>
          <w:lang w:val="en-US"/>
        </w:rPr>
        <w:t>Process analysis of eco-industrial park development–the case of Tianjin, China. </w:t>
      </w:r>
      <w:r w:rsidRPr="00364555">
        <w:rPr>
          <w:lang w:val="en-US"/>
        </w:rPr>
        <w:t>Journal of Cleaner Production, 64, 464-477.</w:t>
      </w:r>
    </w:p>
    <w:sectPr w:rsidR="00DC1532" w:rsidRPr="004A6EF4" w:rsidSect="0077098D">
      <w:type w:val="continuous"/>
      <w:pgSz w:w="11906" w:h="16838" w:code="9"/>
      <w:pgMar w:top="1701" w:right="1418" w:bottom="1701" w:left="1701" w:header="1701" w:footer="0" w:gutter="0"/>
      <w:cols w:space="708"/>
      <w:formProt w:val="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6466807"/>
    <w:multiLevelType w:val="multilevel"/>
    <w:tmpl w:val="32E0352C"/>
    <w:lvl w:ilvl="0">
      <w:start w:val="1"/>
      <w:numFmt w:val="bullet"/>
      <w:lvlText w:val="●"/>
      <w:lvlJc w:val="left"/>
      <w:pPr>
        <w:ind w:left="340" w:hanging="227"/>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238290A"/>
    <w:multiLevelType w:val="multilevel"/>
    <w:tmpl w:val="1EBEB16E"/>
    <w:lvl w:ilvl="0">
      <w:start w:val="1"/>
      <w:numFmt w:val="decimal"/>
      <w:lvlText w:val="Chapter %1"/>
      <w:lvlJc w:val="left"/>
      <w:pPr>
        <w:ind w:left="0" w:firstLine="0"/>
      </w:pPr>
    </w:lvl>
    <w:lvl w:ilvl="1">
      <w:start w:val="1"/>
      <w:numFmt w:val="decimal"/>
      <w:lvlText w:val="%2."/>
      <w:lvlJc w:val="left"/>
      <w:pPr>
        <w:ind w:left="0" w:firstLine="0"/>
      </w:pPr>
    </w:lvl>
    <w:lvl w:ilvl="2">
      <w:start w:val="1"/>
      <w:numFmt w:val="decimal"/>
      <w:lvlText w:val="%2.%3"/>
      <w:lvlJc w:val="left"/>
      <w:pPr>
        <w:ind w:left="0" w:firstLine="0"/>
      </w:pPr>
    </w:lvl>
    <w:lvl w:ilvl="3">
      <w:start w:val="1"/>
      <w:numFmt w:val="decimal"/>
      <w:lvlText w:val="%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3.%4.%5.%6.%7.%8.%9."/>
      <w:lvlJc w:val="left"/>
      <w:pPr>
        <w:ind w:left="0" w:firstLine="0"/>
      </w:pPr>
    </w:lvl>
  </w:abstractNum>
  <w:abstractNum w:abstractNumId="12"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asimples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330B7370"/>
    <w:multiLevelType w:val="hybridMultilevel"/>
    <w:tmpl w:val="12E2AD3A"/>
    <w:lvl w:ilvl="0" w:tplc="4618626C">
      <w:start w:val="1"/>
      <w:numFmt w:val="bullet"/>
      <w:lvlText w:val=""/>
      <w:lvlJc w:val="left"/>
      <w:pPr>
        <w:ind w:left="720" w:hanging="360"/>
      </w:pPr>
      <w:rPr>
        <w:rFonts w:ascii="Symbol" w:hAnsi="Symbol" w:hint="default"/>
      </w:rPr>
    </w:lvl>
    <w:lvl w:ilvl="1" w:tplc="1F28ABEA" w:tentative="1">
      <w:start w:val="1"/>
      <w:numFmt w:val="bullet"/>
      <w:lvlText w:val="o"/>
      <w:lvlJc w:val="left"/>
      <w:pPr>
        <w:ind w:left="1440" w:hanging="360"/>
      </w:pPr>
      <w:rPr>
        <w:rFonts w:ascii="Courier New" w:hAnsi="Courier New" w:cs="Courier New" w:hint="default"/>
      </w:rPr>
    </w:lvl>
    <w:lvl w:ilvl="2" w:tplc="B92C5A0C" w:tentative="1">
      <w:start w:val="1"/>
      <w:numFmt w:val="bullet"/>
      <w:lvlText w:val=""/>
      <w:lvlJc w:val="left"/>
      <w:pPr>
        <w:ind w:left="2160" w:hanging="360"/>
      </w:pPr>
      <w:rPr>
        <w:rFonts w:ascii="Wingdings" w:hAnsi="Wingdings" w:hint="default"/>
      </w:rPr>
    </w:lvl>
    <w:lvl w:ilvl="3" w:tplc="144E6FB4" w:tentative="1">
      <w:start w:val="1"/>
      <w:numFmt w:val="bullet"/>
      <w:lvlText w:val=""/>
      <w:lvlJc w:val="left"/>
      <w:pPr>
        <w:ind w:left="2880" w:hanging="360"/>
      </w:pPr>
      <w:rPr>
        <w:rFonts w:ascii="Symbol" w:hAnsi="Symbol" w:hint="default"/>
      </w:rPr>
    </w:lvl>
    <w:lvl w:ilvl="4" w:tplc="B5D2BEB0" w:tentative="1">
      <w:start w:val="1"/>
      <w:numFmt w:val="bullet"/>
      <w:lvlText w:val="o"/>
      <w:lvlJc w:val="left"/>
      <w:pPr>
        <w:ind w:left="3600" w:hanging="360"/>
      </w:pPr>
      <w:rPr>
        <w:rFonts w:ascii="Courier New" w:hAnsi="Courier New" w:cs="Courier New" w:hint="default"/>
      </w:rPr>
    </w:lvl>
    <w:lvl w:ilvl="5" w:tplc="E236C260" w:tentative="1">
      <w:start w:val="1"/>
      <w:numFmt w:val="bullet"/>
      <w:lvlText w:val=""/>
      <w:lvlJc w:val="left"/>
      <w:pPr>
        <w:ind w:left="4320" w:hanging="360"/>
      </w:pPr>
      <w:rPr>
        <w:rFonts w:ascii="Wingdings" w:hAnsi="Wingdings" w:hint="default"/>
      </w:rPr>
    </w:lvl>
    <w:lvl w:ilvl="6" w:tplc="775C6CCA" w:tentative="1">
      <w:start w:val="1"/>
      <w:numFmt w:val="bullet"/>
      <w:lvlText w:val=""/>
      <w:lvlJc w:val="left"/>
      <w:pPr>
        <w:ind w:left="5040" w:hanging="360"/>
      </w:pPr>
      <w:rPr>
        <w:rFonts w:ascii="Symbol" w:hAnsi="Symbol" w:hint="default"/>
      </w:rPr>
    </w:lvl>
    <w:lvl w:ilvl="7" w:tplc="24485FF0" w:tentative="1">
      <w:start w:val="1"/>
      <w:numFmt w:val="bullet"/>
      <w:lvlText w:val="o"/>
      <w:lvlJc w:val="left"/>
      <w:pPr>
        <w:ind w:left="5760" w:hanging="360"/>
      </w:pPr>
      <w:rPr>
        <w:rFonts w:ascii="Courier New" w:hAnsi="Courier New" w:cs="Courier New" w:hint="default"/>
      </w:rPr>
    </w:lvl>
    <w:lvl w:ilvl="8" w:tplc="E5F45C8A" w:tentative="1">
      <w:start w:val="1"/>
      <w:numFmt w:val="bullet"/>
      <w:lvlText w:val=""/>
      <w:lvlJc w:val="left"/>
      <w:pPr>
        <w:ind w:left="6480" w:hanging="360"/>
      </w:pPr>
      <w:rPr>
        <w:rFonts w:ascii="Wingdings" w:hAnsi="Wingdings" w:hint="default"/>
      </w:rPr>
    </w:lvl>
  </w:abstractNum>
  <w:abstractNum w:abstractNumId="14" w15:restartNumberingAfterBreak="0">
    <w:nsid w:val="351E0394"/>
    <w:multiLevelType w:val="hybridMultilevel"/>
    <w:tmpl w:val="806658E2"/>
    <w:lvl w:ilvl="0" w:tplc="A2B6BFDC">
      <w:start w:val="1"/>
      <w:numFmt w:val="bullet"/>
      <w:pStyle w:val="CETnumberingbullets"/>
      <w:lvlText w:val=""/>
      <w:lvlJc w:val="left"/>
      <w:pPr>
        <w:ind w:left="340" w:hanging="227"/>
      </w:pPr>
      <w:rPr>
        <w:rFonts w:ascii="Symbol" w:hAnsi="Symbol" w:hint="default"/>
      </w:rPr>
    </w:lvl>
    <w:lvl w:ilvl="1" w:tplc="CBB69BCC" w:tentative="1">
      <w:start w:val="1"/>
      <w:numFmt w:val="bullet"/>
      <w:lvlText w:val="o"/>
      <w:lvlJc w:val="left"/>
      <w:pPr>
        <w:ind w:left="1440" w:hanging="360"/>
      </w:pPr>
      <w:rPr>
        <w:rFonts w:ascii="Courier New" w:hAnsi="Courier New" w:cs="Courier New" w:hint="default"/>
      </w:rPr>
    </w:lvl>
    <w:lvl w:ilvl="2" w:tplc="51C6A880" w:tentative="1">
      <w:start w:val="1"/>
      <w:numFmt w:val="bullet"/>
      <w:lvlText w:val=""/>
      <w:lvlJc w:val="left"/>
      <w:pPr>
        <w:ind w:left="2160" w:hanging="360"/>
      </w:pPr>
      <w:rPr>
        <w:rFonts w:ascii="Wingdings" w:hAnsi="Wingdings" w:hint="default"/>
      </w:rPr>
    </w:lvl>
    <w:lvl w:ilvl="3" w:tplc="CF80174E" w:tentative="1">
      <w:start w:val="1"/>
      <w:numFmt w:val="bullet"/>
      <w:lvlText w:val=""/>
      <w:lvlJc w:val="left"/>
      <w:pPr>
        <w:ind w:left="2880" w:hanging="360"/>
      </w:pPr>
      <w:rPr>
        <w:rFonts w:ascii="Symbol" w:hAnsi="Symbol" w:hint="default"/>
      </w:rPr>
    </w:lvl>
    <w:lvl w:ilvl="4" w:tplc="83D29BB2" w:tentative="1">
      <w:start w:val="1"/>
      <w:numFmt w:val="bullet"/>
      <w:lvlText w:val="o"/>
      <w:lvlJc w:val="left"/>
      <w:pPr>
        <w:ind w:left="3600" w:hanging="360"/>
      </w:pPr>
      <w:rPr>
        <w:rFonts w:ascii="Courier New" w:hAnsi="Courier New" w:cs="Courier New" w:hint="default"/>
      </w:rPr>
    </w:lvl>
    <w:lvl w:ilvl="5" w:tplc="89261C48" w:tentative="1">
      <w:start w:val="1"/>
      <w:numFmt w:val="bullet"/>
      <w:lvlText w:val=""/>
      <w:lvlJc w:val="left"/>
      <w:pPr>
        <w:ind w:left="4320" w:hanging="360"/>
      </w:pPr>
      <w:rPr>
        <w:rFonts w:ascii="Wingdings" w:hAnsi="Wingdings" w:hint="default"/>
      </w:rPr>
    </w:lvl>
    <w:lvl w:ilvl="6" w:tplc="6D722FDC" w:tentative="1">
      <w:start w:val="1"/>
      <w:numFmt w:val="bullet"/>
      <w:lvlText w:val=""/>
      <w:lvlJc w:val="left"/>
      <w:pPr>
        <w:ind w:left="5040" w:hanging="360"/>
      </w:pPr>
      <w:rPr>
        <w:rFonts w:ascii="Symbol" w:hAnsi="Symbol" w:hint="default"/>
      </w:rPr>
    </w:lvl>
    <w:lvl w:ilvl="7" w:tplc="8AE60F1C" w:tentative="1">
      <w:start w:val="1"/>
      <w:numFmt w:val="bullet"/>
      <w:lvlText w:val="o"/>
      <w:lvlJc w:val="left"/>
      <w:pPr>
        <w:ind w:left="5760" w:hanging="360"/>
      </w:pPr>
      <w:rPr>
        <w:rFonts w:ascii="Courier New" w:hAnsi="Courier New" w:cs="Courier New" w:hint="default"/>
      </w:rPr>
    </w:lvl>
    <w:lvl w:ilvl="8" w:tplc="0EF42CA0"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5192B1C2">
      <w:start w:val="1"/>
      <w:numFmt w:val="decimal"/>
      <w:lvlText w:val="%1)"/>
      <w:lvlJc w:val="left"/>
      <w:pPr>
        <w:ind w:left="720" w:hanging="360"/>
      </w:pPr>
      <w:rPr>
        <w:rFonts w:hint="default"/>
      </w:rPr>
    </w:lvl>
    <w:lvl w:ilvl="1" w:tplc="120E2410" w:tentative="1">
      <w:start w:val="1"/>
      <w:numFmt w:val="lowerLetter"/>
      <w:lvlText w:val="%2."/>
      <w:lvlJc w:val="left"/>
      <w:pPr>
        <w:ind w:left="1440" w:hanging="360"/>
      </w:pPr>
    </w:lvl>
    <w:lvl w:ilvl="2" w:tplc="D7CEB834" w:tentative="1">
      <w:start w:val="1"/>
      <w:numFmt w:val="lowerRoman"/>
      <w:lvlText w:val="%3."/>
      <w:lvlJc w:val="right"/>
      <w:pPr>
        <w:ind w:left="2160" w:hanging="180"/>
      </w:pPr>
    </w:lvl>
    <w:lvl w:ilvl="3" w:tplc="38265F88" w:tentative="1">
      <w:start w:val="1"/>
      <w:numFmt w:val="decimal"/>
      <w:lvlText w:val="%4."/>
      <w:lvlJc w:val="left"/>
      <w:pPr>
        <w:ind w:left="2880" w:hanging="360"/>
      </w:pPr>
    </w:lvl>
    <w:lvl w:ilvl="4" w:tplc="430C92C0" w:tentative="1">
      <w:start w:val="1"/>
      <w:numFmt w:val="lowerLetter"/>
      <w:lvlText w:val="%5."/>
      <w:lvlJc w:val="left"/>
      <w:pPr>
        <w:ind w:left="3600" w:hanging="360"/>
      </w:pPr>
    </w:lvl>
    <w:lvl w:ilvl="5" w:tplc="5CE05E2C" w:tentative="1">
      <w:start w:val="1"/>
      <w:numFmt w:val="lowerRoman"/>
      <w:lvlText w:val="%6."/>
      <w:lvlJc w:val="right"/>
      <w:pPr>
        <w:ind w:left="4320" w:hanging="180"/>
      </w:pPr>
    </w:lvl>
    <w:lvl w:ilvl="6" w:tplc="1D8E2C52" w:tentative="1">
      <w:start w:val="1"/>
      <w:numFmt w:val="decimal"/>
      <w:lvlText w:val="%7."/>
      <w:lvlJc w:val="left"/>
      <w:pPr>
        <w:ind w:left="5040" w:hanging="360"/>
      </w:pPr>
    </w:lvl>
    <w:lvl w:ilvl="7" w:tplc="B04AAB6C" w:tentative="1">
      <w:start w:val="1"/>
      <w:numFmt w:val="lowerLetter"/>
      <w:lvlText w:val="%8."/>
      <w:lvlJc w:val="left"/>
      <w:pPr>
        <w:ind w:left="5760" w:hanging="360"/>
      </w:pPr>
    </w:lvl>
    <w:lvl w:ilvl="8" w:tplc="DADCA2E4"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340AB84C">
      <w:start w:val="1"/>
      <w:numFmt w:val="bullet"/>
      <w:lvlText w:val=""/>
      <w:lvlJc w:val="left"/>
      <w:pPr>
        <w:ind w:left="340" w:hanging="227"/>
      </w:pPr>
      <w:rPr>
        <w:rFonts w:ascii="Symbol" w:hAnsi="Symbol" w:hint="default"/>
      </w:rPr>
    </w:lvl>
    <w:lvl w:ilvl="1" w:tplc="B9BA860E" w:tentative="1">
      <w:start w:val="1"/>
      <w:numFmt w:val="bullet"/>
      <w:lvlText w:val="o"/>
      <w:lvlJc w:val="left"/>
      <w:pPr>
        <w:ind w:left="1440" w:hanging="360"/>
      </w:pPr>
      <w:rPr>
        <w:rFonts w:ascii="Courier New" w:hAnsi="Courier New" w:cs="Courier New" w:hint="default"/>
      </w:rPr>
    </w:lvl>
    <w:lvl w:ilvl="2" w:tplc="4DE6FD7A" w:tentative="1">
      <w:start w:val="1"/>
      <w:numFmt w:val="bullet"/>
      <w:lvlText w:val=""/>
      <w:lvlJc w:val="left"/>
      <w:pPr>
        <w:ind w:left="2160" w:hanging="360"/>
      </w:pPr>
      <w:rPr>
        <w:rFonts w:ascii="Wingdings" w:hAnsi="Wingdings" w:hint="default"/>
      </w:rPr>
    </w:lvl>
    <w:lvl w:ilvl="3" w:tplc="BFCEC5B2" w:tentative="1">
      <w:start w:val="1"/>
      <w:numFmt w:val="bullet"/>
      <w:lvlText w:val=""/>
      <w:lvlJc w:val="left"/>
      <w:pPr>
        <w:ind w:left="2880" w:hanging="360"/>
      </w:pPr>
      <w:rPr>
        <w:rFonts w:ascii="Symbol" w:hAnsi="Symbol" w:hint="default"/>
      </w:rPr>
    </w:lvl>
    <w:lvl w:ilvl="4" w:tplc="CE32104C" w:tentative="1">
      <w:start w:val="1"/>
      <w:numFmt w:val="bullet"/>
      <w:lvlText w:val="o"/>
      <w:lvlJc w:val="left"/>
      <w:pPr>
        <w:ind w:left="3600" w:hanging="360"/>
      </w:pPr>
      <w:rPr>
        <w:rFonts w:ascii="Courier New" w:hAnsi="Courier New" w:cs="Courier New" w:hint="default"/>
      </w:rPr>
    </w:lvl>
    <w:lvl w:ilvl="5" w:tplc="A9268738" w:tentative="1">
      <w:start w:val="1"/>
      <w:numFmt w:val="bullet"/>
      <w:lvlText w:val=""/>
      <w:lvlJc w:val="left"/>
      <w:pPr>
        <w:ind w:left="4320" w:hanging="360"/>
      </w:pPr>
      <w:rPr>
        <w:rFonts w:ascii="Wingdings" w:hAnsi="Wingdings" w:hint="default"/>
      </w:rPr>
    </w:lvl>
    <w:lvl w:ilvl="6" w:tplc="D304D71A" w:tentative="1">
      <w:start w:val="1"/>
      <w:numFmt w:val="bullet"/>
      <w:lvlText w:val=""/>
      <w:lvlJc w:val="left"/>
      <w:pPr>
        <w:ind w:left="5040" w:hanging="360"/>
      </w:pPr>
      <w:rPr>
        <w:rFonts w:ascii="Symbol" w:hAnsi="Symbol" w:hint="default"/>
      </w:rPr>
    </w:lvl>
    <w:lvl w:ilvl="7" w:tplc="C3563136" w:tentative="1">
      <w:start w:val="1"/>
      <w:numFmt w:val="bullet"/>
      <w:lvlText w:val="o"/>
      <w:lvlJc w:val="left"/>
      <w:pPr>
        <w:ind w:left="5760" w:hanging="360"/>
      </w:pPr>
      <w:rPr>
        <w:rFonts w:ascii="Courier New" w:hAnsi="Courier New" w:cs="Courier New" w:hint="default"/>
      </w:rPr>
    </w:lvl>
    <w:lvl w:ilvl="8" w:tplc="5D3A0A82"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D9F2B01C">
      <w:start w:val="1"/>
      <w:numFmt w:val="decimal"/>
      <w:lvlText w:val="%1)"/>
      <w:lvlJc w:val="left"/>
      <w:pPr>
        <w:ind w:left="340" w:hanging="227"/>
      </w:pPr>
      <w:rPr>
        <w:rFonts w:hint="default"/>
      </w:rPr>
    </w:lvl>
    <w:lvl w:ilvl="1" w:tplc="9C14149E" w:tentative="1">
      <w:start w:val="1"/>
      <w:numFmt w:val="bullet"/>
      <w:lvlText w:val="o"/>
      <w:lvlJc w:val="left"/>
      <w:pPr>
        <w:ind w:left="1440" w:hanging="360"/>
      </w:pPr>
      <w:rPr>
        <w:rFonts w:ascii="Courier New" w:hAnsi="Courier New" w:cs="Courier New" w:hint="default"/>
      </w:rPr>
    </w:lvl>
    <w:lvl w:ilvl="2" w:tplc="3E409BFA" w:tentative="1">
      <w:start w:val="1"/>
      <w:numFmt w:val="bullet"/>
      <w:lvlText w:val=""/>
      <w:lvlJc w:val="left"/>
      <w:pPr>
        <w:ind w:left="2160" w:hanging="360"/>
      </w:pPr>
      <w:rPr>
        <w:rFonts w:ascii="Wingdings" w:hAnsi="Wingdings" w:hint="default"/>
      </w:rPr>
    </w:lvl>
    <w:lvl w:ilvl="3" w:tplc="65D86C20" w:tentative="1">
      <w:start w:val="1"/>
      <w:numFmt w:val="bullet"/>
      <w:lvlText w:val=""/>
      <w:lvlJc w:val="left"/>
      <w:pPr>
        <w:ind w:left="2880" w:hanging="360"/>
      </w:pPr>
      <w:rPr>
        <w:rFonts w:ascii="Symbol" w:hAnsi="Symbol" w:hint="default"/>
      </w:rPr>
    </w:lvl>
    <w:lvl w:ilvl="4" w:tplc="86AE489E" w:tentative="1">
      <w:start w:val="1"/>
      <w:numFmt w:val="bullet"/>
      <w:lvlText w:val="o"/>
      <w:lvlJc w:val="left"/>
      <w:pPr>
        <w:ind w:left="3600" w:hanging="360"/>
      </w:pPr>
      <w:rPr>
        <w:rFonts w:ascii="Courier New" w:hAnsi="Courier New" w:cs="Courier New" w:hint="default"/>
      </w:rPr>
    </w:lvl>
    <w:lvl w:ilvl="5" w:tplc="2D3843B0" w:tentative="1">
      <w:start w:val="1"/>
      <w:numFmt w:val="bullet"/>
      <w:lvlText w:val=""/>
      <w:lvlJc w:val="left"/>
      <w:pPr>
        <w:ind w:left="4320" w:hanging="360"/>
      </w:pPr>
      <w:rPr>
        <w:rFonts w:ascii="Wingdings" w:hAnsi="Wingdings" w:hint="default"/>
      </w:rPr>
    </w:lvl>
    <w:lvl w:ilvl="6" w:tplc="462E9EA6" w:tentative="1">
      <w:start w:val="1"/>
      <w:numFmt w:val="bullet"/>
      <w:lvlText w:val=""/>
      <w:lvlJc w:val="left"/>
      <w:pPr>
        <w:ind w:left="5040" w:hanging="360"/>
      </w:pPr>
      <w:rPr>
        <w:rFonts w:ascii="Symbol" w:hAnsi="Symbol" w:hint="default"/>
      </w:rPr>
    </w:lvl>
    <w:lvl w:ilvl="7" w:tplc="CA465526" w:tentative="1">
      <w:start w:val="1"/>
      <w:numFmt w:val="bullet"/>
      <w:lvlText w:val="o"/>
      <w:lvlJc w:val="left"/>
      <w:pPr>
        <w:ind w:left="5760" w:hanging="360"/>
      </w:pPr>
      <w:rPr>
        <w:rFonts w:ascii="Courier New" w:hAnsi="Courier New" w:cs="Courier New" w:hint="default"/>
      </w:rPr>
    </w:lvl>
    <w:lvl w:ilvl="8" w:tplc="EA6230F4"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33525726">
      <w:start w:val="1"/>
      <w:numFmt w:val="decimal"/>
      <w:pStyle w:val="CETnumbering1"/>
      <w:lvlText w:val="%1."/>
      <w:lvlJc w:val="left"/>
      <w:pPr>
        <w:ind w:left="720" w:hanging="360"/>
      </w:pPr>
    </w:lvl>
    <w:lvl w:ilvl="1" w:tplc="CD0E351E" w:tentative="1">
      <w:start w:val="1"/>
      <w:numFmt w:val="lowerLetter"/>
      <w:lvlText w:val="%2."/>
      <w:lvlJc w:val="left"/>
      <w:pPr>
        <w:ind w:left="1440" w:hanging="360"/>
      </w:pPr>
    </w:lvl>
    <w:lvl w:ilvl="2" w:tplc="1BA85F3E" w:tentative="1">
      <w:start w:val="1"/>
      <w:numFmt w:val="lowerRoman"/>
      <w:lvlText w:val="%3."/>
      <w:lvlJc w:val="right"/>
      <w:pPr>
        <w:ind w:left="2160" w:hanging="180"/>
      </w:pPr>
    </w:lvl>
    <w:lvl w:ilvl="3" w:tplc="410CC2AE" w:tentative="1">
      <w:start w:val="1"/>
      <w:numFmt w:val="decimal"/>
      <w:lvlText w:val="%4."/>
      <w:lvlJc w:val="left"/>
      <w:pPr>
        <w:ind w:left="2880" w:hanging="360"/>
      </w:pPr>
    </w:lvl>
    <w:lvl w:ilvl="4" w:tplc="26B087BE" w:tentative="1">
      <w:start w:val="1"/>
      <w:numFmt w:val="lowerLetter"/>
      <w:lvlText w:val="%5."/>
      <w:lvlJc w:val="left"/>
      <w:pPr>
        <w:ind w:left="3600" w:hanging="360"/>
      </w:pPr>
    </w:lvl>
    <w:lvl w:ilvl="5" w:tplc="124AF9F4" w:tentative="1">
      <w:start w:val="1"/>
      <w:numFmt w:val="lowerRoman"/>
      <w:lvlText w:val="%6."/>
      <w:lvlJc w:val="right"/>
      <w:pPr>
        <w:ind w:left="4320" w:hanging="180"/>
      </w:pPr>
    </w:lvl>
    <w:lvl w:ilvl="6" w:tplc="BF9C6A44" w:tentative="1">
      <w:start w:val="1"/>
      <w:numFmt w:val="decimal"/>
      <w:lvlText w:val="%7."/>
      <w:lvlJc w:val="left"/>
      <w:pPr>
        <w:ind w:left="5040" w:hanging="360"/>
      </w:pPr>
    </w:lvl>
    <w:lvl w:ilvl="7" w:tplc="0FC078D6" w:tentative="1">
      <w:start w:val="1"/>
      <w:numFmt w:val="lowerLetter"/>
      <w:lvlText w:val="%8."/>
      <w:lvlJc w:val="left"/>
      <w:pPr>
        <w:ind w:left="5760" w:hanging="360"/>
      </w:pPr>
    </w:lvl>
    <w:lvl w:ilvl="8" w:tplc="26ECAA16"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32E4CF72">
      <w:start w:val="1"/>
      <w:numFmt w:val="bullet"/>
      <w:lvlText w:val=""/>
      <w:lvlJc w:val="left"/>
      <w:pPr>
        <w:ind w:left="720" w:hanging="360"/>
      </w:pPr>
      <w:rPr>
        <w:rFonts w:ascii="Symbol" w:hAnsi="Symbol" w:hint="default"/>
      </w:rPr>
    </w:lvl>
    <w:lvl w:ilvl="1" w:tplc="D8E8ED28" w:tentative="1">
      <w:start w:val="1"/>
      <w:numFmt w:val="bullet"/>
      <w:lvlText w:val="o"/>
      <w:lvlJc w:val="left"/>
      <w:pPr>
        <w:ind w:left="1440" w:hanging="360"/>
      </w:pPr>
      <w:rPr>
        <w:rFonts w:ascii="Courier New" w:hAnsi="Courier New" w:cs="Courier New" w:hint="default"/>
      </w:rPr>
    </w:lvl>
    <w:lvl w:ilvl="2" w:tplc="D0D2A972" w:tentative="1">
      <w:start w:val="1"/>
      <w:numFmt w:val="bullet"/>
      <w:lvlText w:val=""/>
      <w:lvlJc w:val="left"/>
      <w:pPr>
        <w:ind w:left="2160" w:hanging="360"/>
      </w:pPr>
      <w:rPr>
        <w:rFonts w:ascii="Wingdings" w:hAnsi="Wingdings" w:hint="default"/>
      </w:rPr>
    </w:lvl>
    <w:lvl w:ilvl="3" w:tplc="26C6CDDA" w:tentative="1">
      <w:start w:val="1"/>
      <w:numFmt w:val="bullet"/>
      <w:lvlText w:val=""/>
      <w:lvlJc w:val="left"/>
      <w:pPr>
        <w:ind w:left="2880" w:hanging="360"/>
      </w:pPr>
      <w:rPr>
        <w:rFonts w:ascii="Symbol" w:hAnsi="Symbol" w:hint="default"/>
      </w:rPr>
    </w:lvl>
    <w:lvl w:ilvl="4" w:tplc="A1526798" w:tentative="1">
      <w:start w:val="1"/>
      <w:numFmt w:val="bullet"/>
      <w:lvlText w:val="o"/>
      <w:lvlJc w:val="left"/>
      <w:pPr>
        <w:ind w:left="3600" w:hanging="360"/>
      </w:pPr>
      <w:rPr>
        <w:rFonts w:ascii="Courier New" w:hAnsi="Courier New" w:cs="Courier New" w:hint="default"/>
      </w:rPr>
    </w:lvl>
    <w:lvl w:ilvl="5" w:tplc="CD20C3B0" w:tentative="1">
      <w:start w:val="1"/>
      <w:numFmt w:val="bullet"/>
      <w:lvlText w:val=""/>
      <w:lvlJc w:val="left"/>
      <w:pPr>
        <w:ind w:left="4320" w:hanging="360"/>
      </w:pPr>
      <w:rPr>
        <w:rFonts w:ascii="Wingdings" w:hAnsi="Wingdings" w:hint="default"/>
      </w:rPr>
    </w:lvl>
    <w:lvl w:ilvl="6" w:tplc="D2FCA37A" w:tentative="1">
      <w:start w:val="1"/>
      <w:numFmt w:val="bullet"/>
      <w:lvlText w:val=""/>
      <w:lvlJc w:val="left"/>
      <w:pPr>
        <w:ind w:left="5040" w:hanging="360"/>
      </w:pPr>
      <w:rPr>
        <w:rFonts w:ascii="Symbol" w:hAnsi="Symbol" w:hint="default"/>
      </w:rPr>
    </w:lvl>
    <w:lvl w:ilvl="7" w:tplc="2DCE9BAC" w:tentative="1">
      <w:start w:val="1"/>
      <w:numFmt w:val="bullet"/>
      <w:lvlText w:val="o"/>
      <w:lvlJc w:val="left"/>
      <w:pPr>
        <w:ind w:left="5760" w:hanging="360"/>
      </w:pPr>
      <w:rPr>
        <w:rFonts w:ascii="Courier New" w:hAnsi="Courier New" w:cs="Courier New" w:hint="default"/>
      </w:rPr>
    </w:lvl>
    <w:lvl w:ilvl="8" w:tplc="9FC01E34"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AFA2799E">
      <w:start w:val="1"/>
      <w:numFmt w:val="lowerLetter"/>
      <w:pStyle w:val="CETnumberinga"/>
      <w:lvlText w:val="%1."/>
      <w:lvlJc w:val="left"/>
      <w:pPr>
        <w:ind w:left="340" w:hanging="227"/>
      </w:pPr>
      <w:rPr>
        <w:rFonts w:hint="default"/>
      </w:rPr>
    </w:lvl>
    <w:lvl w:ilvl="1" w:tplc="249A8954" w:tentative="1">
      <w:start w:val="1"/>
      <w:numFmt w:val="bullet"/>
      <w:lvlText w:val="o"/>
      <w:lvlJc w:val="left"/>
      <w:pPr>
        <w:ind w:left="1440" w:hanging="360"/>
      </w:pPr>
      <w:rPr>
        <w:rFonts w:ascii="Courier New" w:hAnsi="Courier New" w:cs="Courier New" w:hint="default"/>
      </w:rPr>
    </w:lvl>
    <w:lvl w:ilvl="2" w:tplc="E586D8B2" w:tentative="1">
      <w:start w:val="1"/>
      <w:numFmt w:val="bullet"/>
      <w:lvlText w:val=""/>
      <w:lvlJc w:val="left"/>
      <w:pPr>
        <w:ind w:left="2160" w:hanging="360"/>
      </w:pPr>
      <w:rPr>
        <w:rFonts w:ascii="Wingdings" w:hAnsi="Wingdings" w:hint="default"/>
      </w:rPr>
    </w:lvl>
    <w:lvl w:ilvl="3" w:tplc="CA9C4BFE" w:tentative="1">
      <w:start w:val="1"/>
      <w:numFmt w:val="bullet"/>
      <w:lvlText w:val=""/>
      <w:lvlJc w:val="left"/>
      <w:pPr>
        <w:ind w:left="2880" w:hanging="360"/>
      </w:pPr>
      <w:rPr>
        <w:rFonts w:ascii="Symbol" w:hAnsi="Symbol" w:hint="default"/>
      </w:rPr>
    </w:lvl>
    <w:lvl w:ilvl="4" w:tplc="DCFC5F9E" w:tentative="1">
      <w:start w:val="1"/>
      <w:numFmt w:val="bullet"/>
      <w:lvlText w:val="o"/>
      <w:lvlJc w:val="left"/>
      <w:pPr>
        <w:ind w:left="3600" w:hanging="360"/>
      </w:pPr>
      <w:rPr>
        <w:rFonts w:ascii="Courier New" w:hAnsi="Courier New" w:cs="Courier New" w:hint="default"/>
      </w:rPr>
    </w:lvl>
    <w:lvl w:ilvl="5" w:tplc="87B0D130" w:tentative="1">
      <w:start w:val="1"/>
      <w:numFmt w:val="bullet"/>
      <w:lvlText w:val=""/>
      <w:lvlJc w:val="left"/>
      <w:pPr>
        <w:ind w:left="4320" w:hanging="360"/>
      </w:pPr>
      <w:rPr>
        <w:rFonts w:ascii="Wingdings" w:hAnsi="Wingdings" w:hint="default"/>
      </w:rPr>
    </w:lvl>
    <w:lvl w:ilvl="6" w:tplc="A1604BB2" w:tentative="1">
      <w:start w:val="1"/>
      <w:numFmt w:val="bullet"/>
      <w:lvlText w:val=""/>
      <w:lvlJc w:val="left"/>
      <w:pPr>
        <w:ind w:left="5040" w:hanging="360"/>
      </w:pPr>
      <w:rPr>
        <w:rFonts w:ascii="Symbol" w:hAnsi="Symbol" w:hint="default"/>
      </w:rPr>
    </w:lvl>
    <w:lvl w:ilvl="7" w:tplc="476432F2" w:tentative="1">
      <w:start w:val="1"/>
      <w:numFmt w:val="bullet"/>
      <w:lvlText w:val="o"/>
      <w:lvlJc w:val="left"/>
      <w:pPr>
        <w:ind w:left="5760" w:hanging="360"/>
      </w:pPr>
      <w:rPr>
        <w:rFonts w:ascii="Courier New" w:hAnsi="Courier New" w:cs="Courier New" w:hint="default"/>
      </w:rPr>
    </w:lvl>
    <w:lvl w:ilvl="8" w:tplc="F1EA40DA"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8"/>
  </w:num>
  <w:num w:numId="13">
    <w:abstractNumId w:val="14"/>
  </w:num>
  <w:num w:numId="14">
    <w:abstractNumId w:val="19"/>
  </w:num>
  <w:num w:numId="15">
    <w:abstractNumId w:val="21"/>
  </w:num>
  <w:num w:numId="16">
    <w:abstractNumId w:val="20"/>
  </w:num>
  <w:num w:numId="17">
    <w:abstractNumId w:val="13"/>
  </w:num>
  <w:num w:numId="18">
    <w:abstractNumId w:val="14"/>
    <w:lvlOverride w:ilvl="0">
      <w:startOverride w:val="1"/>
    </w:lvlOverride>
  </w:num>
  <w:num w:numId="19">
    <w:abstractNumId w:val="17"/>
  </w:num>
  <w:num w:numId="20">
    <w:abstractNumId w:val="16"/>
  </w:num>
  <w:num w:numId="21">
    <w:abstractNumId w:val="15"/>
  </w:num>
  <w:num w:numId="22">
    <w:abstractNumId w:val="10"/>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kwNKsFAOzIv8otAAAA"/>
  </w:docVars>
  <w:rsids>
    <w:rsidRoot w:val="000E414A"/>
    <w:rsid w:val="000004ED"/>
    <w:rsid w:val="000027C0"/>
    <w:rsid w:val="000052FB"/>
    <w:rsid w:val="0000586F"/>
    <w:rsid w:val="000117CB"/>
    <w:rsid w:val="0001692F"/>
    <w:rsid w:val="0003148D"/>
    <w:rsid w:val="0004178C"/>
    <w:rsid w:val="00047962"/>
    <w:rsid w:val="00051566"/>
    <w:rsid w:val="00062A9A"/>
    <w:rsid w:val="00063935"/>
    <w:rsid w:val="00065058"/>
    <w:rsid w:val="00065E09"/>
    <w:rsid w:val="00086C39"/>
    <w:rsid w:val="000A03B2"/>
    <w:rsid w:val="000B3BFC"/>
    <w:rsid w:val="000D0268"/>
    <w:rsid w:val="000D34BE"/>
    <w:rsid w:val="000E102F"/>
    <w:rsid w:val="000E36F1"/>
    <w:rsid w:val="000E3A73"/>
    <w:rsid w:val="000E414A"/>
    <w:rsid w:val="000E48A8"/>
    <w:rsid w:val="000F093C"/>
    <w:rsid w:val="000F3E41"/>
    <w:rsid w:val="000F787B"/>
    <w:rsid w:val="001161BD"/>
    <w:rsid w:val="0012091F"/>
    <w:rsid w:val="001211F6"/>
    <w:rsid w:val="0012404B"/>
    <w:rsid w:val="00124814"/>
    <w:rsid w:val="001265A7"/>
    <w:rsid w:val="00126BC2"/>
    <w:rsid w:val="001308B6"/>
    <w:rsid w:val="0013121F"/>
    <w:rsid w:val="00131FE6"/>
    <w:rsid w:val="0013263F"/>
    <w:rsid w:val="00134DE4"/>
    <w:rsid w:val="0014034D"/>
    <w:rsid w:val="0014464F"/>
    <w:rsid w:val="00150E59"/>
    <w:rsid w:val="00152DE3"/>
    <w:rsid w:val="001548BF"/>
    <w:rsid w:val="00161D0B"/>
    <w:rsid w:val="00164CF9"/>
    <w:rsid w:val="00180860"/>
    <w:rsid w:val="00183D62"/>
    <w:rsid w:val="00184AD6"/>
    <w:rsid w:val="001873F8"/>
    <w:rsid w:val="001A5B78"/>
    <w:rsid w:val="001B0349"/>
    <w:rsid w:val="001B65C1"/>
    <w:rsid w:val="001C684B"/>
    <w:rsid w:val="001D41C2"/>
    <w:rsid w:val="001D53FC"/>
    <w:rsid w:val="001F42A5"/>
    <w:rsid w:val="001F7B9D"/>
    <w:rsid w:val="002224B4"/>
    <w:rsid w:val="002447EF"/>
    <w:rsid w:val="00246C9F"/>
    <w:rsid w:val="00251550"/>
    <w:rsid w:val="00256B07"/>
    <w:rsid w:val="00263B05"/>
    <w:rsid w:val="0027221A"/>
    <w:rsid w:val="00275B61"/>
    <w:rsid w:val="00282656"/>
    <w:rsid w:val="00285520"/>
    <w:rsid w:val="00286CDF"/>
    <w:rsid w:val="00290C6C"/>
    <w:rsid w:val="00293DBF"/>
    <w:rsid w:val="0029514E"/>
    <w:rsid w:val="00296B83"/>
    <w:rsid w:val="002974F6"/>
    <w:rsid w:val="002A10EB"/>
    <w:rsid w:val="002A394D"/>
    <w:rsid w:val="002A401E"/>
    <w:rsid w:val="002B78CE"/>
    <w:rsid w:val="002C2FB6"/>
    <w:rsid w:val="002C3603"/>
    <w:rsid w:val="002D08A3"/>
    <w:rsid w:val="002D097D"/>
    <w:rsid w:val="002D2DB3"/>
    <w:rsid w:val="002D7389"/>
    <w:rsid w:val="002E691B"/>
    <w:rsid w:val="002F1361"/>
    <w:rsid w:val="003009B7"/>
    <w:rsid w:val="00300E56"/>
    <w:rsid w:val="0030469C"/>
    <w:rsid w:val="00315FE2"/>
    <w:rsid w:val="00321CA6"/>
    <w:rsid w:val="003231F7"/>
    <w:rsid w:val="00326823"/>
    <w:rsid w:val="00334C09"/>
    <w:rsid w:val="003473AE"/>
    <w:rsid w:val="003548EE"/>
    <w:rsid w:val="00364555"/>
    <w:rsid w:val="003723D4"/>
    <w:rsid w:val="0037282E"/>
    <w:rsid w:val="003747BF"/>
    <w:rsid w:val="00383F4B"/>
    <w:rsid w:val="00384CC8"/>
    <w:rsid w:val="003871FD"/>
    <w:rsid w:val="003A1E30"/>
    <w:rsid w:val="003A6293"/>
    <w:rsid w:val="003A71DA"/>
    <w:rsid w:val="003A7D1C"/>
    <w:rsid w:val="003B304B"/>
    <w:rsid w:val="003B3146"/>
    <w:rsid w:val="003C78FF"/>
    <w:rsid w:val="003D3096"/>
    <w:rsid w:val="003F015E"/>
    <w:rsid w:val="003F0E0C"/>
    <w:rsid w:val="00400414"/>
    <w:rsid w:val="004127AF"/>
    <w:rsid w:val="0041446B"/>
    <w:rsid w:val="004274AC"/>
    <w:rsid w:val="00436281"/>
    <w:rsid w:val="0044329C"/>
    <w:rsid w:val="004577FE"/>
    <w:rsid w:val="00457B9C"/>
    <w:rsid w:val="0046164A"/>
    <w:rsid w:val="004628D2"/>
    <w:rsid w:val="00462DCD"/>
    <w:rsid w:val="004648AD"/>
    <w:rsid w:val="004703A9"/>
    <w:rsid w:val="004760DE"/>
    <w:rsid w:val="004848B3"/>
    <w:rsid w:val="0048538E"/>
    <w:rsid w:val="00495743"/>
    <w:rsid w:val="004A004E"/>
    <w:rsid w:val="004A24CF"/>
    <w:rsid w:val="004A53E6"/>
    <w:rsid w:val="004A6EF4"/>
    <w:rsid w:val="004C3D1D"/>
    <w:rsid w:val="004C44F4"/>
    <w:rsid w:val="004C7913"/>
    <w:rsid w:val="004D7675"/>
    <w:rsid w:val="004E1E4A"/>
    <w:rsid w:val="004E2ED3"/>
    <w:rsid w:val="004E4DD6"/>
    <w:rsid w:val="004F5B16"/>
    <w:rsid w:val="004F5E36"/>
    <w:rsid w:val="00507B47"/>
    <w:rsid w:val="00507CC9"/>
    <w:rsid w:val="005119A5"/>
    <w:rsid w:val="00516D93"/>
    <w:rsid w:val="005227C9"/>
    <w:rsid w:val="005278B7"/>
    <w:rsid w:val="00532016"/>
    <w:rsid w:val="005346C8"/>
    <w:rsid w:val="00543E7D"/>
    <w:rsid w:val="00547A68"/>
    <w:rsid w:val="005531C9"/>
    <w:rsid w:val="005571B1"/>
    <w:rsid w:val="00574119"/>
    <w:rsid w:val="00583F89"/>
    <w:rsid w:val="00584CD8"/>
    <w:rsid w:val="005A3E9C"/>
    <w:rsid w:val="005B2110"/>
    <w:rsid w:val="005B5572"/>
    <w:rsid w:val="005B61E6"/>
    <w:rsid w:val="005C4221"/>
    <w:rsid w:val="005C77E1"/>
    <w:rsid w:val="005D1F4C"/>
    <w:rsid w:val="005D6A2F"/>
    <w:rsid w:val="005E1A82"/>
    <w:rsid w:val="005E794C"/>
    <w:rsid w:val="005F0A28"/>
    <w:rsid w:val="005F0E5E"/>
    <w:rsid w:val="00600535"/>
    <w:rsid w:val="006014AD"/>
    <w:rsid w:val="006046E6"/>
    <w:rsid w:val="00606437"/>
    <w:rsid w:val="00610CD6"/>
    <w:rsid w:val="00615843"/>
    <w:rsid w:val="00620C11"/>
    <w:rsid w:val="00620DEE"/>
    <w:rsid w:val="00621F92"/>
    <w:rsid w:val="00624F97"/>
    <w:rsid w:val="00625639"/>
    <w:rsid w:val="00631B33"/>
    <w:rsid w:val="0064184D"/>
    <w:rsid w:val="006514B5"/>
    <w:rsid w:val="00652735"/>
    <w:rsid w:val="00660E3E"/>
    <w:rsid w:val="00662E74"/>
    <w:rsid w:val="00671A42"/>
    <w:rsid w:val="0067244E"/>
    <w:rsid w:val="00680C23"/>
    <w:rsid w:val="00693766"/>
    <w:rsid w:val="00695694"/>
    <w:rsid w:val="006A3281"/>
    <w:rsid w:val="006B1BF9"/>
    <w:rsid w:val="006B4888"/>
    <w:rsid w:val="006C2E45"/>
    <w:rsid w:val="006C359C"/>
    <w:rsid w:val="006C5579"/>
    <w:rsid w:val="006D5BEB"/>
    <w:rsid w:val="006E2CD6"/>
    <w:rsid w:val="006E3547"/>
    <w:rsid w:val="006E737D"/>
    <w:rsid w:val="006F6FB4"/>
    <w:rsid w:val="007154B8"/>
    <w:rsid w:val="00716696"/>
    <w:rsid w:val="007174F3"/>
    <w:rsid w:val="00717AF6"/>
    <w:rsid w:val="00720A24"/>
    <w:rsid w:val="00726D01"/>
    <w:rsid w:val="00730735"/>
    <w:rsid w:val="00732386"/>
    <w:rsid w:val="007447F3"/>
    <w:rsid w:val="00751EEE"/>
    <w:rsid w:val="0075499F"/>
    <w:rsid w:val="007661C8"/>
    <w:rsid w:val="0077098D"/>
    <w:rsid w:val="00776389"/>
    <w:rsid w:val="00776A9F"/>
    <w:rsid w:val="00792A82"/>
    <w:rsid w:val="007A43CE"/>
    <w:rsid w:val="007A7A93"/>
    <w:rsid w:val="007A7BBA"/>
    <w:rsid w:val="007B0C50"/>
    <w:rsid w:val="007B3C15"/>
    <w:rsid w:val="007C1A43"/>
    <w:rsid w:val="007C6250"/>
    <w:rsid w:val="007E5A6B"/>
    <w:rsid w:val="00807455"/>
    <w:rsid w:val="00810A74"/>
    <w:rsid w:val="00813288"/>
    <w:rsid w:val="008168FC"/>
    <w:rsid w:val="00830996"/>
    <w:rsid w:val="008345F1"/>
    <w:rsid w:val="00840CCD"/>
    <w:rsid w:val="0084733E"/>
    <w:rsid w:val="008558B6"/>
    <w:rsid w:val="00865B07"/>
    <w:rsid w:val="008667EA"/>
    <w:rsid w:val="00873D70"/>
    <w:rsid w:val="0087637F"/>
    <w:rsid w:val="00886B75"/>
    <w:rsid w:val="008929F4"/>
    <w:rsid w:val="00892AD5"/>
    <w:rsid w:val="008A1512"/>
    <w:rsid w:val="008A5ABD"/>
    <w:rsid w:val="008A6956"/>
    <w:rsid w:val="008B4834"/>
    <w:rsid w:val="008C7F62"/>
    <w:rsid w:val="008D252A"/>
    <w:rsid w:val="008D433B"/>
    <w:rsid w:val="008D5BAA"/>
    <w:rsid w:val="008E566E"/>
    <w:rsid w:val="008E572D"/>
    <w:rsid w:val="008F3C38"/>
    <w:rsid w:val="00900217"/>
    <w:rsid w:val="0090161A"/>
    <w:rsid w:val="00901EB6"/>
    <w:rsid w:val="009033C0"/>
    <w:rsid w:val="00904C62"/>
    <w:rsid w:val="009056EF"/>
    <w:rsid w:val="009115E4"/>
    <w:rsid w:val="00921C86"/>
    <w:rsid w:val="00924DAC"/>
    <w:rsid w:val="009265A2"/>
    <w:rsid w:val="00927058"/>
    <w:rsid w:val="009339F6"/>
    <w:rsid w:val="009450CE"/>
    <w:rsid w:val="00947179"/>
    <w:rsid w:val="009502A2"/>
    <w:rsid w:val="0095164B"/>
    <w:rsid w:val="00954090"/>
    <w:rsid w:val="009573E7"/>
    <w:rsid w:val="0096348D"/>
    <w:rsid w:val="00963E05"/>
    <w:rsid w:val="00967323"/>
    <w:rsid w:val="00967D54"/>
    <w:rsid w:val="00973121"/>
    <w:rsid w:val="009774F0"/>
    <w:rsid w:val="00977F9E"/>
    <w:rsid w:val="00996483"/>
    <w:rsid w:val="00996F5A"/>
    <w:rsid w:val="009A1A71"/>
    <w:rsid w:val="009A6023"/>
    <w:rsid w:val="009B041A"/>
    <w:rsid w:val="009B5137"/>
    <w:rsid w:val="009B5792"/>
    <w:rsid w:val="009C7C86"/>
    <w:rsid w:val="009D2FF7"/>
    <w:rsid w:val="009E1F1C"/>
    <w:rsid w:val="009E7884"/>
    <w:rsid w:val="009E788A"/>
    <w:rsid w:val="009F0E08"/>
    <w:rsid w:val="009F6CA8"/>
    <w:rsid w:val="009F7F64"/>
    <w:rsid w:val="00A1763D"/>
    <w:rsid w:val="00A17CEC"/>
    <w:rsid w:val="00A27EF0"/>
    <w:rsid w:val="00A412FE"/>
    <w:rsid w:val="00A50B20"/>
    <w:rsid w:val="00A50EA5"/>
    <w:rsid w:val="00A51390"/>
    <w:rsid w:val="00A56978"/>
    <w:rsid w:val="00A60D13"/>
    <w:rsid w:val="00A61CCF"/>
    <w:rsid w:val="00A64C18"/>
    <w:rsid w:val="00A72745"/>
    <w:rsid w:val="00A76EFC"/>
    <w:rsid w:val="00A81A26"/>
    <w:rsid w:val="00A87393"/>
    <w:rsid w:val="00A91010"/>
    <w:rsid w:val="00A928F6"/>
    <w:rsid w:val="00A97F29"/>
    <w:rsid w:val="00AA702E"/>
    <w:rsid w:val="00AB0964"/>
    <w:rsid w:val="00AB5011"/>
    <w:rsid w:val="00AB607F"/>
    <w:rsid w:val="00AB64B8"/>
    <w:rsid w:val="00AB6B45"/>
    <w:rsid w:val="00AC7368"/>
    <w:rsid w:val="00AD16B9"/>
    <w:rsid w:val="00AD3145"/>
    <w:rsid w:val="00AE377D"/>
    <w:rsid w:val="00B171EC"/>
    <w:rsid w:val="00B17FBD"/>
    <w:rsid w:val="00B3087D"/>
    <w:rsid w:val="00B315A6"/>
    <w:rsid w:val="00B31813"/>
    <w:rsid w:val="00B33365"/>
    <w:rsid w:val="00B3794F"/>
    <w:rsid w:val="00B41A8F"/>
    <w:rsid w:val="00B45B20"/>
    <w:rsid w:val="00B57B36"/>
    <w:rsid w:val="00B6240B"/>
    <w:rsid w:val="00B64707"/>
    <w:rsid w:val="00B77219"/>
    <w:rsid w:val="00B848D2"/>
    <w:rsid w:val="00B8686D"/>
    <w:rsid w:val="00B86DCD"/>
    <w:rsid w:val="00B95322"/>
    <w:rsid w:val="00BA7776"/>
    <w:rsid w:val="00BB14F5"/>
    <w:rsid w:val="00BC30C9"/>
    <w:rsid w:val="00BE3E58"/>
    <w:rsid w:val="00BF2E07"/>
    <w:rsid w:val="00BF4A2C"/>
    <w:rsid w:val="00BF748D"/>
    <w:rsid w:val="00C01616"/>
    <w:rsid w:val="00C0162B"/>
    <w:rsid w:val="00C023BB"/>
    <w:rsid w:val="00C247EB"/>
    <w:rsid w:val="00C24B59"/>
    <w:rsid w:val="00C345B1"/>
    <w:rsid w:val="00C40142"/>
    <w:rsid w:val="00C52823"/>
    <w:rsid w:val="00C57182"/>
    <w:rsid w:val="00C57863"/>
    <w:rsid w:val="00C655FD"/>
    <w:rsid w:val="00C6592E"/>
    <w:rsid w:val="00C669C0"/>
    <w:rsid w:val="00C71FB5"/>
    <w:rsid w:val="00C722BB"/>
    <w:rsid w:val="00C84561"/>
    <w:rsid w:val="00C870A8"/>
    <w:rsid w:val="00C94434"/>
    <w:rsid w:val="00CA0D75"/>
    <w:rsid w:val="00CA1C95"/>
    <w:rsid w:val="00CA40FD"/>
    <w:rsid w:val="00CA5A9C"/>
    <w:rsid w:val="00CD03BB"/>
    <w:rsid w:val="00CD5FE2"/>
    <w:rsid w:val="00CE7C68"/>
    <w:rsid w:val="00D02B4C"/>
    <w:rsid w:val="00D03A8B"/>
    <w:rsid w:val="00D040C4"/>
    <w:rsid w:val="00D13532"/>
    <w:rsid w:val="00D2358D"/>
    <w:rsid w:val="00D377C8"/>
    <w:rsid w:val="00D57C84"/>
    <w:rsid w:val="00D6057D"/>
    <w:rsid w:val="00D642A9"/>
    <w:rsid w:val="00D775C0"/>
    <w:rsid w:val="00D84576"/>
    <w:rsid w:val="00D91850"/>
    <w:rsid w:val="00D94FE5"/>
    <w:rsid w:val="00DA1399"/>
    <w:rsid w:val="00DA24C6"/>
    <w:rsid w:val="00DA4D7B"/>
    <w:rsid w:val="00DA65A9"/>
    <w:rsid w:val="00DC102E"/>
    <w:rsid w:val="00DC1532"/>
    <w:rsid w:val="00DE264A"/>
    <w:rsid w:val="00E02D18"/>
    <w:rsid w:val="00E041E7"/>
    <w:rsid w:val="00E23CA1"/>
    <w:rsid w:val="00E409A8"/>
    <w:rsid w:val="00E50C12"/>
    <w:rsid w:val="00E572B8"/>
    <w:rsid w:val="00E63A41"/>
    <w:rsid w:val="00E65B91"/>
    <w:rsid w:val="00E7209D"/>
    <w:rsid w:val="00E77223"/>
    <w:rsid w:val="00E8528B"/>
    <w:rsid w:val="00E85B94"/>
    <w:rsid w:val="00E978D0"/>
    <w:rsid w:val="00EA3AD0"/>
    <w:rsid w:val="00EA4163"/>
    <w:rsid w:val="00EA4613"/>
    <w:rsid w:val="00EA7F91"/>
    <w:rsid w:val="00EB1523"/>
    <w:rsid w:val="00EB4703"/>
    <w:rsid w:val="00EB7BF3"/>
    <w:rsid w:val="00EC0E49"/>
    <w:rsid w:val="00EC1977"/>
    <w:rsid w:val="00EC6199"/>
    <w:rsid w:val="00ED015A"/>
    <w:rsid w:val="00ED252B"/>
    <w:rsid w:val="00ED68FB"/>
    <w:rsid w:val="00EE0131"/>
    <w:rsid w:val="00EE1244"/>
    <w:rsid w:val="00EF2394"/>
    <w:rsid w:val="00F30C64"/>
    <w:rsid w:val="00F326AA"/>
    <w:rsid w:val="00F32CDB"/>
    <w:rsid w:val="00F53B0B"/>
    <w:rsid w:val="00F63A70"/>
    <w:rsid w:val="00F64EBA"/>
    <w:rsid w:val="00F71D7E"/>
    <w:rsid w:val="00F97932"/>
    <w:rsid w:val="00FA21D0"/>
    <w:rsid w:val="00FA5F5F"/>
    <w:rsid w:val="00FA6AAF"/>
    <w:rsid w:val="00FB653B"/>
    <w:rsid w:val="00FB730C"/>
    <w:rsid w:val="00FC2695"/>
    <w:rsid w:val="00FC3E03"/>
    <w:rsid w:val="00FC3FC1"/>
    <w:rsid w:val="00FD7426"/>
    <w:rsid w:val="00FE480D"/>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30"/>
  <w15:docId w15:val="{3CBB779D-4142-4FDA-AF75-BEE8B7D09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h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asimples1">
    <w:name w:val="Table Simple 1"/>
    <w:basedOn w:val="Tabe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rio">
    <w:name w:val="annotation reference"/>
    <w:basedOn w:val="Fontepargpadro"/>
    <w:uiPriority w:val="99"/>
    <w:semiHidden/>
    <w:unhideWhenUsed/>
    <w:rsid w:val="004577FE"/>
    <w:rPr>
      <w:sz w:val="16"/>
      <w:szCs w:val="16"/>
    </w:rPr>
  </w:style>
  <w:style w:type="paragraph" w:styleId="Textodebalo">
    <w:name w:val="Balloon Text"/>
    <w:basedOn w:val="Normal"/>
    <w:link w:val="TextodebaloChar"/>
    <w:uiPriority w:val="99"/>
    <w:semiHidden/>
    <w:unhideWhenUsed/>
    <w:rsid w:val="000D34B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texto2">
    <w:name w:val="Body Text 2"/>
    <w:basedOn w:val="Normal"/>
    <w:link w:val="Corpodetexto2Char"/>
    <w:uiPriority w:val="99"/>
    <w:semiHidden/>
    <w:unhideWhenUsed/>
    <w:rsid w:val="0003148D"/>
    <w:pPr>
      <w:spacing w:after="120" w:line="480" w:lineRule="auto"/>
    </w:pPr>
  </w:style>
  <w:style w:type="character" w:customStyle="1" w:styleId="Corpodetexto2Char">
    <w:name w:val="Corpo de texto 2 Char"/>
    <w:basedOn w:val="Fontepargpadro"/>
    <w:link w:val="Corpodetexto2"/>
    <w:uiPriority w:val="99"/>
    <w:semiHidden/>
    <w:rsid w:val="0003148D"/>
  </w:style>
  <w:style w:type="paragraph" w:styleId="Corpodetexto3">
    <w:name w:val="Body Text 3"/>
    <w:basedOn w:val="Normal"/>
    <w:link w:val="Corpodetexto3Char"/>
    <w:uiPriority w:val="99"/>
    <w:semiHidden/>
    <w:unhideWhenUsed/>
    <w:rsid w:val="0003148D"/>
    <w:pPr>
      <w:spacing w:after="120"/>
    </w:pPr>
    <w:rPr>
      <w:sz w:val="16"/>
      <w:szCs w:val="16"/>
    </w:rPr>
  </w:style>
  <w:style w:type="character" w:customStyle="1" w:styleId="Corpodetexto3Char">
    <w:name w:val="Corpo de texto 3 Char"/>
    <w:basedOn w:val="Fontepargpadro"/>
    <w:link w:val="Corpodetexto3"/>
    <w:uiPriority w:val="99"/>
    <w:semiHidden/>
    <w:rsid w:val="0003148D"/>
    <w:rPr>
      <w:sz w:val="16"/>
      <w:szCs w:val="16"/>
    </w:rPr>
  </w:style>
  <w:style w:type="paragraph" w:styleId="Corpodetexto">
    <w:name w:val="Body Text"/>
    <w:basedOn w:val="Normal"/>
    <w:link w:val="CorpodetextoChar"/>
    <w:uiPriority w:val="99"/>
    <w:semiHidden/>
    <w:unhideWhenUsed/>
    <w:rsid w:val="0003148D"/>
    <w:pPr>
      <w:spacing w:after="120"/>
    </w:pPr>
  </w:style>
  <w:style w:type="character" w:customStyle="1" w:styleId="CorpodetextoChar">
    <w:name w:val="Corpo de texto Char"/>
    <w:basedOn w:val="Fontepargpadro"/>
    <w:link w:val="Corpodetexto"/>
    <w:uiPriority w:val="99"/>
    <w:semiHidden/>
    <w:rsid w:val="0003148D"/>
  </w:style>
  <w:style w:type="paragraph" w:styleId="Data">
    <w:name w:val="Date"/>
    <w:basedOn w:val="Normal"/>
    <w:next w:val="Normal"/>
    <w:link w:val="DataChar"/>
    <w:uiPriority w:val="99"/>
    <w:semiHidden/>
    <w:unhideWhenUsed/>
    <w:rsid w:val="0003148D"/>
  </w:style>
  <w:style w:type="character" w:customStyle="1" w:styleId="DataChar">
    <w:name w:val="Data Char"/>
    <w:basedOn w:val="Fontepargpadro"/>
    <w:link w:val="Data"/>
    <w:uiPriority w:val="99"/>
    <w:semiHidden/>
    <w:rsid w:val="0003148D"/>
  </w:style>
  <w:style w:type="paragraph" w:styleId="Legenda">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Listadecontinuao">
    <w:name w:val="List Continue"/>
    <w:basedOn w:val="Normal"/>
    <w:uiPriority w:val="99"/>
    <w:semiHidden/>
    <w:unhideWhenUsed/>
    <w:rsid w:val="0003148D"/>
    <w:pPr>
      <w:spacing w:after="120"/>
      <w:ind w:left="283"/>
      <w:contextualSpacing/>
    </w:pPr>
  </w:style>
  <w:style w:type="paragraph" w:styleId="Listadecontinuao2">
    <w:name w:val="List Continue 2"/>
    <w:basedOn w:val="Normal"/>
    <w:uiPriority w:val="99"/>
    <w:semiHidden/>
    <w:unhideWhenUsed/>
    <w:rsid w:val="0003148D"/>
    <w:pPr>
      <w:spacing w:after="120"/>
      <w:ind w:left="566"/>
      <w:contextualSpacing/>
    </w:pPr>
  </w:style>
  <w:style w:type="paragraph" w:styleId="Listadecontinuao3">
    <w:name w:val="List Continue 3"/>
    <w:basedOn w:val="Normal"/>
    <w:uiPriority w:val="99"/>
    <w:semiHidden/>
    <w:unhideWhenUsed/>
    <w:rsid w:val="0003148D"/>
    <w:pPr>
      <w:spacing w:after="120"/>
      <w:ind w:left="849"/>
      <w:contextualSpacing/>
    </w:pPr>
  </w:style>
  <w:style w:type="paragraph" w:styleId="Listadecontinuao4">
    <w:name w:val="List Continue 4"/>
    <w:basedOn w:val="Normal"/>
    <w:uiPriority w:val="99"/>
    <w:semiHidden/>
    <w:unhideWhenUsed/>
    <w:rsid w:val="0003148D"/>
    <w:pPr>
      <w:spacing w:after="120"/>
      <w:ind w:left="1132"/>
      <w:contextualSpacing/>
    </w:pPr>
  </w:style>
  <w:style w:type="paragraph" w:styleId="Listadecontinuao5">
    <w:name w:val="List Continue 5"/>
    <w:basedOn w:val="Normal"/>
    <w:uiPriority w:val="99"/>
    <w:semiHidden/>
    <w:unhideWhenUsed/>
    <w:rsid w:val="0003148D"/>
    <w:pPr>
      <w:spacing w:after="120"/>
      <w:ind w:left="1415"/>
      <w:contextualSpacing/>
    </w:pPr>
  </w:style>
  <w:style w:type="paragraph" w:styleId="Assinatura">
    <w:name w:val="Signature"/>
    <w:basedOn w:val="Normal"/>
    <w:link w:val="AssinaturaChar"/>
    <w:uiPriority w:val="99"/>
    <w:semiHidden/>
    <w:unhideWhenUsed/>
    <w:rsid w:val="0003148D"/>
    <w:pPr>
      <w:spacing w:line="240" w:lineRule="auto"/>
      <w:ind w:left="4252"/>
    </w:pPr>
  </w:style>
  <w:style w:type="character" w:customStyle="1" w:styleId="AssinaturaChar">
    <w:name w:val="Assinatura Char"/>
    <w:basedOn w:val="Fontepargpadro"/>
    <w:link w:val="Assinatura"/>
    <w:uiPriority w:val="99"/>
    <w:semiHidden/>
    <w:rsid w:val="0003148D"/>
  </w:style>
  <w:style w:type="paragraph" w:styleId="AssinaturadeEmail">
    <w:name w:val="E-mail Signature"/>
    <w:basedOn w:val="Normal"/>
    <w:link w:val="AssinaturadeEmailChar"/>
    <w:uiPriority w:val="99"/>
    <w:semiHidden/>
    <w:unhideWhenUsed/>
    <w:rsid w:val="0003148D"/>
    <w:pPr>
      <w:spacing w:line="240" w:lineRule="auto"/>
    </w:pPr>
  </w:style>
  <w:style w:type="character" w:customStyle="1" w:styleId="AssinaturadeEmailChar">
    <w:name w:val="Assinatura de Email Char"/>
    <w:basedOn w:val="Fontepargpadro"/>
    <w:link w:val="AssinaturadeEmail"/>
    <w:uiPriority w:val="99"/>
    <w:semiHidden/>
    <w:rsid w:val="0003148D"/>
  </w:style>
  <w:style w:type="paragraph" w:styleId="Saudao">
    <w:name w:val="Salutation"/>
    <w:basedOn w:val="Normal"/>
    <w:next w:val="Normal"/>
    <w:link w:val="SaudaoChar"/>
    <w:uiPriority w:val="99"/>
    <w:semiHidden/>
    <w:unhideWhenUsed/>
    <w:rsid w:val="0003148D"/>
  </w:style>
  <w:style w:type="character" w:customStyle="1" w:styleId="SaudaoChar">
    <w:name w:val="Saudação Char"/>
    <w:basedOn w:val="Fontepargpadro"/>
    <w:link w:val="Saudao"/>
    <w:uiPriority w:val="99"/>
    <w:semiHidden/>
    <w:rsid w:val="0003148D"/>
  </w:style>
  <w:style w:type="paragraph" w:styleId="Encerramento">
    <w:name w:val="Closing"/>
    <w:basedOn w:val="Normal"/>
    <w:link w:val="EncerramentoChar"/>
    <w:uiPriority w:val="99"/>
    <w:semiHidden/>
    <w:unhideWhenUsed/>
    <w:rsid w:val="0003148D"/>
    <w:pPr>
      <w:spacing w:line="240" w:lineRule="auto"/>
      <w:ind w:left="4252"/>
    </w:pPr>
  </w:style>
  <w:style w:type="character" w:customStyle="1" w:styleId="EncerramentoChar">
    <w:name w:val="Encerramento Char"/>
    <w:basedOn w:val="Fontepargpadro"/>
    <w:link w:val="Encerramento"/>
    <w:uiPriority w:val="99"/>
    <w:semiHidden/>
    <w:rsid w:val="0003148D"/>
  </w:style>
  <w:style w:type="paragraph" w:styleId="Remissivo1">
    <w:name w:val="index 1"/>
    <w:basedOn w:val="Normal"/>
    <w:next w:val="Normal"/>
    <w:autoRedefine/>
    <w:uiPriority w:val="99"/>
    <w:semiHidden/>
    <w:unhideWhenUsed/>
    <w:rsid w:val="0003148D"/>
    <w:pPr>
      <w:spacing w:line="240" w:lineRule="auto"/>
      <w:ind w:left="220" w:hanging="220"/>
    </w:pPr>
  </w:style>
  <w:style w:type="paragraph" w:styleId="Remissivo2">
    <w:name w:val="index 2"/>
    <w:basedOn w:val="Normal"/>
    <w:next w:val="Normal"/>
    <w:autoRedefine/>
    <w:uiPriority w:val="99"/>
    <w:semiHidden/>
    <w:unhideWhenUsed/>
    <w:rsid w:val="0003148D"/>
    <w:pPr>
      <w:spacing w:line="240" w:lineRule="auto"/>
      <w:ind w:left="440" w:hanging="220"/>
    </w:pPr>
  </w:style>
  <w:style w:type="paragraph" w:styleId="Remissivo3">
    <w:name w:val="index 3"/>
    <w:basedOn w:val="Normal"/>
    <w:next w:val="Normal"/>
    <w:autoRedefine/>
    <w:uiPriority w:val="99"/>
    <w:semiHidden/>
    <w:unhideWhenUsed/>
    <w:rsid w:val="0003148D"/>
    <w:pPr>
      <w:spacing w:line="240" w:lineRule="auto"/>
      <w:ind w:left="660" w:hanging="220"/>
    </w:pPr>
  </w:style>
  <w:style w:type="paragraph" w:styleId="Remissivo4">
    <w:name w:val="index 4"/>
    <w:basedOn w:val="Normal"/>
    <w:next w:val="Normal"/>
    <w:autoRedefine/>
    <w:uiPriority w:val="99"/>
    <w:semiHidden/>
    <w:unhideWhenUsed/>
    <w:rsid w:val="0003148D"/>
    <w:pPr>
      <w:spacing w:line="240" w:lineRule="auto"/>
      <w:ind w:left="880" w:hanging="220"/>
    </w:pPr>
  </w:style>
  <w:style w:type="paragraph" w:styleId="Remissivo5">
    <w:name w:val="index 5"/>
    <w:basedOn w:val="Normal"/>
    <w:next w:val="Normal"/>
    <w:autoRedefine/>
    <w:uiPriority w:val="99"/>
    <w:semiHidden/>
    <w:unhideWhenUsed/>
    <w:rsid w:val="0003148D"/>
    <w:pPr>
      <w:spacing w:line="240" w:lineRule="auto"/>
      <w:ind w:left="1100" w:hanging="220"/>
    </w:pPr>
  </w:style>
  <w:style w:type="paragraph" w:styleId="Remissivo6">
    <w:name w:val="index 6"/>
    <w:basedOn w:val="Normal"/>
    <w:next w:val="Normal"/>
    <w:autoRedefine/>
    <w:uiPriority w:val="99"/>
    <w:semiHidden/>
    <w:unhideWhenUsed/>
    <w:rsid w:val="0003148D"/>
    <w:pPr>
      <w:spacing w:line="240" w:lineRule="auto"/>
      <w:ind w:left="1320" w:hanging="220"/>
    </w:pPr>
  </w:style>
  <w:style w:type="paragraph" w:styleId="Remissivo7">
    <w:name w:val="index 7"/>
    <w:basedOn w:val="Normal"/>
    <w:next w:val="Normal"/>
    <w:autoRedefine/>
    <w:uiPriority w:val="99"/>
    <w:semiHidden/>
    <w:unhideWhenUsed/>
    <w:rsid w:val="0003148D"/>
    <w:pPr>
      <w:spacing w:line="240" w:lineRule="auto"/>
      <w:ind w:left="1540" w:hanging="220"/>
    </w:pPr>
  </w:style>
  <w:style w:type="paragraph" w:styleId="Remissivo8">
    <w:name w:val="index 8"/>
    <w:basedOn w:val="Normal"/>
    <w:next w:val="Normal"/>
    <w:autoRedefine/>
    <w:uiPriority w:val="99"/>
    <w:semiHidden/>
    <w:unhideWhenUsed/>
    <w:rsid w:val="0003148D"/>
    <w:pPr>
      <w:spacing w:line="240" w:lineRule="auto"/>
      <w:ind w:left="1760" w:hanging="220"/>
    </w:pPr>
  </w:style>
  <w:style w:type="paragraph" w:styleId="Remissivo9">
    <w:name w:val="index 9"/>
    <w:basedOn w:val="Normal"/>
    <w:next w:val="Normal"/>
    <w:autoRedefine/>
    <w:uiPriority w:val="99"/>
    <w:semiHidden/>
    <w:unhideWhenUsed/>
    <w:rsid w:val="0003148D"/>
    <w:pPr>
      <w:spacing w:line="240" w:lineRule="auto"/>
      <w:ind w:left="1980" w:hanging="220"/>
    </w:pPr>
  </w:style>
  <w:style w:type="paragraph" w:styleId="ndicedeilustraes">
    <w:name w:val="table of figures"/>
    <w:basedOn w:val="Normal"/>
    <w:next w:val="Normal"/>
    <w:uiPriority w:val="99"/>
    <w:semiHidden/>
    <w:unhideWhenUsed/>
    <w:rsid w:val="0003148D"/>
  </w:style>
  <w:style w:type="paragraph" w:styleId="ndicedeautoridades">
    <w:name w:val="table of authorities"/>
    <w:basedOn w:val="Normal"/>
    <w:next w:val="Normal"/>
    <w:uiPriority w:val="99"/>
    <w:semiHidden/>
    <w:unhideWhenUsed/>
    <w:rsid w:val="0003148D"/>
    <w:pPr>
      <w:ind w:left="220" w:hanging="220"/>
    </w:pPr>
  </w:style>
  <w:style w:type="paragraph" w:styleId="Destinatrio">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dereoHTML">
    <w:name w:val="HTML Address"/>
    <w:basedOn w:val="Normal"/>
    <w:link w:val="EndereoHTMLChar"/>
    <w:uiPriority w:val="99"/>
    <w:semiHidden/>
    <w:unhideWhenUsed/>
    <w:rsid w:val="0003148D"/>
    <w:pPr>
      <w:spacing w:line="240" w:lineRule="auto"/>
    </w:pPr>
    <w:rPr>
      <w:i/>
      <w:iCs/>
    </w:rPr>
  </w:style>
  <w:style w:type="character" w:customStyle="1" w:styleId="EndereoHTMLChar">
    <w:name w:val="Endereço HTML Char"/>
    <w:basedOn w:val="Fontepargpadro"/>
    <w:link w:val="EndereoHTML"/>
    <w:uiPriority w:val="99"/>
    <w:semiHidden/>
    <w:rsid w:val="0003148D"/>
    <w:rPr>
      <w:i/>
      <w:iCs/>
    </w:rPr>
  </w:style>
  <w:style w:type="paragraph" w:styleId="Remetent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Cabealhodamensagem">
    <w:name w:val="Message Header"/>
    <w:basedOn w:val="Normal"/>
    <w:link w:val="Cabealhodamensagem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abealhodamensagemChar">
    <w:name w:val="Cabeçalho da mensagem Char"/>
    <w:basedOn w:val="Fontepargpadro"/>
    <w:link w:val="Cabealhodamensagem"/>
    <w:uiPriority w:val="99"/>
    <w:semiHidden/>
    <w:rsid w:val="0003148D"/>
    <w:rPr>
      <w:rFonts w:asciiTheme="majorHAnsi" w:eastAsiaTheme="majorEastAsia" w:hAnsiTheme="majorHAnsi" w:cstheme="majorBidi"/>
      <w:sz w:val="24"/>
      <w:szCs w:val="24"/>
      <w:shd w:val="pct20" w:color="auto" w:fill="auto"/>
    </w:rPr>
  </w:style>
  <w:style w:type="paragraph" w:styleId="Ttulodanota">
    <w:name w:val="Note Heading"/>
    <w:basedOn w:val="Normal"/>
    <w:next w:val="Normal"/>
    <w:link w:val="TtulodanotaChar"/>
    <w:uiPriority w:val="99"/>
    <w:semiHidden/>
    <w:unhideWhenUsed/>
    <w:rsid w:val="0003148D"/>
    <w:pPr>
      <w:spacing w:line="240" w:lineRule="auto"/>
    </w:pPr>
  </w:style>
  <w:style w:type="character" w:customStyle="1" w:styleId="TtulodanotaChar">
    <w:name w:val="Título da nota Char"/>
    <w:basedOn w:val="Fontepargpadro"/>
    <w:link w:val="Ttulodanota"/>
    <w:uiPriority w:val="99"/>
    <w:semiHidden/>
    <w:rsid w:val="0003148D"/>
  </w:style>
  <w:style w:type="paragraph" w:styleId="MapadoDocumento">
    <w:name w:val="Document Map"/>
    <w:basedOn w:val="Normal"/>
    <w:link w:val="MapadoDocumentoChar"/>
    <w:uiPriority w:val="99"/>
    <w:semiHidden/>
    <w:unhideWhenUsed/>
    <w:rsid w:val="0003148D"/>
    <w:pPr>
      <w:spacing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Numerada">
    <w:name w:val="List Number"/>
    <w:basedOn w:val="Normal"/>
    <w:uiPriority w:val="99"/>
    <w:semiHidden/>
    <w:unhideWhenUsed/>
    <w:rsid w:val="0003148D"/>
    <w:pPr>
      <w:numPr>
        <w:numId w:val="2"/>
      </w:numPr>
      <w:contextualSpacing/>
    </w:pPr>
  </w:style>
  <w:style w:type="paragraph" w:styleId="Numerada2">
    <w:name w:val="List Number 2"/>
    <w:basedOn w:val="Normal"/>
    <w:uiPriority w:val="99"/>
    <w:semiHidden/>
    <w:unhideWhenUsed/>
    <w:rsid w:val="0003148D"/>
    <w:pPr>
      <w:numPr>
        <w:numId w:val="3"/>
      </w:numPr>
      <w:contextualSpacing/>
    </w:pPr>
  </w:style>
  <w:style w:type="paragraph" w:styleId="Numerada3">
    <w:name w:val="List Number 3"/>
    <w:basedOn w:val="Normal"/>
    <w:uiPriority w:val="99"/>
    <w:semiHidden/>
    <w:unhideWhenUsed/>
    <w:rsid w:val="0003148D"/>
    <w:pPr>
      <w:numPr>
        <w:numId w:val="4"/>
      </w:numPr>
      <w:contextualSpacing/>
    </w:pPr>
  </w:style>
  <w:style w:type="paragraph" w:styleId="Numerada4">
    <w:name w:val="List Number 4"/>
    <w:basedOn w:val="Normal"/>
    <w:uiPriority w:val="99"/>
    <w:semiHidden/>
    <w:unhideWhenUsed/>
    <w:rsid w:val="0003148D"/>
    <w:pPr>
      <w:numPr>
        <w:numId w:val="5"/>
      </w:numPr>
      <w:contextualSpacing/>
    </w:pPr>
  </w:style>
  <w:style w:type="paragraph" w:styleId="Numerada5">
    <w:name w:val="List Number 5"/>
    <w:basedOn w:val="Normal"/>
    <w:uiPriority w:val="99"/>
    <w:semiHidden/>
    <w:unhideWhenUsed/>
    <w:rsid w:val="0003148D"/>
    <w:pPr>
      <w:numPr>
        <w:numId w:val="6"/>
      </w:numPr>
      <w:contextualSpacing/>
    </w:pPr>
  </w:style>
  <w:style w:type="paragraph" w:styleId="Pr-formataoHTML">
    <w:name w:val="HTML Preformatted"/>
    <w:basedOn w:val="Normal"/>
    <w:link w:val="Pr-formataoHTMLChar"/>
    <w:uiPriority w:val="99"/>
    <w:semiHidden/>
    <w:unhideWhenUsed/>
    <w:rsid w:val="0003148D"/>
    <w:pPr>
      <w:spacing w:line="240" w:lineRule="auto"/>
    </w:pPr>
    <w:rPr>
      <w:rFonts w:ascii="Consolas" w:hAnsi="Consolas" w:cs="Consolas"/>
    </w:rPr>
  </w:style>
  <w:style w:type="character" w:customStyle="1" w:styleId="Pr-formataoHTMLChar">
    <w:name w:val="Pré-formatação HTML Char"/>
    <w:basedOn w:val="Fontepargpadro"/>
    <w:link w:val="Pr-formataoHTML"/>
    <w:uiPriority w:val="99"/>
    <w:semiHidden/>
    <w:rsid w:val="0003148D"/>
    <w:rPr>
      <w:rFonts w:ascii="Consolas" w:hAnsi="Consolas" w:cs="Consolas"/>
      <w:sz w:val="20"/>
      <w:szCs w:val="20"/>
    </w:rPr>
  </w:style>
  <w:style w:type="paragraph" w:styleId="Primeirorecuodecorpodetexto">
    <w:name w:val="Body Text First Indent"/>
    <w:basedOn w:val="Corpodetexto"/>
    <w:link w:val="PrimeirorecuodecorpodetextoChar"/>
    <w:uiPriority w:val="99"/>
    <w:semiHidden/>
    <w:unhideWhenUsed/>
    <w:rsid w:val="0003148D"/>
    <w:pPr>
      <w:spacing w:after="200"/>
      <w:ind w:firstLine="360"/>
    </w:pPr>
  </w:style>
  <w:style w:type="character" w:customStyle="1" w:styleId="PrimeirorecuodecorpodetextoChar">
    <w:name w:val="Primeiro recuo de corpo de texto Char"/>
    <w:basedOn w:val="CorpodetextoChar"/>
    <w:link w:val="Primeirorecuodecorpodetexto"/>
    <w:uiPriority w:val="99"/>
    <w:semiHidden/>
    <w:rsid w:val="0003148D"/>
  </w:style>
  <w:style w:type="paragraph" w:styleId="Recuodecorpodetexto">
    <w:name w:val="Body Text Indent"/>
    <w:basedOn w:val="Normal"/>
    <w:link w:val="RecuodecorpodetextoChar"/>
    <w:uiPriority w:val="99"/>
    <w:semiHidden/>
    <w:unhideWhenUsed/>
    <w:rsid w:val="0003148D"/>
    <w:pPr>
      <w:spacing w:after="120"/>
      <w:ind w:left="283"/>
    </w:pPr>
  </w:style>
  <w:style w:type="character" w:customStyle="1" w:styleId="RecuodecorpodetextoChar">
    <w:name w:val="Recuo de corpo de texto Char"/>
    <w:basedOn w:val="Fontepargpadro"/>
    <w:link w:val="Recuodecorpodetexto"/>
    <w:uiPriority w:val="99"/>
    <w:semiHidden/>
    <w:rsid w:val="0003148D"/>
  </w:style>
  <w:style w:type="paragraph" w:styleId="Primeirorecuodecorpodetexto2">
    <w:name w:val="Body Text First Indent 2"/>
    <w:basedOn w:val="Recuodecorpodetexto"/>
    <w:link w:val="Primeirorecuodecorpodetexto2Char"/>
    <w:uiPriority w:val="99"/>
    <w:semiHidden/>
    <w:unhideWhenUsed/>
    <w:rsid w:val="0003148D"/>
    <w:pPr>
      <w:spacing w:after="20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03148D"/>
  </w:style>
  <w:style w:type="paragraph" w:styleId="Commarcadores">
    <w:name w:val="List Bullet"/>
    <w:basedOn w:val="Normal"/>
    <w:uiPriority w:val="99"/>
    <w:semiHidden/>
    <w:unhideWhenUsed/>
    <w:rsid w:val="0003148D"/>
    <w:pPr>
      <w:numPr>
        <w:numId w:val="7"/>
      </w:numPr>
      <w:contextualSpacing/>
    </w:pPr>
  </w:style>
  <w:style w:type="paragraph" w:styleId="Commarcadores2">
    <w:name w:val="List Bullet 2"/>
    <w:basedOn w:val="Normal"/>
    <w:uiPriority w:val="99"/>
    <w:semiHidden/>
    <w:unhideWhenUsed/>
    <w:rsid w:val="0003148D"/>
    <w:pPr>
      <w:numPr>
        <w:numId w:val="8"/>
      </w:numPr>
      <w:contextualSpacing/>
    </w:pPr>
  </w:style>
  <w:style w:type="paragraph" w:styleId="Commarcadores3">
    <w:name w:val="List Bullet 3"/>
    <w:basedOn w:val="Normal"/>
    <w:uiPriority w:val="99"/>
    <w:semiHidden/>
    <w:unhideWhenUsed/>
    <w:rsid w:val="0003148D"/>
    <w:pPr>
      <w:numPr>
        <w:numId w:val="9"/>
      </w:numPr>
      <w:contextualSpacing/>
    </w:pPr>
  </w:style>
  <w:style w:type="paragraph" w:styleId="Commarcadores4">
    <w:name w:val="List Bullet 4"/>
    <w:basedOn w:val="Normal"/>
    <w:uiPriority w:val="99"/>
    <w:semiHidden/>
    <w:unhideWhenUsed/>
    <w:rsid w:val="0003148D"/>
    <w:pPr>
      <w:numPr>
        <w:numId w:val="10"/>
      </w:numPr>
      <w:contextualSpacing/>
    </w:pPr>
  </w:style>
  <w:style w:type="paragraph" w:styleId="Commarcadores5">
    <w:name w:val="List Bullet 5"/>
    <w:basedOn w:val="Normal"/>
    <w:uiPriority w:val="99"/>
    <w:semiHidden/>
    <w:unhideWhenUsed/>
    <w:rsid w:val="0003148D"/>
    <w:pPr>
      <w:numPr>
        <w:numId w:val="11"/>
      </w:numPr>
      <w:contextualSpacing/>
    </w:pPr>
  </w:style>
  <w:style w:type="paragraph" w:styleId="Recuodecorpodetexto2">
    <w:name w:val="Body Text Indent 2"/>
    <w:basedOn w:val="Normal"/>
    <w:link w:val="Recuodecorpodetexto2Char"/>
    <w:uiPriority w:val="99"/>
    <w:semiHidden/>
    <w:unhideWhenUsed/>
    <w:rsid w:val="0003148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3148D"/>
  </w:style>
  <w:style w:type="paragraph" w:styleId="Recuodecorpodetexto3">
    <w:name w:val="Body Text Indent 3"/>
    <w:basedOn w:val="Normal"/>
    <w:link w:val="Recuodecorpodetexto3Char"/>
    <w:uiPriority w:val="99"/>
    <w:semiHidden/>
    <w:unhideWhenUsed/>
    <w:rsid w:val="0003148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03148D"/>
    <w:rPr>
      <w:sz w:val="16"/>
      <w:szCs w:val="16"/>
    </w:rPr>
  </w:style>
  <w:style w:type="paragraph" w:styleId="Recuonormal">
    <w:name w:val="Normal Indent"/>
    <w:basedOn w:val="Normal"/>
    <w:uiPriority w:val="99"/>
    <w:semiHidden/>
    <w:unhideWhenUsed/>
    <w:rsid w:val="0003148D"/>
    <w:pPr>
      <w:ind w:left="720"/>
    </w:pPr>
  </w:style>
  <w:style w:type="paragraph" w:styleId="Textodecomentrio">
    <w:name w:val="annotation text"/>
    <w:basedOn w:val="Normal"/>
    <w:link w:val="TextodecomentrioChar"/>
    <w:uiPriority w:val="99"/>
    <w:unhideWhenUsed/>
    <w:rsid w:val="0003148D"/>
    <w:pPr>
      <w:spacing w:line="240" w:lineRule="auto"/>
    </w:pPr>
  </w:style>
  <w:style w:type="character" w:customStyle="1" w:styleId="TextodecomentrioChar">
    <w:name w:val="Texto de comentário Char"/>
    <w:basedOn w:val="Fontepargpadro"/>
    <w:link w:val="Textodecomentrio"/>
    <w:uiPriority w:val="99"/>
    <w:rsid w:val="0003148D"/>
    <w:rPr>
      <w:sz w:val="20"/>
      <w:szCs w:val="20"/>
    </w:rPr>
  </w:style>
  <w:style w:type="paragraph" w:styleId="Assuntodocomentrio">
    <w:name w:val="annotation subject"/>
    <w:basedOn w:val="Textodecomentrio"/>
    <w:next w:val="Textodecomentrio"/>
    <w:link w:val="AssuntodocomentrioChar"/>
    <w:uiPriority w:val="99"/>
    <w:semiHidden/>
    <w:unhideWhenUsed/>
    <w:rsid w:val="0003148D"/>
    <w:rPr>
      <w:b/>
      <w:bCs/>
    </w:rPr>
  </w:style>
  <w:style w:type="character" w:customStyle="1" w:styleId="AssuntodocomentrioChar">
    <w:name w:val="Assunto do comentário Char"/>
    <w:basedOn w:val="TextodecomentrioChar"/>
    <w:link w:val="Assuntodocomentrio"/>
    <w:uiPriority w:val="99"/>
    <w:semiHidden/>
    <w:rsid w:val="0003148D"/>
    <w:rPr>
      <w:b/>
      <w:bCs/>
      <w:sz w:val="20"/>
      <w:szCs w:val="20"/>
    </w:rPr>
  </w:style>
  <w:style w:type="paragraph" w:styleId="Sumrio1">
    <w:name w:val="toc 1"/>
    <w:basedOn w:val="Normal"/>
    <w:next w:val="Normal"/>
    <w:autoRedefine/>
    <w:uiPriority w:val="39"/>
    <w:semiHidden/>
    <w:unhideWhenUsed/>
    <w:rsid w:val="0003148D"/>
    <w:pPr>
      <w:spacing w:after="100"/>
    </w:pPr>
  </w:style>
  <w:style w:type="paragraph" w:styleId="Sumrio2">
    <w:name w:val="toc 2"/>
    <w:basedOn w:val="Normal"/>
    <w:next w:val="Normal"/>
    <w:autoRedefine/>
    <w:uiPriority w:val="39"/>
    <w:semiHidden/>
    <w:unhideWhenUsed/>
    <w:rsid w:val="0003148D"/>
    <w:pPr>
      <w:spacing w:after="100"/>
      <w:ind w:left="220"/>
    </w:pPr>
  </w:style>
  <w:style w:type="paragraph" w:styleId="Sumrio3">
    <w:name w:val="toc 3"/>
    <w:basedOn w:val="Normal"/>
    <w:next w:val="Normal"/>
    <w:autoRedefine/>
    <w:uiPriority w:val="39"/>
    <w:semiHidden/>
    <w:unhideWhenUsed/>
    <w:rsid w:val="0003148D"/>
    <w:pPr>
      <w:spacing w:after="100"/>
      <w:ind w:left="440"/>
    </w:pPr>
  </w:style>
  <w:style w:type="paragraph" w:styleId="Sumrio4">
    <w:name w:val="toc 4"/>
    <w:basedOn w:val="Normal"/>
    <w:next w:val="Normal"/>
    <w:autoRedefine/>
    <w:uiPriority w:val="39"/>
    <w:semiHidden/>
    <w:unhideWhenUsed/>
    <w:rsid w:val="0003148D"/>
    <w:pPr>
      <w:spacing w:after="100"/>
      <w:ind w:left="660"/>
    </w:pPr>
  </w:style>
  <w:style w:type="paragraph" w:styleId="Sumrio5">
    <w:name w:val="toc 5"/>
    <w:basedOn w:val="Normal"/>
    <w:next w:val="Normal"/>
    <w:autoRedefine/>
    <w:uiPriority w:val="39"/>
    <w:semiHidden/>
    <w:unhideWhenUsed/>
    <w:rsid w:val="0003148D"/>
    <w:pPr>
      <w:spacing w:after="100"/>
      <w:ind w:left="880"/>
    </w:pPr>
  </w:style>
  <w:style w:type="paragraph" w:styleId="Sumrio6">
    <w:name w:val="toc 6"/>
    <w:basedOn w:val="Normal"/>
    <w:next w:val="Normal"/>
    <w:autoRedefine/>
    <w:uiPriority w:val="39"/>
    <w:semiHidden/>
    <w:unhideWhenUsed/>
    <w:rsid w:val="0003148D"/>
    <w:pPr>
      <w:spacing w:after="100"/>
      <w:ind w:left="1100"/>
    </w:pPr>
  </w:style>
  <w:style w:type="paragraph" w:styleId="Sumrio7">
    <w:name w:val="toc 7"/>
    <w:basedOn w:val="Normal"/>
    <w:next w:val="Normal"/>
    <w:autoRedefine/>
    <w:uiPriority w:val="39"/>
    <w:semiHidden/>
    <w:unhideWhenUsed/>
    <w:rsid w:val="0003148D"/>
    <w:pPr>
      <w:spacing w:after="100"/>
      <w:ind w:left="1320"/>
    </w:pPr>
  </w:style>
  <w:style w:type="paragraph" w:styleId="Sumrio8">
    <w:name w:val="toc 8"/>
    <w:basedOn w:val="Normal"/>
    <w:next w:val="Normal"/>
    <w:autoRedefine/>
    <w:uiPriority w:val="39"/>
    <w:semiHidden/>
    <w:unhideWhenUsed/>
    <w:rsid w:val="0003148D"/>
    <w:pPr>
      <w:spacing w:after="100"/>
      <w:ind w:left="1540"/>
    </w:pPr>
  </w:style>
  <w:style w:type="paragraph" w:styleId="Sumrio9">
    <w:name w:val="toc 9"/>
    <w:basedOn w:val="Normal"/>
    <w:next w:val="Normal"/>
    <w:autoRedefine/>
    <w:uiPriority w:val="39"/>
    <w:semiHidden/>
    <w:unhideWhenUsed/>
    <w:rsid w:val="0003148D"/>
    <w:pPr>
      <w:spacing w:after="100"/>
      <w:ind w:left="1760"/>
    </w:pPr>
  </w:style>
  <w:style w:type="paragraph" w:styleId="Textoembloco">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demacro">
    <w:name w:val="macro"/>
    <w:link w:val="Textodemacro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demacroChar">
    <w:name w:val="Texto de macro Char"/>
    <w:basedOn w:val="Fontepargpadro"/>
    <w:link w:val="Textodemacro"/>
    <w:uiPriority w:val="99"/>
    <w:semiHidden/>
    <w:rsid w:val="0003148D"/>
    <w:rPr>
      <w:rFonts w:ascii="Consolas" w:hAnsi="Consolas" w:cs="Consolas"/>
      <w:sz w:val="20"/>
      <w:szCs w:val="20"/>
    </w:rPr>
  </w:style>
  <w:style w:type="paragraph" w:styleId="TextosemFormatao">
    <w:name w:val="Plain Text"/>
    <w:basedOn w:val="Normal"/>
    <w:link w:val="TextosemFormataoChar"/>
    <w:uiPriority w:val="99"/>
    <w:semiHidden/>
    <w:unhideWhenUsed/>
    <w:rsid w:val="0003148D"/>
    <w:pPr>
      <w:spacing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sid w:val="0003148D"/>
    <w:rPr>
      <w:rFonts w:ascii="Consolas" w:hAnsi="Consolas" w:cs="Consolas"/>
      <w:sz w:val="21"/>
      <w:szCs w:val="21"/>
    </w:rPr>
  </w:style>
  <w:style w:type="paragraph" w:styleId="Textodenotaderodap">
    <w:name w:val="footnote text"/>
    <w:basedOn w:val="Normal"/>
    <w:link w:val="TextodenotaderodapChar"/>
    <w:uiPriority w:val="99"/>
    <w:semiHidden/>
    <w:unhideWhenUsed/>
    <w:rsid w:val="0003148D"/>
    <w:pPr>
      <w:spacing w:line="240" w:lineRule="auto"/>
    </w:pPr>
  </w:style>
  <w:style w:type="character" w:customStyle="1" w:styleId="TextodenotaderodapChar">
    <w:name w:val="Texto de nota de rodapé Char"/>
    <w:basedOn w:val="Fontepargpadro"/>
    <w:link w:val="Textodenotaderodap"/>
    <w:uiPriority w:val="99"/>
    <w:semiHidden/>
    <w:rsid w:val="0003148D"/>
    <w:rPr>
      <w:sz w:val="20"/>
      <w:szCs w:val="20"/>
    </w:rPr>
  </w:style>
  <w:style w:type="paragraph" w:styleId="Textodenotadefim">
    <w:name w:val="endnote text"/>
    <w:basedOn w:val="Normal"/>
    <w:link w:val="TextodenotadefimChar"/>
    <w:uiPriority w:val="99"/>
    <w:semiHidden/>
    <w:unhideWhenUsed/>
    <w:rsid w:val="0003148D"/>
    <w:pPr>
      <w:spacing w:line="240" w:lineRule="auto"/>
    </w:pPr>
  </w:style>
  <w:style w:type="character" w:customStyle="1" w:styleId="TextodenotadefimChar">
    <w:name w:val="Texto de nota de fim Char"/>
    <w:basedOn w:val="Fontepargpadro"/>
    <w:link w:val="Textodenotadefim"/>
    <w:uiPriority w:val="99"/>
    <w:semiHidden/>
    <w:rsid w:val="0003148D"/>
    <w:rPr>
      <w:sz w:val="20"/>
      <w:szCs w:val="20"/>
    </w:rPr>
  </w:style>
  <w:style w:type="character" w:customStyle="1" w:styleId="Ttulo1Char">
    <w:name w:val="Título 1 Char"/>
    <w:basedOn w:val="Fontepargpadro"/>
    <w:link w:val="Ttulo1"/>
    <w:uiPriority w:val="9"/>
    <w:rsid w:val="004F5E36"/>
    <w:rPr>
      <w:rFonts w:ascii="Arial" w:eastAsia="Times New Roman" w:hAnsi="Arial" w:cs="Times New Roman"/>
      <w:b/>
      <w:sz w:val="20"/>
      <w:szCs w:val="20"/>
      <w:lang w:val="en-GB"/>
    </w:rPr>
  </w:style>
  <w:style w:type="character" w:customStyle="1" w:styleId="Ttulo2Char">
    <w:name w:val="Título 2 Char"/>
    <w:basedOn w:val="Fontepargpadro"/>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03148D"/>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remissivo">
    <w:name w:val="index heading"/>
    <w:basedOn w:val="Normal"/>
    <w:next w:val="Remissivo1"/>
    <w:uiPriority w:val="99"/>
    <w:semiHidden/>
    <w:unhideWhenUsed/>
    <w:rsid w:val="0003148D"/>
    <w:rPr>
      <w:rFonts w:asciiTheme="majorHAnsi" w:eastAsiaTheme="majorEastAsia" w:hAnsiTheme="majorHAnsi" w:cstheme="majorBidi"/>
      <w:b/>
      <w:bCs/>
    </w:rPr>
  </w:style>
  <w:style w:type="paragraph" w:styleId="Ttulodendicedeautoridades">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CabealhodoSumrio">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ontepargpadr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Cabealho">
    <w:name w:val="header"/>
    <w:basedOn w:val="Normal"/>
    <w:link w:val="CabealhoChar"/>
    <w:uiPriority w:val="99"/>
    <w:unhideWhenUsed/>
    <w:rsid w:val="005278B7"/>
    <w:pPr>
      <w:tabs>
        <w:tab w:val="clear" w:pos="7100"/>
        <w:tab w:val="center" w:pos="4819"/>
        <w:tab w:val="right" w:pos="9638"/>
      </w:tabs>
      <w:spacing w:line="240" w:lineRule="auto"/>
    </w:pPr>
  </w:style>
  <w:style w:type="character" w:customStyle="1" w:styleId="CabealhoChar">
    <w:name w:val="Cabeçalho Char"/>
    <w:basedOn w:val="Fontepargpadro"/>
    <w:link w:val="Cabealho"/>
    <w:uiPriority w:val="99"/>
    <w:rsid w:val="005278B7"/>
    <w:rPr>
      <w:rFonts w:ascii="Arial" w:eastAsia="Times New Roman" w:hAnsi="Arial" w:cs="Times New Roman"/>
      <w:sz w:val="18"/>
      <w:szCs w:val="20"/>
      <w:lang w:val="en-GB"/>
    </w:rPr>
  </w:style>
  <w:style w:type="paragraph" w:styleId="Rodap">
    <w:name w:val="footer"/>
    <w:basedOn w:val="Normal"/>
    <w:link w:val="RodapChar"/>
    <w:uiPriority w:val="99"/>
    <w:unhideWhenUsed/>
    <w:rsid w:val="005278B7"/>
    <w:pPr>
      <w:tabs>
        <w:tab w:val="clear" w:pos="7100"/>
        <w:tab w:val="center" w:pos="4819"/>
        <w:tab w:val="right" w:pos="9638"/>
      </w:tabs>
      <w:spacing w:line="240" w:lineRule="auto"/>
    </w:pPr>
  </w:style>
  <w:style w:type="character" w:customStyle="1" w:styleId="RodapChar">
    <w:name w:val="Rodapé Char"/>
    <w:basedOn w:val="Fontepargpadro"/>
    <w:link w:val="Rodap"/>
    <w:uiPriority w:val="99"/>
    <w:rsid w:val="005278B7"/>
    <w:rPr>
      <w:rFonts w:ascii="Arial" w:eastAsia="Times New Roman" w:hAnsi="Arial" w:cs="Times New Roman"/>
      <w:sz w:val="18"/>
      <w:szCs w:val="20"/>
      <w:lang w:val="en-GB"/>
    </w:rPr>
  </w:style>
  <w:style w:type="table" w:styleId="Tabelacomgrade">
    <w:name w:val="Table Grid"/>
    <w:basedOn w:val="Tabe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904C62"/>
    <w:rPr>
      <w:color w:val="0000FF" w:themeColor="hyperlink"/>
      <w:u w:val="single"/>
    </w:rPr>
  </w:style>
  <w:style w:type="character" w:customStyle="1" w:styleId="eudoraheader">
    <w:name w:val="eudoraheader"/>
    <w:basedOn w:val="Fontepargpadr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customStyle="1" w:styleId="EstiloPrimeiralinha095cm">
    <w:name w:val="Estilo Primeira linha:  095 cm"/>
    <w:basedOn w:val="Normal"/>
    <w:autoRedefine/>
    <w:rsid w:val="00574119"/>
    <w:pPr>
      <w:tabs>
        <w:tab w:val="clear" w:pos="7100"/>
      </w:tabs>
      <w:spacing w:line="360" w:lineRule="auto"/>
      <w:ind w:firstLine="709"/>
    </w:pPr>
    <w:rPr>
      <w:rFonts w:ascii="Times New Roman" w:hAnsi="Times New Roman"/>
      <w:spacing w:val="-4"/>
      <w:sz w:val="24"/>
      <w:lang w:val="pt-BR" w:eastAsia="pt-BR"/>
    </w:rPr>
  </w:style>
  <w:style w:type="character" w:customStyle="1" w:styleId="outwardlinkcontbluetext">
    <w:name w:val="outwardlinkcontbluetext"/>
    <w:basedOn w:val="Fontepargpadro"/>
    <w:rsid w:val="00183D62"/>
  </w:style>
  <w:style w:type="paragraph" w:styleId="PargrafodaLista">
    <w:name w:val="List Paragraph"/>
    <w:basedOn w:val="Normal"/>
    <w:uiPriority w:val="34"/>
    <w:rsid w:val="009339F6"/>
    <w:pPr>
      <w:ind w:left="720"/>
      <w:contextualSpacing/>
    </w:pPr>
  </w:style>
  <w:style w:type="character" w:styleId="TextodoEspaoReservado">
    <w:name w:val="Placeholder Text"/>
    <w:basedOn w:val="Fontepargpadro"/>
    <w:uiPriority w:val="99"/>
    <w:semiHidden/>
    <w:rsid w:val="002A10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scopus.com/record/display.uri?eid=2-s2.0-84946076867&amp;origin=resultslist&amp;sort=plf-f&amp;cite=2-s2.0-84946076867&amp;src=s&amp;imp=t&amp;sid=ad7e14add0b0e3c6dabccabe734becf2&amp;sot=cite&amp;sdt=a&amp;sl=0" TargetMode="External"/><Relationship Id="rId4" Type="http://schemas.openxmlformats.org/officeDocument/2006/relationships/settings" Target="settings.xml"/><Relationship Id="rId9" Type="http://schemas.openxmlformats.org/officeDocument/2006/relationships/hyperlink" Target="https://www.scopus.com/authid/detail.uri?origin=resultslist&amp;authorId=14630987000&amp;zone="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Prof.%20Miguel\Dropbox\Papers\congressos\CISAP%20Firenze%202020\EIP\assessment.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457167101338957"/>
          <c:y val="0.10185185185185185"/>
          <c:w val="0.83317543706402797"/>
          <c:h val="0.73519320501603957"/>
        </c:manualLayout>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0.4734438533883143"/>
                  <c:y val="0.42947330188510036"/>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800" i="1" baseline="0">
                        <a:solidFill>
                          <a:sysClr val="windowText" lastClr="000000"/>
                        </a:solidFill>
                        <a:latin typeface="Arial" panose="020B0604020202020204" pitchFamily="34" charset="0"/>
                        <a:cs typeface="Arial" panose="020B0604020202020204" pitchFamily="34" charset="0"/>
                      </a:rPr>
                      <a:t>R</a:t>
                    </a:r>
                    <a:r>
                      <a:rPr lang="en-US" sz="800" baseline="0">
                        <a:solidFill>
                          <a:sysClr val="windowText" lastClr="000000"/>
                        </a:solidFill>
                        <a:latin typeface="Arial" panose="020B0604020202020204" pitchFamily="34" charset="0"/>
                        <a:cs typeface="Arial" panose="020B0604020202020204" pitchFamily="34" charset="0"/>
                      </a:rPr>
                      <a:t>² = 0.89</a:t>
                    </a:r>
                    <a:endParaRPr lang="en-US" sz="800">
                      <a:solidFill>
                        <a:sysClr val="windowText" lastClr="000000"/>
                      </a:solidFill>
                      <a:latin typeface="Arial" panose="020B0604020202020204" pitchFamily="34" charset="0"/>
                      <a:cs typeface="Arial" panose="020B0604020202020204" pitchFamily="34" charset="0"/>
                    </a:endParaRPr>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trendlineLbl>
          </c:trendline>
          <c:xVal>
            <c:numRef>
              <c:f>Plan1!$E$23:$E$26</c:f>
              <c:numCache>
                <c:formatCode>0.00</c:formatCode>
                <c:ptCount val="4"/>
                <c:pt idx="0">
                  <c:v>4</c:v>
                </c:pt>
                <c:pt idx="1">
                  <c:v>4.5</c:v>
                </c:pt>
                <c:pt idx="2">
                  <c:v>3.2</c:v>
                </c:pt>
                <c:pt idx="3">
                  <c:v>4.5</c:v>
                </c:pt>
              </c:numCache>
            </c:numRef>
          </c:xVal>
          <c:yVal>
            <c:numRef>
              <c:f>Plan1!$F$23:$F$26</c:f>
              <c:numCache>
                <c:formatCode>0.00</c:formatCode>
                <c:ptCount val="4"/>
                <c:pt idx="0">
                  <c:v>2.6</c:v>
                </c:pt>
                <c:pt idx="1">
                  <c:v>4.25</c:v>
                </c:pt>
                <c:pt idx="2">
                  <c:v>2</c:v>
                </c:pt>
                <c:pt idx="3">
                  <c:v>4</c:v>
                </c:pt>
              </c:numCache>
            </c:numRef>
          </c:yVal>
          <c:smooth val="0"/>
        </c:ser>
        <c:dLbls>
          <c:showLegendKey val="0"/>
          <c:showVal val="0"/>
          <c:showCatName val="0"/>
          <c:showSerName val="0"/>
          <c:showPercent val="0"/>
          <c:showBubbleSize val="0"/>
        </c:dLbls>
        <c:axId val="715836432"/>
        <c:axId val="709875632"/>
      </c:scatterChart>
      <c:valAx>
        <c:axId val="715836432"/>
        <c:scaling>
          <c:orientation val="minMax"/>
          <c:min val="2"/>
        </c:scaling>
        <c:delete val="0"/>
        <c:axPos val="b"/>
        <c:numFmt formatCode="0" sourceLinked="0"/>
        <c:majorTickMark val="in"/>
        <c:minorTickMark val="none"/>
        <c:tickLblPos val="nextTo"/>
        <c:spPr>
          <a:noFill/>
          <a:ln w="9525">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709875632"/>
        <c:crosses val="autoZero"/>
        <c:crossBetween val="midCat"/>
        <c:majorUnit val="1"/>
      </c:valAx>
      <c:valAx>
        <c:axId val="709875632"/>
        <c:scaling>
          <c:orientation val="minMax"/>
          <c:max val="5"/>
        </c:scaling>
        <c:delete val="0"/>
        <c:axPos val="l"/>
        <c:numFmt formatCode="0" sourceLinked="0"/>
        <c:majorTickMark val="in"/>
        <c:minorTickMark val="none"/>
        <c:tickLblPos val="nextTo"/>
        <c:spPr>
          <a:noFill/>
          <a:ln w="9525">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715836432"/>
        <c:crosses val="autoZero"/>
        <c:crossBetween val="midCat"/>
        <c:majorUnit val="1"/>
      </c:valAx>
      <c:spPr>
        <a:noFill/>
        <a:ln>
          <a:noFill/>
        </a:ln>
        <a:effectLst/>
      </c:spPr>
    </c:plotArea>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pt-BR"/>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spPr>
      <a:ln w="9525">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0.15143</cdr:x>
      <cdr:y>0.10849</cdr:y>
    </cdr:from>
    <cdr:to>
      <cdr:x>0.34736</cdr:x>
      <cdr:y>0.21498</cdr:y>
    </cdr:to>
    <cdr:sp macro="" textlink="">
      <cdr:nvSpPr>
        <cdr:cNvPr id="2" name="Retângulo 1"/>
        <cdr:cNvSpPr/>
      </cdr:nvSpPr>
      <cdr:spPr>
        <a:xfrm xmlns:a="http://schemas.openxmlformats.org/drawingml/2006/main">
          <a:off x="633095" y="241935"/>
          <a:ext cx="819150" cy="23749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sp>
  </cdr:relSizeAnchor>
</c:userShape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84C62-090B-4285-BA42-BA814CFA6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6</Pages>
  <Words>3944</Words>
  <Characters>21302</Characters>
  <Application>Microsoft Office Word</Application>
  <DocSecurity>0</DocSecurity>
  <Lines>177</Lines>
  <Paragraphs>50</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25196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Miguel Sellitto</cp:lastModifiedBy>
  <cp:revision>10</cp:revision>
  <cp:lastPrinted>2015-05-12T18:31:00Z</cp:lastPrinted>
  <dcterms:created xsi:type="dcterms:W3CDTF">2021-12-28T21:11:00Z</dcterms:created>
  <dcterms:modified xsi:type="dcterms:W3CDTF">2022-02-10T22:09:00Z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