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BED1033"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C81B13">
              <w:rPr>
                <w:rFonts w:cs="Arial"/>
                <w:b/>
                <w:bCs/>
                <w:i/>
                <w:iCs/>
                <w:color w:val="000066"/>
                <w:sz w:val="22"/>
                <w:szCs w:val="22"/>
                <w:lang w:eastAsia="it-IT"/>
              </w:rPr>
              <w:t>92</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C81B13">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20152819" w14:textId="77777777" w:rsidR="00C81B13" w:rsidRPr="0044071E" w:rsidRDefault="00C81B13" w:rsidP="00C81B13">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Rubens Maciel Filho</w:t>
            </w:r>
            <w:r>
              <w:rPr>
                <w:rFonts w:ascii="Tahoma" w:hAnsi="Tahoma" w:cs="Tahoma"/>
                <w:color w:val="000000"/>
                <w:sz w:val="14"/>
                <w:szCs w:val="14"/>
                <w:shd w:val="clear" w:color="auto" w:fill="FFFFFF"/>
                <w:lang w:val="it-IT"/>
              </w:rPr>
              <w:t>,</w:t>
            </w:r>
            <w:r w:rsidRPr="0044071E">
              <w:rPr>
                <w:rFonts w:ascii="Tahoma" w:hAnsi="Tahoma" w:cs="Tahoma"/>
                <w:color w:val="000000"/>
                <w:sz w:val="14"/>
                <w:szCs w:val="14"/>
                <w:shd w:val="clear" w:color="auto" w:fill="FFFFFF"/>
                <w:lang w:val="it-IT"/>
              </w:rPr>
              <w:t xml:space="preserve"> Eliseo Ranzi</w:t>
            </w:r>
            <w:r>
              <w:rPr>
                <w:rFonts w:ascii="Tahoma" w:hAnsi="Tahoma" w:cs="Tahoma"/>
                <w:color w:val="000000"/>
                <w:sz w:val="14"/>
                <w:szCs w:val="14"/>
                <w:shd w:val="clear" w:color="auto" w:fill="FFFFFF"/>
                <w:lang w:val="it-IT"/>
              </w:rPr>
              <w:t>, Leonardo Tognotti</w:t>
            </w:r>
          </w:p>
          <w:p w14:paraId="1B0F1814" w14:textId="66AFF84F" w:rsidR="000A03B2" w:rsidRPr="00B57B36" w:rsidRDefault="00C81B13" w:rsidP="00C81B13">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-90-7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0A31A0EB" w:rsidR="00E978D0" w:rsidRPr="007705EF" w:rsidRDefault="007705EF" w:rsidP="007F4033">
      <w:pPr>
        <w:pStyle w:val="CETTitle"/>
        <w:rPr>
          <w:lang w:val="en-US"/>
        </w:rPr>
      </w:pPr>
      <w:r w:rsidRPr="007705EF">
        <w:rPr>
          <w:bCs/>
          <w:iCs/>
          <w:lang w:val="en-US"/>
        </w:rPr>
        <w:t>Influence of social confinement by COVID-19 on air quality in the district of San Juan de Lurigancho in Lima, Peru</w:t>
      </w:r>
    </w:p>
    <w:p w14:paraId="2B3CA35C" w14:textId="2CCF75CB" w:rsidR="00E978D0" w:rsidRPr="00F31BC5" w:rsidRDefault="007705EF" w:rsidP="007F4033">
      <w:pPr>
        <w:pStyle w:val="CETAuthors"/>
      </w:pPr>
      <w:r w:rsidRPr="007705EF">
        <w:rPr>
          <w:bCs/>
          <w:lang w:val="en-US"/>
        </w:rPr>
        <w:t>Camila A. Medina Leon, Mercy F. Meza Felix,</w:t>
      </w:r>
      <w:r w:rsidR="007F5A94">
        <w:rPr>
          <w:bCs/>
        </w:rPr>
        <w:t xml:space="preserve"> Carlos A. Castañeda-</w:t>
      </w:r>
      <w:r w:rsidR="007F4033" w:rsidRPr="00C14646">
        <w:rPr>
          <w:bCs/>
        </w:rPr>
        <w:t>Olivera*</w:t>
      </w:r>
    </w:p>
    <w:p w14:paraId="3AE11478" w14:textId="1ED6C82C" w:rsidR="00F84164" w:rsidRPr="00F512A5" w:rsidRDefault="00412957" w:rsidP="00F84164">
      <w:pPr>
        <w:pStyle w:val="CETAddress"/>
        <w:rPr>
          <w:lang w:val="en-US"/>
        </w:rPr>
      </w:pPr>
      <w:r w:rsidRPr="00F512A5">
        <w:rPr>
          <w:lang w:val="en-US"/>
        </w:rPr>
        <w:t xml:space="preserve">Universidad </w:t>
      </w:r>
      <w:r w:rsidR="00F31BC5" w:rsidRPr="00F512A5">
        <w:rPr>
          <w:lang w:val="en-US"/>
        </w:rPr>
        <w:t>César Vallejo</w:t>
      </w:r>
      <w:r w:rsidRPr="00F512A5">
        <w:rPr>
          <w:lang w:val="en-US"/>
        </w:rPr>
        <w:t xml:space="preserve">, </w:t>
      </w:r>
      <w:r w:rsidR="007705EF" w:rsidRPr="00F512A5">
        <w:rPr>
          <w:lang w:val="en-US"/>
        </w:rPr>
        <w:t xml:space="preserve">Campus Los Olivos, </w:t>
      </w:r>
      <w:r w:rsidRPr="00F512A5">
        <w:rPr>
          <w:lang w:val="en-US"/>
        </w:rPr>
        <w:t>Lima</w:t>
      </w:r>
      <w:r w:rsidR="007F4033" w:rsidRPr="00F512A5">
        <w:rPr>
          <w:lang w:val="en-US"/>
        </w:rPr>
        <w:t>, Perú</w:t>
      </w:r>
    </w:p>
    <w:p w14:paraId="0127A28D" w14:textId="59122D71" w:rsidR="00E978D0" w:rsidRPr="00A42589" w:rsidRDefault="00270FC7" w:rsidP="00E978D0">
      <w:pPr>
        <w:pStyle w:val="CETemail"/>
        <w:rPr>
          <w:lang w:val="en-US"/>
        </w:rPr>
      </w:pPr>
      <w:hyperlink r:id="rId10" w:history="1">
        <w:r w:rsidR="00412957" w:rsidRPr="00A42589">
          <w:rPr>
            <w:rStyle w:val="Hyperlink"/>
            <w:vertAlign w:val="superscript"/>
            <w:lang w:val="en-US"/>
          </w:rPr>
          <w:t>*</w:t>
        </w:r>
        <w:r w:rsidR="00412957" w:rsidRPr="00A42589">
          <w:rPr>
            <w:rStyle w:val="Hyperlink"/>
            <w:lang w:val="en-US"/>
          </w:rPr>
          <w:t>caralcaso@gmail.com</w:t>
        </w:r>
      </w:hyperlink>
    </w:p>
    <w:p w14:paraId="5B0C5D6D" w14:textId="2DE6B042" w:rsidR="003F1137" w:rsidRPr="003F1137" w:rsidRDefault="003F1137" w:rsidP="003F1137">
      <w:pPr>
        <w:pStyle w:val="CETBodytext"/>
      </w:pPr>
      <w:r w:rsidRPr="003F1137">
        <w:t>During the pandemic, citizens were immobilized and different anthropic activities were paralyzed, reducing contamination by vapor and gas emissions, and consequently improving air quality. Therefore, this research evaluated the influence of social confinement</w:t>
      </w:r>
      <w:r w:rsidR="000836A4">
        <w:t xml:space="preserve"> (from March to May)</w:t>
      </w:r>
      <w:r w:rsidRPr="003F1137">
        <w:t xml:space="preserve"> by COVID-19 on air quality in the district of San Juan de Lurigancho (SJL) in Lima, Peru. Data on pollutants (PM2.5, SO</w:t>
      </w:r>
      <w:r w:rsidRPr="00A92C2C">
        <w:rPr>
          <w:vertAlign w:val="subscript"/>
        </w:rPr>
        <w:t>2</w:t>
      </w:r>
      <w:r w:rsidRPr="003F1137">
        <w:t xml:space="preserve"> and O</w:t>
      </w:r>
      <w:r w:rsidRPr="00A92C2C">
        <w:rPr>
          <w:vertAlign w:val="subscript"/>
        </w:rPr>
        <w:t>3</w:t>
      </w:r>
      <w:r w:rsidRPr="003F1137">
        <w:t>) were obtained from the National Service of Meteorology and Hydrology (SENAMHI). The results showed that in 2019, before the social confinement, pollutants PM2.5, SO</w:t>
      </w:r>
      <w:r w:rsidRPr="00A92C2C">
        <w:rPr>
          <w:vertAlign w:val="subscript"/>
        </w:rPr>
        <w:t>2</w:t>
      </w:r>
      <w:r w:rsidRPr="003F1137">
        <w:t xml:space="preserve"> and O</w:t>
      </w:r>
      <w:r w:rsidRPr="00A92C2C">
        <w:rPr>
          <w:vertAlign w:val="subscript"/>
        </w:rPr>
        <w:t>3</w:t>
      </w:r>
      <w:r w:rsidRPr="003F1137">
        <w:t xml:space="preserve"> had average </w:t>
      </w:r>
      <w:r w:rsidR="00080A16">
        <w:t xml:space="preserve">maximum </w:t>
      </w:r>
      <w:r w:rsidRPr="003F1137">
        <w:t>values of 75.79, 22.97 and 22.94 µg/m</w:t>
      </w:r>
      <w:r w:rsidRPr="00A92C2C">
        <w:rPr>
          <w:vertAlign w:val="superscript"/>
        </w:rPr>
        <w:t>3</w:t>
      </w:r>
      <w:r w:rsidRPr="003F1137">
        <w:t>, respectively. In the year 2020, during the social confineme</w:t>
      </w:r>
      <w:r w:rsidR="000836A4">
        <w:t>n</w:t>
      </w:r>
      <w:r w:rsidR="007F5A94">
        <w:t>t</w:t>
      </w:r>
      <w:r w:rsidRPr="003F1137">
        <w:t>, pollutants PM2.5 and SO</w:t>
      </w:r>
      <w:r w:rsidRPr="00A92C2C">
        <w:rPr>
          <w:vertAlign w:val="subscript"/>
        </w:rPr>
        <w:t>2</w:t>
      </w:r>
      <w:r w:rsidRPr="003F1137">
        <w:t xml:space="preserve"> had a significant reduction, wi</w:t>
      </w:r>
      <w:r w:rsidR="00080A16">
        <w:t>th average minimum values of 14.09 and 11.26</w:t>
      </w:r>
      <w:r w:rsidRPr="003F1137">
        <w:t xml:space="preserve"> µg/m</w:t>
      </w:r>
      <w:r w:rsidRPr="00A92C2C">
        <w:rPr>
          <w:vertAlign w:val="superscript"/>
        </w:rPr>
        <w:t>3</w:t>
      </w:r>
      <w:r w:rsidRPr="003F1137">
        <w:t>, respectively. Meanwhil</w:t>
      </w:r>
      <w:r w:rsidR="00080A16">
        <w:t>e, O</w:t>
      </w:r>
      <w:r w:rsidR="00080A16" w:rsidRPr="00A92C2C">
        <w:rPr>
          <w:vertAlign w:val="subscript"/>
        </w:rPr>
        <w:t xml:space="preserve">3 </w:t>
      </w:r>
      <w:r w:rsidR="00080A16">
        <w:t>gas increased to 17.35</w:t>
      </w:r>
      <w:r w:rsidRPr="003F1137">
        <w:t xml:space="preserve"> µg/m</w:t>
      </w:r>
      <w:r w:rsidRPr="00A92C2C">
        <w:rPr>
          <w:vertAlign w:val="superscript"/>
        </w:rPr>
        <w:t>3</w:t>
      </w:r>
      <w:r w:rsidRPr="003F1137">
        <w:t>. After the quarantine, in the months of June to December 2020, a progressive increase in the concentration of pollutants was seen as industrial and vehicular transport activities were reestablished. Finally, it is concluded that social confinement by COVID-19 improves air quality and shows that urban control measures should be taken to reduce the concentration of air pollutants.</w:t>
      </w:r>
    </w:p>
    <w:p w14:paraId="476B2F2E" w14:textId="23C2B55A" w:rsidR="00600535" w:rsidRPr="00B57B36" w:rsidRDefault="00C14646" w:rsidP="00600535">
      <w:pPr>
        <w:pStyle w:val="CETHeading1"/>
        <w:rPr>
          <w:lang w:val="en-GB"/>
        </w:rPr>
      </w:pPr>
      <w:r>
        <w:rPr>
          <w:lang w:val="en-GB"/>
        </w:rPr>
        <w:t xml:space="preserve">1. </w:t>
      </w:r>
      <w:r w:rsidR="00600535" w:rsidRPr="00B57B36">
        <w:rPr>
          <w:lang w:val="en-GB"/>
        </w:rPr>
        <w:t>Introduction</w:t>
      </w:r>
    </w:p>
    <w:p w14:paraId="57471DCE" w14:textId="52371A87" w:rsidR="004268B5" w:rsidRDefault="00F512A5" w:rsidP="00AC756E">
      <w:pPr>
        <w:pStyle w:val="CETBodytext"/>
      </w:pPr>
      <w:r w:rsidRPr="00F512A5">
        <w:t>Global air quality is constantly changing due to anthropogenic activities and the orogenic evolution of</w:t>
      </w:r>
      <w:r w:rsidR="000836A4">
        <w:t xml:space="preserve"> the planet (Zhang et al.</w:t>
      </w:r>
      <w:r w:rsidRPr="00F512A5">
        <w:t>, 2020; Dong et al., 2020). Its pollution has been reflected since the beginning of the industrial revolution, progressively affecting major cities, ecosystems and society itself (Barbulescu et al., 2021; UNDP, 2021). The disproportionate increase in population and industry has generated a low quality of life, which is deteriorating due to the prolonged emission of harmful vapors and gases that generate vulnerability to children, pregnant women and the elderly (</w:t>
      </w:r>
      <w:r w:rsidR="006F2D3A" w:rsidRPr="006F2D3A">
        <w:rPr>
          <w:lang w:val="en-GB"/>
        </w:rPr>
        <w:t xml:space="preserve">Guzmán, 2019; Mukherjee </w:t>
      </w:r>
      <w:r w:rsidR="006F2D3A" w:rsidRPr="006F2D3A">
        <w:rPr>
          <w:iCs/>
          <w:lang w:val="en-GB"/>
        </w:rPr>
        <w:t>et al.</w:t>
      </w:r>
      <w:r w:rsidR="006F2D3A" w:rsidRPr="006F2D3A">
        <w:rPr>
          <w:lang w:val="en-GB"/>
        </w:rPr>
        <w:t xml:space="preserve">,2021; </w:t>
      </w:r>
      <w:r w:rsidR="006F2D3A">
        <w:rPr>
          <w:lang w:val="en-GB"/>
        </w:rPr>
        <w:t>Chu et al.</w:t>
      </w:r>
      <w:r w:rsidR="006F2D3A" w:rsidRPr="006F2D3A">
        <w:rPr>
          <w:lang w:val="en-GB"/>
        </w:rPr>
        <w:t xml:space="preserve">, 2021; Yin </w:t>
      </w:r>
      <w:r w:rsidR="006F2D3A" w:rsidRPr="006F2D3A">
        <w:rPr>
          <w:iCs/>
          <w:lang w:val="en-GB"/>
        </w:rPr>
        <w:t>et al</w:t>
      </w:r>
      <w:r w:rsidR="006F2D3A" w:rsidRPr="006F2D3A">
        <w:rPr>
          <w:lang w:val="en-GB"/>
        </w:rPr>
        <w:t>. 2021</w:t>
      </w:r>
      <w:r w:rsidR="00D73A74">
        <w:rPr>
          <w:lang w:val="en-GB"/>
        </w:rPr>
        <w:t xml:space="preserve">; </w:t>
      </w:r>
      <w:r w:rsidR="00D73A74" w:rsidRPr="00D73A74">
        <w:rPr>
          <w:rFonts w:cs="Arial"/>
          <w:szCs w:val="18"/>
        </w:rPr>
        <w:t>Guillot,</w:t>
      </w:r>
      <w:r w:rsidR="00D73A74">
        <w:rPr>
          <w:rFonts w:cs="Arial"/>
          <w:szCs w:val="18"/>
        </w:rPr>
        <w:t xml:space="preserve"> </w:t>
      </w:r>
      <w:r w:rsidR="00D73A74" w:rsidRPr="00D73A74">
        <w:rPr>
          <w:rFonts w:cs="Arial"/>
          <w:szCs w:val="18"/>
        </w:rPr>
        <w:t>2021</w:t>
      </w:r>
      <w:r w:rsidRPr="00D73A74">
        <w:t>).</w:t>
      </w:r>
    </w:p>
    <w:p w14:paraId="38E2F6E8" w14:textId="0A5BF018" w:rsidR="00F512A5" w:rsidRDefault="00DB19AA" w:rsidP="00DB19AA">
      <w:pPr>
        <w:pStyle w:val="CETBodytext"/>
      </w:pPr>
      <w:r w:rsidRPr="00DB19AA">
        <w:t>The COVID-19 pandemic has forced to stop productive, extractive and industrial activities, decreasing the accumulation of PM2.5 and other pollutants, having as an improvement the increase of flora in the surroundings of the urban area and the air quality (Sunyer et al., 2021; Bayulken et al., 2021). In Peru, air pollution varies according to the region and the productive or extractive activities generated in the country, with annual average PM2.5 values higher than 54 µg/m3, and PM10 values higher than 50 µg/m3 (WHO, 2016; Pacsi, 2016; Gómez et al., 2020). During the pandemic, there was citizen immobilization and different industrial activities were paralyzed, decreasing pollution and improving air quality (Lanchipa et al., 2020; Skiriené and Stasiskiené,</w:t>
      </w:r>
      <w:r w:rsidR="00D73A74">
        <w:t xml:space="preserve"> </w:t>
      </w:r>
      <w:r w:rsidRPr="00DB19AA">
        <w:t>2021</w:t>
      </w:r>
      <w:r w:rsidR="00D73A74">
        <w:t xml:space="preserve">; </w:t>
      </w:r>
      <w:r w:rsidR="00D73A74" w:rsidRPr="00D73A74">
        <w:rPr>
          <w:rFonts w:cs="Arial"/>
          <w:szCs w:val="18"/>
        </w:rPr>
        <w:t>Suriya and Shreeshivadasan, 2021</w:t>
      </w:r>
      <w:r w:rsidRPr="00DB19AA">
        <w:t>). This social containment is a mediation applied at the local level when both isolation and distancing actions have been insufficient to contain the spread of a disease (Garcia and Cuellar, 2020). This measure was applied for COVID-19 which is a severe acute respiratory syndrome caused by a coronavirus (Coskun et al., 2021).</w:t>
      </w:r>
    </w:p>
    <w:p w14:paraId="33BAB395" w14:textId="77777777" w:rsidR="00DB19AA" w:rsidRDefault="00DB19AA" w:rsidP="00DB19AA">
      <w:pPr>
        <w:pStyle w:val="CETBodytext"/>
      </w:pPr>
      <w:r>
        <w:t xml:space="preserve">The social restriction measures taken for this pandemic are associated with the decrease of air pollutant gases (WHO, 2020). Therefore, the evaluation of these gases is very important for the measurement of the level of immission and emission (Guevara, 2017). In Peru, the indicators for the evaluation of air quality are the ECA (Environmental Quality Standards) of air and the INCA (Air Quality Index) (MINAM, 2017; Huarancca, 2018). </w:t>
      </w:r>
    </w:p>
    <w:p w14:paraId="6C251882" w14:textId="6330F960" w:rsidR="00DB19AA" w:rsidRPr="00DB19AA" w:rsidRDefault="00CB5CCA" w:rsidP="00DB19AA">
      <w:pPr>
        <w:pStyle w:val="CETBodytext"/>
      </w:pPr>
      <w:r w:rsidRPr="00CB5CCA">
        <w:lastRenderedPageBreak/>
        <w:t>In the air quality assessment of different cities, the levels of air pollutants were quantified to evaluate their impact on the social confinement period by COVID-19 (He et al., 2017; Cerrato et al., 2021). Being so, in São Paulo-Brazil, CO, NO and NO</w:t>
      </w:r>
      <w:r w:rsidRPr="00A92C2C">
        <w:rPr>
          <w:vertAlign w:val="subscript"/>
        </w:rPr>
        <w:t xml:space="preserve">2 </w:t>
      </w:r>
      <w:r w:rsidRPr="00CB5CCA">
        <w:t>pollutants were evaluated (Nakada and Urban, 2020); in Milan-Italy, CO and NO</w:t>
      </w:r>
      <w:r w:rsidRPr="00A92C2C">
        <w:rPr>
          <w:vertAlign w:val="subscript"/>
        </w:rPr>
        <w:t>2</w:t>
      </w:r>
      <w:r w:rsidRPr="00CB5CCA">
        <w:t xml:space="preserve"> pollutants were studied (Collivignarelli et al., 2020); in Buenos Aires-Argentina, NO</w:t>
      </w:r>
      <w:r w:rsidRPr="00A92C2C">
        <w:rPr>
          <w:vertAlign w:val="subscript"/>
        </w:rPr>
        <w:t>2</w:t>
      </w:r>
      <w:r w:rsidRPr="00CB5CCA">
        <w:t>, PM10 and</w:t>
      </w:r>
      <w:r>
        <w:t xml:space="preserve"> PM2.5 pollutants were measured</w:t>
      </w:r>
      <w:r w:rsidRPr="00CB5CCA">
        <w:t xml:space="preserve"> (Represa et al., 2</w:t>
      </w:r>
      <w:r w:rsidR="00A37A75">
        <w:t xml:space="preserve">021); and so in different </w:t>
      </w:r>
      <w:r w:rsidRPr="00CB5CCA">
        <w:t>cities of the world. For the aforementioned reasons, the present research evaluated the influence of social confinement</w:t>
      </w:r>
      <w:r w:rsidR="000836A4">
        <w:t xml:space="preserve"> (from March to May)</w:t>
      </w:r>
      <w:r w:rsidRPr="00CB5CCA">
        <w:t xml:space="preserve"> by COVID- 19 on air quality in the district of San Juan de Lurigancho in Lima, Peru, considering the evaluation before, during and after social confinement concerni</w:t>
      </w:r>
      <w:r>
        <w:t>ng PM2.5, SO</w:t>
      </w:r>
      <w:r w:rsidRPr="00A92C2C">
        <w:rPr>
          <w:vertAlign w:val="subscript"/>
        </w:rPr>
        <w:t>2</w:t>
      </w:r>
      <w:r>
        <w:t xml:space="preserve"> and O</w:t>
      </w:r>
      <w:r w:rsidRPr="00A92C2C">
        <w:rPr>
          <w:vertAlign w:val="subscript"/>
        </w:rPr>
        <w:t>3</w:t>
      </w:r>
      <w:r>
        <w:t xml:space="preserve"> pollutants</w:t>
      </w:r>
      <w:r w:rsidR="00DB19AA">
        <w:t>.</w:t>
      </w:r>
    </w:p>
    <w:p w14:paraId="6D526EAA" w14:textId="34341936" w:rsidR="00AC756E" w:rsidRPr="00B57B36" w:rsidRDefault="00C14646" w:rsidP="00AC756E">
      <w:pPr>
        <w:pStyle w:val="CETHeading1"/>
        <w:rPr>
          <w:lang w:val="en-GB"/>
        </w:rPr>
      </w:pPr>
      <w:r>
        <w:rPr>
          <w:lang w:val="en-GB"/>
        </w:rPr>
        <w:t xml:space="preserve">2. </w:t>
      </w:r>
      <w:r w:rsidR="00AC756E">
        <w:rPr>
          <w:lang w:val="en-GB"/>
        </w:rPr>
        <w:t>Materials and m</w:t>
      </w:r>
      <w:r w:rsidR="00AC756E" w:rsidRPr="00AC756E">
        <w:rPr>
          <w:lang w:val="en-GB"/>
        </w:rPr>
        <w:t>ethods</w:t>
      </w:r>
    </w:p>
    <w:p w14:paraId="036DAF1A" w14:textId="1560FDF4" w:rsidR="0099418D" w:rsidRPr="00C14646" w:rsidRDefault="0099418D" w:rsidP="00C14646">
      <w:pPr>
        <w:pStyle w:val="CETheadingx"/>
        <w:rPr>
          <w:iCs/>
          <w:lang w:val="en-GB"/>
        </w:rPr>
      </w:pPr>
      <w:r w:rsidRPr="00C14646">
        <w:rPr>
          <w:iCs/>
          <w:lang w:val="en-GB"/>
        </w:rPr>
        <w:t xml:space="preserve">2.1 </w:t>
      </w:r>
      <w:r w:rsidR="00BA7EF5">
        <w:rPr>
          <w:iCs/>
          <w:lang w:val="en-GB"/>
        </w:rPr>
        <w:t>Study a</w:t>
      </w:r>
      <w:r w:rsidR="00BA7EF5" w:rsidRPr="00BA7EF5">
        <w:rPr>
          <w:iCs/>
          <w:lang w:val="en-GB"/>
        </w:rPr>
        <w:t>rea</w:t>
      </w:r>
    </w:p>
    <w:p w14:paraId="09546196" w14:textId="40D4B6ED" w:rsidR="0099418D" w:rsidRPr="00B07A08" w:rsidRDefault="00BA7EF5" w:rsidP="0099418D">
      <w:pPr>
        <w:pStyle w:val="CETBodytext"/>
      </w:pPr>
      <w:r w:rsidRPr="00BA7EF5">
        <w:t>The district of San Juan de Lurigancho is located to the Northeast of the Province of Lima that develops to the right of the Rímac River. It is characterized by a desert climate with an average temperature of 18°C. It also has a population of 1,038,495 inhabitants and a surface area of 131.25 km</w:t>
      </w:r>
      <w:r w:rsidR="00FE39B2" w:rsidRPr="00FE39B2">
        <w:rPr>
          <w:vertAlign w:val="superscript"/>
        </w:rPr>
        <w:t>2</w:t>
      </w:r>
      <w:r w:rsidR="00FE39B2" w:rsidRPr="00BA7EF5">
        <w:t>,</w:t>
      </w:r>
      <w:r w:rsidRPr="00BA7EF5">
        <w:t xml:space="preserve"> which represents 4.91% of metropolitan Lima and 0.38% of Lima capital (Jurado and Valentín, 2021).</w:t>
      </w:r>
    </w:p>
    <w:p w14:paraId="2435619B" w14:textId="421539EC" w:rsidR="0099418D" w:rsidRPr="00C14646" w:rsidRDefault="0099418D" w:rsidP="00C14646">
      <w:pPr>
        <w:pStyle w:val="CETheadingx"/>
        <w:rPr>
          <w:iCs/>
          <w:lang w:val="en-GB"/>
        </w:rPr>
      </w:pPr>
      <w:r w:rsidRPr="00C14646">
        <w:rPr>
          <w:iCs/>
          <w:lang w:val="en-GB"/>
        </w:rPr>
        <w:t xml:space="preserve">2.2 </w:t>
      </w:r>
      <w:r w:rsidR="00FE39B2" w:rsidRPr="00FE39B2">
        <w:rPr>
          <w:iCs/>
          <w:lang w:val="en-GB"/>
        </w:rPr>
        <w:t>Data collection, acquisition and processing</w:t>
      </w:r>
    </w:p>
    <w:p w14:paraId="29A0755B" w14:textId="77777777" w:rsidR="00FE39B2" w:rsidRDefault="00FE39B2" w:rsidP="00FE39B2">
      <w:pPr>
        <w:pStyle w:val="CETBodytext"/>
      </w:pPr>
      <w:r>
        <w:t>Data for PM2.5, SO</w:t>
      </w:r>
      <w:r w:rsidRPr="00A92C2C">
        <w:rPr>
          <w:vertAlign w:val="subscript"/>
        </w:rPr>
        <w:t>2</w:t>
      </w:r>
      <w:r>
        <w:t xml:space="preserve"> and O</w:t>
      </w:r>
      <w:r w:rsidRPr="00A92C2C">
        <w:rPr>
          <w:vertAlign w:val="subscript"/>
        </w:rPr>
        <w:t>3</w:t>
      </w:r>
      <w:r>
        <w:t xml:space="preserve"> pollutants were obtained from SENAMHI (National Service of Meteorology and Hydrology of Peru). They were processed as follows:</w:t>
      </w:r>
    </w:p>
    <w:p w14:paraId="0BC2EE51" w14:textId="77777777" w:rsidR="00FE39B2" w:rsidRDefault="00FE39B2" w:rsidP="00FE39B2">
      <w:pPr>
        <w:pStyle w:val="CETBodytext"/>
        <w:numPr>
          <w:ilvl w:val="0"/>
          <w:numId w:val="24"/>
        </w:numPr>
      </w:pPr>
      <w:r>
        <w:t>Data were organized by pollutant type according to the study period.</w:t>
      </w:r>
    </w:p>
    <w:p w14:paraId="503D4D20" w14:textId="77777777" w:rsidR="00FE39B2" w:rsidRDefault="00FE39B2" w:rsidP="00FE39B2">
      <w:pPr>
        <w:pStyle w:val="CETBodytext"/>
        <w:numPr>
          <w:ilvl w:val="0"/>
          <w:numId w:val="24"/>
        </w:numPr>
      </w:pPr>
      <w:r>
        <w:t>The daily averages of each pollutant by year of study were determined in Excel 2016 software.</w:t>
      </w:r>
    </w:p>
    <w:p w14:paraId="63DBD455" w14:textId="2D61CC20" w:rsidR="0099418D" w:rsidRPr="00B07A08" w:rsidRDefault="00FE39B2" w:rsidP="00FE39B2">
      <w:pPr>
        <w:pStyle w:val="CETBodytext"/>
        <w:numPr>
          <w:ilvl w:val="0"/>
          <w:numId w:val="24"/>
        </w:numPr>
      </w:pPr>
      <w:r>
        <w:t>Tables and figures were generated of the daily averages grouped monthly in the periods 2019 - 2020.</w:t>
      </w:r>
    </w:p>
    <w:p w14:paraId="320E3FF0" w14:textId="2FA19F7D" w:rsidR="00AB6233" w:rsidRPr="00C14646" w:rsidRDefault="00C14646" w:rsidP="00C14646">
      <w:pPr>
        <w:pStyle w:val="CETheadingx"/>
        <w:rPr>
          <w:iCs/>
          <w:lang w:val="en-GB"/>
        </w:rPr>
      </w:pPr>
      <w:r>
        <w:rPr>
          <w:iCs/>
          <w:lang w:val="en-GB"/>
        </w:rPr>
        <w:t>2.3</w:t>
      </w:r>
      <w:r w:rsidR="00AB6233" w:rsidRPr="00C14646">
        <w:rPr>
          <w:iCs/>
          <w:lang w:val="en-GB"/>
        </w:rPr>
        <w:t xml:space="preserve"> </w:t>
      </w:r>
      <w:r w:rsidR="00FE39B2" w:rsidRPr="00FE39B2">
        <w:rPr>
          <w:iCs/>
          <w:lang w:val="en-GB"/>
        </w:rPr>
        <w:t>Data analysis</w:t>
      </w:r>
    </w:p>
    <w:p w14:paraId="301F1591" w14:textId="3ED9FF9F" w:rsidR="00AB6233" w:rsidRPr="00296279" w:rsidRDefault="00303F79" w:rsidP="00296279">
      <w:pPr>
        <w:pStyle w:val="CETBodytext"/>
      </w:pPr>
      <w:r w:rsidRPr="00303F79">
        <w:t>The data analysis was performed monthly by comparing tables and figures, representing the daily averages of each pollutant. Subsequently, each pollutant was compared with the ECA (Environmental Quality Standard) and INCA (Air Quality Index) for before, during and after the social confinement in the district of San Juan de Lurigancho.</w:t>
      </w:r>
      <w:r w:rsidR="00296279">
        <w:t xml:space="preserve"> </w:t>
      </w:r>
      <w:r w:rsidR="00296279" w:rsidRPr="00296279">
        <w:t>In the statistical analysis, the Kolmogorov-Smirnov normality test was used to determine the type of test to choose for the contaminants studied, considering a significance level of 5% (α = 0.05).</w:t>
      </w:r>
    </w:p>
    <w:p w14:paraId="38DCBA19" w14:textId="39244C20" w:rsidR="00D8620B" w:rsidRPr="00C14646" w:rsidRDefault="00C14646" w:rsidP="00C14646">
      <w:pPr>
        <w:pStyle w:val="CETHeading1"/>
        <w:rPr>
          <w:lang w:val="en-GB"/>
        </w:rPr>
      </w:pPr>
      <w:r>
        <w:rPr>
          <w:lang w:val="en-GB"/>
        </w:rPr>
        <w:t xml:space="preserve">3. </w:t>
      </w:r>
      <w:r w:rsidR="0025375A" w:rsidRPr="00C14646">
        <w:rPr>
          <w:lang w:val="en-GB"/>
        </w:rPr>
        <w:t xml:space="preserve">Results </w:t>
      </w:r>
      <w:r w:rsidR="00B07A08" w:rsidRPr="00C14646">
        <w:rPr>
          <w:lang w:val="en-GB"/>
        </w:rPr>
        <w:t xml:space="preserve">and </w:t>
      </w:r>
      <w:r w:rsidR="007B34D1" w:rsidRPr="00C14646">
        <w:rPr>
          <w:lang w:val="en-GB"/>
        </w:rPr>
        <w:t>discussion</w:t>
      </w:r>
    </w:p>
    <w:p w14:paraId="335AD439" w14:textId="798A6593" w:rsidR="00D8620B" w:rsidRPr="00511A7A" w:rsidRDefault="00C14646" w:rsidP="00C14646">
      <w:pPr>
        <w:pStyle w:val="CETheadingx"/>
        <w:rPr>
          <w:b w:val="0"/>
        </w:rPr>
      </w:pPr>
      <w:r w:rsidRPr="00C14646">
        <w:rPr>
          <w:iCs/>
          <w:lang w:val="en-GB"/>
        </w:rPr>
        <w:t>3.1</w:t>
      </w:r>
      <w:r w:rsidR="00D8620B" w:rsidRPr="00C14646">
        <w:rPr>
          <w:iCs/>
          <w:lang w:val="en-GB"/>
        </w:rPr>
        <w:t xml:space="preserve"> </w:t>
      </w:r>
      <w:r w:rsidR="005977CA" w:rsidRPr="005977CA">
        <w:rPr>
          <w:iCs/>
          <w:lang w:val="en-GB"/>
        </w:rPr>
        <w:t xml:space="preserve">Assessment of </w:t>
      </w:r>
      <w:r w:rsidR="001B26CB" w:rsidRPr="00C25305">
        <w:rPr>
          <w:iCs/>
          <w:lang w:val="en-GB"/>
        </w:rPr>
        <w:t xml:space="preserve">air pollutants </w:t>
      </w:r>
      <w:r w:rsidR="005977CA" w:rsidRPr="005977CA">
        <w:rPr>
          <w:iCs/>
          <w:lang w:val="en-GB"/>
        </w:rPr>
        <w:t>before social confinement by COVID-19</w:t>
      </w:r>
    </w:p>
    <w:p w14:paraId="3E8C6939" w14:textId="24EE0B3F" w:rsidR="00D8620B" w:rsidRPr="00D942B6" w:rsidRDefault="00BC7777" w:rsidP="00D942B6">
      <w:pPr>
        <w:pStyle w:val="CETBodytext"/>
      </w:pPr>
      <w:r w:rsidRPr="00BC7777">
        <w:t>Table 1 shows the results of the air quality assessment before the social confinement, mainly the months that recorded the maximum daily concentration values of PM2.5, SO</w:t>
      </w:r>
      <w:r w:rsidRPr="00BC7777">
        <w:rPr>
          <w:vertAlign w:val="subscript"/>
        </w:rPr>
        <w:t>2</w:t>
      </w:r>
      <w:r w:rsidRPr="00BC7777">
        <w:t xml:space="preserve"> and O</w:t>
      </w:r>
      <w:r w:rsidRPr="00BC7777">
        <w:rPr>
          <w:vertAlign w:val="subscript"/>
        </w:rPr>
        <w:t>3</w:t>
      </w:r>
      <w:r w:rsidRPr="00BC7777">
        <w:t>.</w:t>
      </w:r>
      <w:r w:rsidR="00D5371E">
        <w:t xml:space="preserve"> </w:t>
      </w:r>
      <w:r w:rsidR="00D942B6" w:rsidRPr="00D942B6">
        <w:t>In June and July, PM2.5 exceeded the ECAs, with maximum values of 62.01 and 75.79 µg/m</w:t>
      </w:r>
      <w:r w:rsidR="00D942B6" w:rsidRPr="00D942B6">
        <w:rPr>
          <w:vertAlign w:val="superscript"/>
        </w:rPr>
        <w:t>3</w:t>
      </w:r>
      <w:r w:rsidR="00D942B6" w:rsidRPr="00D942B6">
        <w:t>, respectively. Likewise, for INCA, June 8 and July 6 had poor air quality that possibly negatively impacted the sensitive population (children, elderly, pregnant women and people with respiratory diseases) and certain population in general. According to Centurión and Fababa (2020), PM2.5 concentration decreased in the districts of San Juan de Lurigancho (SJL), Carabayllo, Villa María del Triunfo (VMT) and San Borja of Metropolitan Lima during the quarantine, with values of 44, 53, 36 and 31%, respectively. It was found that in March 2019, the district of SJL obtained a PM2.5 concentration of 26.28 µg/m</w:t>
      </w:r>
      <w:r w:rsidR="00D942B6" w:rsidRPr="00D942B6">
        <w:rPr>
          <w:vertAlign w:val="superscript"/>
        </w:rPr>
        <w:t>3</w:t>
      </w:r>
      <w:r w:rsidR="00D942B6" w:rsidRPr="00D942B6">
        <w:t>, while in the present investigation it was 30.69 µg/m</w:t>
      </w:r>
      <w:r w:rsidR="00D942B6" w:rsidRPr="00D942B6">
        <w:rPr>
          <w:vertAlign w:val="superscript"/>
        </w:rPr>
        <w:t>3</w:t>
      </w:r>
      <w:r w:rsidR="00D942B6" w:rsidRPr="00D942B6">
        <w:t>. For June and July, the PM2.5 values are similar and coincide with what was found in the study.</w:t>
      </w:r>
    </w:p>
    <w:p w14:paraId="06A5D0C1" w14:textId="7A1738D3" w:rsidR="002618C9" w:rsidRDefault="002618C9" w:rsidP="00D8620B">
      <w:pPr>
        <w:pStyle w:val="CETBodytext"/>
      </w:pPr>
      <w:r w:rsidRPr="002618C9">
        <w:t>With respect to SO</w:t>
      </w:r>
      <w:r w:rsidRPr="00A92C2C">
        <w:rPr>
          <w:vertAlign w:val="subscript"/>
        </w:rPr>
        <w:t>2</w:t>
      </w:r>
      <w:r w:rsidRPr="002618C9">
        <w:t xml:space="preserve">, it was determined that in the months of January, May and September did not exceed the ECA, with </w:t>
      </w:r>
      <w:r w:rsidR="003E40A3">
        <w:t xml:space="preserve">daily </w:t>
      </w:r>
      <w:r w:rsidRPr="002618C9">
        <w:t>maximum values of 11.44, 18.80 and 22.97 μg/m</w:t>
      </w:r>
      <w:r w:rsidRPr="00A92C2C">
        <w:rPr>
          <w:vertAlign w:val="superscript"/>
        </w:rPr>
        <w:t>3</w:t>
      </w:r>
      <w:r w:rsidRPr="002618C9">
        <w:t>, respectively. Likewise, in January and February the air quality was moderate and in September the air quality was poor according to INCA. Anas et al. (2020) examined the variation of SO</w:t>
      </w:r>
      <w:r w:rsidRPr="00A92C2C">
        <w:rPr>
          <w:vertAlign w:val="subscript"/>
        </w:rPr>
        <w:t>2</w:t>
      </w:r>
      <w:r w:rsidRPr="002618C9">
        <w:t xml:space="preserve"> concentration before social confinement in the city of Salé in Morocco, from March 11 to 20, having average values of 6.6 μg/m</w:t>
      </w:r>
      <w:r w:rsidRPr="00A92C2C">
        <w:rPr>
          <w:vertAlign w:val="superscript"/>
        </w:rPr>
        <w:t>3</w:t>
      </w:r>
      <w:r w:rsidRPr="002618C9">
        <w:t>, which is a lower value according to the standards of that country. This showed that SO</w:t>
      </w:r>
      <w:r w:rsidRPr="00A92C2C">
        <w:rPr>
          <w:vertAlign w:val="subscript"/>
        </w:rPr>
        <w:t>2</w:t>
      </w:r>
      <w:r w:rsidRPr="002618C9">
        <w:t xml:space="preserve"> values do not exceed air quality standards.</w:t>
      </w:r>
    </w:p>
    <w:p w14:paraId="4A55F14E" w14:textId="23C9FEF2" w:rsidR="00C25305" w:rsidRDefault="00C25305" w:rsidP="00D8620B">
      <w:pPr>
        <w:pStyle w:val="CETBodytext"/>
      </w:pPr>
      <w:r w:rsidRPr="00C25305">
        <w:t>The evaluation carried out before the social confinement for O</w:t>
      </w:r>
      <w:r w:rsidRPr="00A92C2C">
        <w:rPr>
          <w:vertAlign w:val="subscript"/>
        </w:rPr>
        <w:t>3</w:t>
      </w:r>
      <w:r w:rsidRPr="00C25305">
        <w:t xml:space="preserve"> showed that in April and May did not exceed the ECA, with maximum values of 22.94 and 21.68 μg/m</w:t>
      </w:r>
      <w:r w:rsidRPr="00A92C2C">
        <w:rPr>
          <w:vertAlign w:val="superscript"/>
        </w:rPr>
        <w:t>3</w:t>
      </w:r>
      <w:r w:rsidRPr="00C25305">
        <w:t>, respectively. Likewise, for INCA, both months had good air quality. Sicard et al. (2020) evaluated O</w:t>
      </w:r>
      <w:r w:rsidRPr="00A92C2C">
        <w:rPr>
          <w:vertAlign w:val="subscript"/>
        </w:rPr>
        <w:t>3</w:t>
      </w:r>
      <w:r w:rsidRPr="00C25305">
        <w:t xml:space="preserve"> gas in the period from January 1 to December 21, 2019, and indicated that the average concentration increased to 90 μg/m</w:t>
      </w:r>
      <w:r w:rsidRPr="00A92C2C">
        <w:rPr>
          <w:vertAlign w:val="superscript"/>
        </w:rPr>
        <w:t>3</w:t>
      </w:r>
      <w:r w:rsidRPr="00C25305">
        <w:t xml:space="preserve"> in the cities of Turin and Wuhan.</w:t>
      </w:r>
    </w:p>
    <w:p w14:paraId="17465632" w14:textId="00656C33" w:rsidR="00CE1618" w:rsidRDefault="00CE1618" w:rsidP="00D8620B">
      <w:pPr>
        <w:pStyle w:val="CETBodytext"/>
      </w:pPr>
    </w:p>
    <w:p w14:paraId="4DF47E33" w14:textId="379A41AC" w:rsidR="00CE1618" w:rsidRDefault="00CE1618" w:rsidP="00D8620B">
      <w:pPr>
        <w:pStyle w:val="CETBodytext"/>
      </w:pPr>
    </w:p>
    <w:p w14:paraId="41866652" w14:textId="4BDE6A49" w:rsidR="00CE1618" w:rsidRPr="00D8620B" w:rsidRDefault="00CE1618" w:rsidP="00D8620B">
      <w:pPr>
        <w:pStyle w:val="CETBodytext"/>
      </w:pPr>
    </w:p>
    <w:p w14:paraId="44B59072" w14:textId="5B7AFB2B" w:rsidR="00D8620B" w:rsidRDefault="00C25305" w:rsidP="00D8620B">
      <w:pPr>
        <w:pStyle w:val="CETTabletitle"/>
        <w:rPr>
          <w:lang w:val="en-US"/>
        </w:rPr>
      </w:pPr>
      <w:r>
        <w:rPr>
          <w:lang w:val="en-US"/>
        </w:rPr>
        <w:lastRenderedPageBreak/>
        <w:t>Table 1</w:t>
      </w:r>
      <w:r w:rsidR="00D8620B" w:rsidRPr="00511A7A">
        <w:rPr>
          <w:lang w:val="en-US"/>
        </w:rPr>
        <w:t xml:space="preserve">: </w:t>
      </w:r>
      <w:r w:rsidRPr="00C25305">
        <w:rPr>
          <w:lang w:val="en-US"/>
        </w:rPr>
        <w:t>Variation of PM2.5, SO</w:t>
      </w:r>
      <w:r w:rsidRPr="00A92C2C">
        <w:rPr>
          <w:vertAlign w:val="subscript"/>
          <w:lang w:val="en-US"/>
        </w:rPr>
        <w:t>2</w:t>
      </w:r>
      <w:r w:rsidRPr="00C25305">
        <w:rPr>
          <w:lang w:val="en-US"/>
        </w:rPr>
        <w:t xml:space="preserve"> and O</w:t>
      </w:r>
      <w:r w:rsidRPr="00A92C2C">
        <w:rPr>
          <w:vertAlign w:val="subscript"/>
          <w:lang w:val="en-US"/>
        </w:rPr>
        <w:t>3</w:t>
      </w:r>
      <w:r w:rsidRPr="00C25305">
        <w:rPr>
          <w:lang w:val="en-US"/>
        </w:rPr>
        <w:t xml:space="preserve"> concentrations (µg/m</w:t>
      </w:r>
      <w:r w:rsidRPr="00A92C2C">
        <w:rPr>
          <w:vertAlign w:val="superscript"/>
          <w:lang w:val="en-US"/>
        </w:rPr>
        <w:t>3</w:t>
      </w:r>
      <w:r w:rsidRPr="00C25305">
        <w:rPr>
          <w:lang w:val="en-US"/>
        </w:rPr>
        <w:t>) before social confinement</w:t>
      </w:r>
    </w:p>
    <w:tbl>
      <w:tblPr>
        <w:tblW w:w="84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6"/>
        <w:gridCol w:w="894"/>
        <w:gridCol w:w="951"/>
        <w:gridCol w:w="1138"/>
        <w:gridCol w:w="1138"/>
        <w:gridCol w:w="1144"/>
        <w:gridCol w:w="1023"/>
        <w:gridCol w:w="1009"/>
      </w:tblGrid>
      <w:tr w:rsidR="00A324A3" w14:paraId="1D496B01" w14:textId="77777777" w:rsidTr="00BC7777">
        <w:trPr>
          <w:trHeight w:val="243"/>
          <w:jc w:val="center"/>
        </w:trPr>
        <w:tc>
          <w:tcPr>
            <w:tcW w:w="1196"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35B2E96A" w14:textId="77777777" w:rsidR="00A324A3" w:rsidRPr="00BC7777" w:rsidRDefault="00A324A3" w:rsidP="00450462">
            <w:pPr>
              <w:keepLines/>
              <w:spacing w:line="240" w:lineRule="auto"/>
              <w:jc w:val="center"/>
              <w:rPr>
                <w:b/>
                <w:szCs w:val="18"/>
                <w:lang w:val="en-US"/>
              </w:rPr>
            </w:pPr>
          </w:p>
          <w:p w14:paraId="2BB15AC1" w14:textId="77777777" w:rsidR="00A324A3" w:rsidRDefault="00A324A3" w:rsidP="00450462">
            <w:pPr>
              <w:keepLines/>
              <w:spacing w:line="240" w:lineRule="auto"/>
              <w:jc w:val="center"/>
              <w:rPr>
                <w:b/>
                <w:szCs w:val="18"/>
              </w:rPr>
            </w:pPr>
            <w:r>
              <w:rPr>
                <w:b/>
                <w:szCs w:val="18"/>
              </w:rPr>
              <w:t>Pollutant</w:t>
            </w:r>
          </w:p>
        </w:tc>
        <w:tc>
          <w:tcPr>
            <w:tcW w:w="894"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4DF37062" w14:textId="77777777" w:rsidR="00A324A3" w:rsidRDefault="00A324A3" w:rsidP="00450462">
            <w:pPr>
              <w:keepLines/>
              <w:spacing w:line="240" w:lineRule="auto"/>
              <w:jc w:val="center"/>
              <w:rPr>
                <w:b/>
                <w:szCs w:val="18"/>
              </w:rPr>
            </w:pPr>
          </w:p>
          <w:p w14:paraId="0F2B4A61" w14:textId="77777777" w:rsidR="00A324A3" w:rsidRDefault="00A324A3" w:rsidP="00450462">
            <w:pPr>
              <w:keepLines/>
              <w:spacing w:line="240" w:lineRule="auto"/>
              <w:jc w:val="center"/>
              <w:rPr>
                <w:b/>
                <w:szCs w:val="18"/>
              </w:rPr>
            </w:pPr>
            <w:r>
              <w:rPr>
                <w:b/>
                <w:szCs w:val="18"/>
              </w:rPr>
              <w:t>Month</w:t>
            </w:r>
          </w:p>
        </w:tc>
        <w:tc>
          <w:tcPr>
            <w:tcW w:w="4371" w:type="dxa"/>
            <w:gridSpan w:val="4"/>
            <w:tcBorders>
              <w:top w:val="single" w:sz="12" w:space="0" w:color="70AD47"/>
              <w:left w:val="nil"/>
              <w:bottom w:val="single" w:sz="4" w:space="0" w:color="70AD47"/>
              <w:right w:val="nil"/>
            </w:tcBorders>
            <w:tcMar>
              <w:top w:w="0" w:type="dxa"/>
              <w:left w:w="0" w:type="dxa"/>
              <w:bottom w:w="0" w:type="dxa"/>
              <w:right w:w="0" w:type="dxa"/>
            </w:tcMar>
            <w:vAlign w:val="center"/>
          </w:tcPr>
          <w:p w14:paraId="0AD11880" w14:textId="77777777" w:rsidR="00A324A3" w:rsidRDefault="00A324A3" w:rsidP="00450462">
            <w:pPr>
              <w:keepLines/>
              <w:spacing w:line="240" w:lineRule="auto"/>
              <w:jc w:val="center"/>
              <w:rPr>
                <w:b/>
                <w:szCs w:val="18"/>
              </w:rPr>
            </w:pPr>
            <w:r>
              <w:rPr>
                <w:b/>
                <w:szCs w:val="18"/>
              </w:rPr>
              <w:t>2019</w:t>
            </w:r>
          </w:p>
        </w:tc>
        <w:tc>
          <w:tcPr>
            <w:tcW w:w="1023"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12A58EE4" w14:textId="77777777" w:rsidR="00A324A3" w:rsidRDefault="00A324A3" w:rsidP="00450462">
            <w:pPr>
              <w:keepLines/>
              <w:spacing w:line="240" w:lineRule="auto"/>
              <w:jc w:val="center"/>
              <w:rPr>
                <w:b/>
                <w:szCs w:val="18"/>
              </w:rPr>
            </w:pPr>
          </w:p>
          <w:p w14:paraId="746770A1" w14:textId="77777777" w:rsidR="00A324A3" w:rsidRDefault="00A324A3" w:rsidP="00450462">
            <w:pPr>
              <w:keepLines/>
              <w:spacing w:line="240" w:lineRule="auto"/>
              <w:jc w:val="center"/>
              <w:rPr>
                <w:b/>
                <w:szCs w:val="18"/>
              </w:rPr>
            </w:pPr>
            <w:r>
              <w:rPr>
                <w:b/>
                <w:szCs w:val="18"/>
              </w:rPr>
              <w:t>ECA</w:t>
            </w:r>
          </w:p>
          <w:p w14:paraId="3F58CC58" w14:textId="77777777" w:rsidR="00A324A3" w:rsidRDefault="00A324A3" w:rsidP="00450462">
            <w:pPr>
              <w:keepLines/>
              <w:spacing w:line="240" w:lineRule="auto"/>
              <w:jc w:val="center"/>
              <w:rPr>
                <w:b/>
                <w:szCs w:val="18"/>
              </w:rPr>
            </w:pPr>
            <w:r>
              <w:rPr>
                <w:b/>
                <w:szCs w:val="18"/>
              </w:rPr>
              <w:t>(µg/m</w:t>
            </w:r>
            <w:r>
              <w:rPr>
                <w:b/>
                <w:szCs w:val="18"/>
                <w:vertAlign w:val="superscript"/>
              </w:rPr>
              <w:t>3</w:t>
            </w:r>
            <w:r>
              <w:rPr>
                <w:b/>
                <w:szCs w:val="18"/>
              </w:rPr>
              <w:t>)</w:t>
            </w:r>
          </w:p>
        </w:tc>
        <w:tc>
          <w:tcPr>
            <w:tcW w:w="1009"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4CA42F8C" w14:textId="77777777" w:rsidR="00A324A3" w:rsidRDefault="00A324A3" w:rsidP="00450462">
            <w:pPr>
              <w:keepLines/>
              <w:spacing w:line="240" w:lineRule="auto"/>
              <w:jc w:val="center"/>
              <w:rPr>
                <w:b/>
                <w:szCs w:val="18"/>
              </w:rPr>
            </w:pPr>
          </w:p>
          <w:p w14:paraId="51C0F70F" w14:textId="77777777" w:rsidR="00A324A3" w:rsidRDefault="00A324A3" w:rsidP="00450462">
            <w:pPr>
              <w:keepLines/>
              <w:spacing w:line="240" w:lineRule="auto"/>
              <w:jc w:val="center"/>
              <w:rPr>
                <w:b/>
                <w:szCs w:val="18"/>
              </w:rPr>
            </w:pPr>
            <w:r>
              <w:rPr>
                <w:b/>
                <w:szCs w:val="18"/>
              </w:rPr>
              <w:t>INCA</w:t>
            </w:r>
          </w:p>
          <w:p w14:paraId="72D2D52F" w14:textId="77777777" w:rsidR="00A324A3" w:rsidRDefault="00A324A3" w:rsidP="00450462">
            <w:pPr>
              <w:keepLines/>
              <w:spacing w:line="240" w:lineRule="auto"/>
              <w:jc w:val="center"/>
              <w:rPr>
                <w:b/>
                <w:szCs w:val="18"/>
              </w:rPr>
            </w:pPr>
            <w:r>
              <w:rPr>
                <w:b/>
                <w:szCs w:val="18"/>
              </w:rPr>
              <w:t>(µg/m</w:t>
            </w:r>
            <w:r>
              <w:rPr>
                <w:b/>
                <w:szCs w:val="18"/>
                <w:vertAlign w:val="superscript"/>
              </w:rPr>
              <w:t>3</w:t>
            </w:r>
            <w:r>
              <w:rPr>
                <w:b/>
                <w:szCs w:val="18"/>
              </w:rPr>
              <w:t>)</w:t>
            </w:r>
          </w:p>
        </w:tc>
      </w:tr>
      <w:tr w:rsidR="00A324A3" w14:paraId="16D09D24" w14:textId="77777777" w:rsidTr="00BC7777">
        <w:trPr>
          <w:trHeight w:val="243"/>
          <w:jc w:val="center"/>
        </w:trPr>
        <w:tc>
          <w:tcPr>
            <w:tcW w:w="1196"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249AD3D1" w14:textId="77777777" w:rsidR="00A324A3" w:rsidRDefault="00A324A3" w:rsidP="00450462">
            <w:pPr>
              <w:keepLines/>
              <w:spacing w:line="240" w:lineRule="auto"/>
              <w:jc w:val="center"/>
              <w:rPr>
                <w:b/>
                <w:szCs w:val="18"/>
              </w:rPr>
            </w:pPr>
          </w:p>
        </w:tc>
        <w:tc>
          <w:tcPr>
            <w:tcW w:w="894"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62BCB338" w14:textId="77777777" w:rsidR="00A324A3" w:rsidRDefault="00A324A3" w:rsidP="00450462">
            <w:pPr>
              <w:keepLines/>
              <w:spacing w:line="240" w:lineRule="auto"/>
              <w:jc w:val="center"/>
              <w:rPr>
                <w:b/>
                <w:szCs w:val="18"/>
              </w:rPr>
            </w:pPr>
          </w:p>
        </w:tc>
        <w:tc>
          <w:tcPr>
            <w:tcW w:w="951" w:type="dxa"/>
            <w:tcBorders>
              <w:top w:val="single" w:sz="4" w:space="0" w:color="70AD47"/>
              <w:left w:val="nil"/>
              <w:bottom w:val="single" w:sz="12" w:space="0" w:color="70AD47"/>
              <w:right w:val="nil"/>
            </w:tcBorders>
            <w:tcMar>
              <w:top w:w="0" w:type="dxa"/>
              <w:left w:w="0" w:type="dxa"/>
              <w:bottom w:w="0" w:type="dxa"/>
              <w:right w:w="0" w:type="dxa"/>
            </w:tcMar>
            <w:vAlign w:val="center"/>
          </w:tcPr>
          <w:p w14:paraId="7C345151" w14:textId="77777777" w:rsidR="00A324A3" w:rsidRDefault="00A324A3" w:rsidP="00450462">
            <w:pPr>
              <w:keepLines/>
              <w:spacing w:line="240" w:lineRule="auto"/>
              <w:jc w:val="center"/>
              <w:rPr>
                <w:b/>
                <w:szCs w:val="18"/>
              </w:rPr>
            </w:pPr>
            <w:r>
              <w:rPr>
                <w:b/>
                <w:szCs w:val="18"/>
              </w:rPr>
              <w:t>Day</w:t>
            </w:r>
          </w:p>
        </w:tc>
        <w:tc>
          <w:tcPr>
            <w:tcW w:w="1138" w:type="dxa"/>
            <w:tcBorders>
              <w:top w:val="single" w:sz="4" w:space="0" w:color="70AD47"/>
              <w:left w:val="nil"/>
              <w:bottom w:val="single" w:sz="12" w:space="0" w:color="70AD47"/>
              <w:right w:val="nil"/>
            </w:tcBorders>
            <w:tcMar>
              <w:top w:w="0" w:type="dxa"/>
              <w:left w:w="0" w:type="dxa"/>
              <w:bottom w:w="0" w:type="dxa"/>
              <w:right w:w="0" w:type="dxa"/>
            </w:tcMar>
            <w:vAlign w:val="center"/>
          </w:tcPr>
          <w:p w14:paraId="7E2098CB" w14:textId="77777777" w:rsidR="00A324A3" w:rsidRDefault="00A324A3" w:rsidP="00450462">
            <w:pPr>
              <w:keepLines/>
              <w:spacing w:line="240" w:lineRule="auto"/>
              <w:jc w:val="center"/>
              <w:rPr>
                <w:b/>
                <w:szCs w:val="18"/>
              </w:rPr>
            </w:pPr>
            <w:r>
              <w:rPr>
                <w:b/>
                <w:szCs w:val="18"/>
              </w:rPr>
              <w:t>Maximum</w:t>
            </w:r>
          </w:p>
          <w:p w14:paraId="43929410" w14:textId="77777777" w:rsidR="00A324A3" w:rsidRDefault="00A324A3" w:rsidP="00450462">
            <w:pPr>
              <w:keepLines/>
              <w:spacing w:line="240" w:lineRule="auto"/>
              <w:jc w:val="center"/>
              <w:rPr>
                <w:b/>
                <w:szCs w:val="18"/>
              </w:rPr>
            </w:pPr>
            <w:r>
              <w:rPr>
                <w:b/>
                <w:szCs w:val="18"/>
              </w:rPr>
              <w:t>(µg/m</w:t>
            </w:r>
            <w:r>
              <w:rPr>
                <w:b/>
                <w:szCs w:val="18"/>
                <w:vertAlign w:val="superscript"/>
              </w:rPr>
              <w:t>3</w:t>
            </w:r>
            <w:r>
              <w:rPr>
                <w:b/>
                <w:szCs w:val="18"/>
              </w:rPr>
              <w:t>)</w:t>
            </w:r>
          </w:p>
        </w:tc>
        <w:tc>
          <w:tcPr>
            <w:tcW w:w="1138" w:type="dxa"/>
            <w:tcBorders>
              <w:top w:val="single" w:sz="4" w:space="0" w:color="70AD47"/>
              <w:left w:val="nil"/>
              <w:bottom w:val="single" w:sz="12" w:space="0" w:color="70AD47"/>
              <w:right w:val="nil"/>
            </w:tcBorders>
            <w:tcMar>
              <w:top w:w="0" w:type="dxa"/>
              <w:left w:w="0" w:type="dxa"/>
              <w:bottom w:w="0" w:type="dxa"/>
              <w:right w:w="0" w:type="dxa"/>
            </w:tcMar>
            <w:vAlign w:val="center"/>
          </w:tcPr>
          <w:p w14:paraId="69470E70" w14:textId="77777777" w:rsidR="00A324A3" w:rsidRDefault="00A324A3" w:rsidP="00450462">
            <w:pPr>
              <w:keepLines/>
              <w:spacing w:line="240" w:lineRule="auto"/>
              <w:jc w:val="center"/>
              <w:rPr>
                <w:b/>
                <w:szCs w:val="18"/>
              </w:rPr>
            </w:pPr>
            <w:r>
              <w:rPr>
                <w:b/>
                <w:szCs w:val="18"/>
              </w:rPr>
              <w:t>Day</w:t>
            </w:r>
          </w:p>
        </w:tc>
        <w:tc>
          <w:tcPr>
            <w:tcW w:w="1143" w:type="dxa"/>
            <w:tcBorders>
              <w:top w:val="single" w:sz="4" w:space="0" w:color="70AD47"/>
              <w:left w:val="nil"/>
              <w:bottom w:val="single" w:sz="12" w:space="0" w:color="70AD47"/>
              <w:right w:val="nil"/>
            </w:tcBorders>
            <w:tcMar>
              <w:top w:w="0" w:type="dxa"/>
              <w:left w:w="0" w:type="dxa"/>
              <w:bottom w:w="0" w:type="dxa"/>
              <w:right w:w="0" w:type="dxa"/>
            </w:tcMar>
            <w:vAlign w:val="center"/>
          </w:tcPr>
          <w:p w14:paraId="6601DCB7" w14:textId="77777777" w:rsidR="00A324A3" w:rsidRDefault="00A324A3" w:rsidP="00450462">
            <w:pPr>
              <w:keepLines/>
              <w:spacing w:line="240" w:lineRule="auto"/>
              <w:jc w:val="center"/>
              <w:rPr>
                <w:b/>
                <w:szCs w:val="18"/>
              </w:rPr>
            </w:pPr>
            <w:r>
              <w:rPr>
                <w:b/>
                <w:szCs w:val="18"/>
              </w:rPr>
              <w:t>Minimum</w:t>
            </w:r>
          </w:p>
          <w:p w14:paraId="707D463F" w14:textId="77777777" w:rsidR="00A324A3" w:rsidRDefault="00A324A3" w:rsidP="00450462">
            <w:pPr>
              <w:keepLines/>
              <w:spacing w:line="240" w:lineRule="auto"/>
              <w:jc w:val="center"/>
              <w:rPr>
                <w:b/>
                <w:szCs w:val="18"/>
              </w:rPr>
            </w:pPr>
            <w:r>
              <w:rPr>
                <w:b/>
                <w:szCs w:val="18"/>
              </w:rPr>
              <w:t>(µg/m</w:t>
            </w:r>
            <w:r>
              <w:rPr>
                <w:b/>
                <w:szCs w:val="18"/>
                <w:vertAlign w:val="superscript"/>
              </w:rPr>
              <w:t>3</w:t>
            </w:r>
            <w:r>
              <w:rPr>
                <w:b/>
                <w:szCs w:val="18"/>
              </w:rPr>
              <w:t>)</w:t>
            </w:r>
          </w:p>
        </w:tc>
        <w:tc>
          <w:tcPr>
            <w:tcW w:w="1023"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10FCE310" w14:textId="77777777" w:rsidR="00A324A3" w:rsidRDefault="00A324A3" w:rsidP="00450462">
            <w:pPr>
              <w:keepLines/>
              <w:widowControl w:val="0"/>
              <w:spacing w:line="240" w:lineRule="auto"/>
              <w:jc w:val="center"/>
              <w:rPr>
                <w:b/>
                <w:szCs w:val="18"/>
              </w:rPr>
            </w:pPr>
          </w:p>
        </w:tc>
        <w:tc>
          <w:tcPr>
            <w:tcW w:w="1009"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509FA02C" w14:textId="77777777" w:rsidR="00A324A3" w:rsidRDefault="00A324A3" w:rsidP="00450462">
            <w:pPr>
              <w:keepLines/>
              <w:widowControl w:val="0"/>
              <w:spacing w:line="240" w:lineRule="auto"/>
              <w:jc w:val="center"/>
              <w:rPr>
                <w:b/>
                <w:szCs w:val="18"/>
              </w:rPr>
            </w:pPr>
          </w:p>
        </w:tc>
      </w:tr>
      <w:tr w:rsidR="00A324A3" w14:paraId="19AE61CB" w14:textId="77777777" w:rsidTr="00BC7777">
        <w:trPr>
          <w:trHeight w:val="374"/>
          <w:jc w:val="center"/>
        </w:trPr>
        <w:tc>
          <w:tcPr>
            <w:tcW w:w="1196"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5C2929CB" w14:textId="77777777" w:rsidR="00A324A3" w:rsidRDefault="00A324A3" w:rsidP="00450462">
            <w:pPr>
              <w:keepLines/>
              <w:pBdr>
                <w:top w:val="nil"/>
                <w:left w:val="nil"/>
                <w:bottom w:val="nil"/>
                <w:right w:val="nil"/>
                <w:between w:val="nil"/>
              </w:pBdr>
              <w:spacing w:line="240" w:lineRule="auto"/>
              <w:jc w:val="center"/>
              <w:rPr>
                <w:szCs w:val="18"/>
              </w:rPr>
            </w:pPr>
            <w:r>
              <w:rPr>
                <w:b/>
                <w:szCs w:val="18"/>
              </w:rPr>
              <w:t>PM</w:t>
            </w:r>
            <w:r>
              <w:rPr>
                <w:b/>
                <w:szCs w:val="18"/>
                <w:vertAlign w:val="subscript"/>
              </w:rPr>
              <w:t>2.5</w:t>
            </w:r>
          </w:p>
        </w:tc>
        <w:tc>
          <w:tcPr>
            <w:tcW w:w="894"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2354808" w14:textId="77777777" w:rsidR="00A324A3" w:rsidRDefault="00A324A3" w:rsidP="00450462">
            <w:pPr>
              <w:keepLines/>
              <w:pBdr>
                <w:top w:val="nil"/>
                <w:left w:val="nil"/>
                <w:bottom w:val="nil"/>
                <w:right w:val="nil"/>
                <w:between w:val="nil"/>
              </w:pBdr>
              <w:spacing w:line="240" w:lineRule="auto"/>
              <w:jc w:val="center"/>
              <w:rPr>
                <w:szCs w:val="18"/>
              </w:rPr>
            </w:pPr>
            <w:r>
              <w:rPr>
                <w:szCs w:val="18"/>
              </w:rPr>
              <w:t>June</w:t>
            </w:r>
          </w:p>
        </w:tc>
        <w:tc>
          <w:tcPr>
            <w:tcW w:w="951"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41193B57" w14:textId="77777777" w:rsidR="00A324A3" w:rsidRDefault="00A324A3" w:rsidP="00450462">
            <w:pPr>
              <w:keepLines/>
              <w:pBdr>
                <w:top w:val="nil"/>
                <w:left w:val="nil"/>
                <w:bottom w:val="nil"/>
                <w:right w:val="nil"/>
                <w:between w:val="nil"/>
              </w:pBdr>
              <w:spacing w:line="240" w:lineRule="auto"/>
              <w:jc w:val="center"/>
              <w:rPr>
                <w:szCs w:val="18"/>
              </w:rPr>
            </w:pPr>
            <w:r>
              <w:rPr>
                <w:szCs w:val="18"/>
              </w:rPr>
              <w:t>8</w:t>
            </w:r>
          </w:p>
        </w:tc>
        <w:tc>
          <w:tcPr>
            <w:tcW w:w="1138"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00649AF" w14:textId="77777777" w:rsidR="00A324A3" w:rsidRDefault="00A324A3" w:rsidP="00450462">
            <w:pPr>
              <w:keepLines/>
              <w:pBdr>
                <w:top w:val="nil"/>
                <w:left w:val="nil"/>
                <w:bottom w:val="nil"/>
                <w:right w:val="nil"/>
                <w:between w:val="nil"/>
              </w:pBdr>
              <w:spacing w:line="240" w:lineRule="auto"/>
              <w:jc w:val="center"/>
              <w:rPr>
                <w:szCs w:val="18"/>
              </w:rPr>
            </w:pPr>
            <w:r>
              <w:rPr>
                <w:szCs w:val="18"/>
              </w:rPr>
              <w:t>62.01</w:t>
            </w:r>
          </w:p>
        </w:tc>
        <w:tc>
          <w:tcPr>
            <w:tcW w:w="1138"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C456038" w14:textId="77777777" w:rsidR="00A324A3" w:rsidRDefault="00A324A3" w:rsidP="00450462">
            <w:pPr>
              <w:keepLines/>
              <w:pBdr>
                <w:top w:val="nil"/>
                <w:left w:val="nil"/>
                <w:bottom w:val="nil"/>
                <w:right w:val="nil"/>
                <w:between w:val="nil"/>
              </w:pBdr>
              <w:spacing w:line="240" w:lineRule="auto"/>
              <w:jc w:val="center"/>
              <w:rPr>
                <w:szCs w:val="18"/>
              </w:rPr>
            </w:pPr>
            <w:r>
              <w:rPr>
                <w:szCs w:val="18"/>
              </w:rPr>
              <w:t>30</w:t>
            </w:r>
          </w:p>
        </w:tc>
        <w:tc>
          <w:tcPr>
            <w:tcW w:w="1143"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5C890D2D" w14:textId="77777777" w:rsidR="00A324A3" w:rsidRDefault="00A324A3" w:rsidP="00450462">
            <w:pPr>
              <w:keepLines/>
              <w:pBdr>
                <w:top w:val="nil"/>
                <w:left w:val="nil"/>
                <w:bottom w:val="nil"/>
                <w:right w:val="nil"/>
                <w:between w:val="nil"/>
              </w:pBdr>
              <w:spacing w:line="240" w:lineRule="auto"/>
              <w:jc w:val="center"/>
              <w:rPr>
                <w:szCs w:val="18"/>
              </w:rPr>
            </w:pPr>
            <w:r>
              <w:rPr>
                <w:szCs w:val="18"/>
              </w:rPr>
              <w:t>14.34</w:t>
            </w:r>
          </w:p>
        </w:tc>
        <w:tc>
          <w:tcPr>
            <w:tcW w:w="1023"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10CB4DC3"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50</w:t>
            </w:r>
          </w:p>
        </w:tc>
        <w:tc>
          <w:tcPr>
            <w:tcW w:w="1009"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6272EE01" w14:textId="77777777" w:rsidR="00A324A3" w:rsidRDefault="00A324A3" w:rsidP="00450462">
            <w:pPr>
              <w:keepLines/>
              <w:pBdr>
                <w:top w:val="nil"/>
                <w:left w:val="nil"/>
                <w:bottom w:val="nil"/>
                <w:right w:val="nil"/>
                <w:between w:val="nil"/>
              </w:pBdr>
              <w:spacing w:line="240" w:lineRule="auto"/>
              <w:jc w:val="center"/>
              <w:rPr>
                <w:szCs w:val="18"/>
              </w:rPr>
            </w:pPr>
            <w:r>
              <w:rPr>
                <w:szCs w:val="18"/>
              </w:rPr>
              <w:t>12.6 - 25 (Moderate)</w:t>
            </w:r>
          </w:p>
          <w:p w14:paraId="6E219718" w14:textId="77777777" w:rsidR="00A324A3" w:rsidRDefault="00A324A3" w:rsidP="00450462">
            <w:pPr>
              <w:keepLines/>
              <w:pBdr>
                <w:top w:val="nil"/>
                <w:left w:val="nil"/>
                <w:bottom w:val="nil"/>
                <w:right w:val="nil"/>
                <w:between w:val="nil"/>
              </w:pBdr>
              <w:spacing w:line="240" w:lineRule="auto"/>
              <w:jc w:val="center"/>
              <w:rPr>
                <w:szCs w:val="18"/>
              </w:rPr>
            </w:pPr>
            <w:r>
              <w:rPr>
                <w:szCs w:val="18"/>
              </w:rPr>
              <w:t>25.1 - 125 (Poor)</w:t>
            </w:r>
          </w:p>
        </w:tc>
      </w:tr>
      <w:tr w:rsidR="00A324A3" w14:paraId="77DAA9A8" w14:textId="77777777" w:rsidTr="00BC7777">
        <w:trPr>
          <w:trHeight w:val="243"/>
          <w:jc w:val="center"/>
        </w:trPr>
        <w:tc>
          <w:tcPr>
            <w:tcW w:w="1196"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51EA55C7" w14:textId="77777777" w:rsidR="00A324A3" w:rsidRDefault="00A324A3" w:rsidP="00450462">
            <w:pPr>
              <w:widowControl w:val="0"/>
              <w:pBdr>
                <w:top w:val="nil"/>
                <w:left w:val="nil"/>
                <w:bottom w:val="nil"/>
                <w:right w:val="nil"/>
                <w:between w:val="nil"/>
              </w:pBdr>
              <w:spacing w:line="240" w:lineRule="auto"/>
              <w:jc w:val="center"/>
            </w:pPr>
          </w:p>
        </w:tc>
        <w:tc>
          <w:tcPr>
            <w:tcW w:w="894"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5E99381" w14:textId="77777777" w:rsidR="00A324A3" w:rsidRDefault="00A324A3" w:rsidP="00450462">
            <w:pPr>
              <w:keepLines/>
              <w:pBdr>
                <w:top w:val="nil"/>
                <w:left w:val="nil"/>
                <w:bottom w:val="nil"/>
                <w:right w:val="nil"/>
                <w:between w:val="nil"/>
              </w:pBdr>
              <w:spacing w:line="240" w:lineRule="auto"/>
              <w:jc w:val="center"/>
              <w:rPr>
                <w:szCs w:val="18"/>
              </w:rPr>
            </w:pPr>
            <w:r>
              <w:rPr>
                <w:szCs w:val="18"/>
              </w:rPr>
              <w:t>July</w:t>
            </w:r>
          </w:p>
        </w:tc>
        <w:tc>
          <w:tcPr>
            <w:tcW w:w="951"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0CCC7809" w14:textId="77777777" w:rsidR="00A324A3" w:rsidRDefault="00A324A3" w:rsidP="00450462">
            <w:pPr>
              <w:keepLines/>
              <w:pBdr>
                <w:top w:val="nil"/>
                <w:left w:val="nil"/>
                <w:bottom w:val="nil"/>
                <w:right w:val="nil"/>
                <w:between w:val="nil"/>
              </w:pBdr>
              <w:spacing w:line="240" w:lineRule="auto"/>
              <w:jc w:val="center"/>
              <w:rPr>
                <w:szCs w:val="18"/>
              </w:rPr>
            </w:pPr>
            <w:r>
              <w:rPr>
                <w:szCs w:val="18"/>
              </w:rPr>
              <w:t>6</w:t>
            </w:r>
          </w:p>
        </w:tc>
        <w:tc>
          <w:tcPr>
            <w:tcW w:w="113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1B259F47" w14:textId="77777777" w:rsidR="00A324A3" w:rsidRDefault="00A324A3" w:rsidP="00450462">
            <w:pPr>
              <w:keepLines/>
              <w:pBdr>
                <w:top w:val="nil"/>
                <w:left w:val="nil"/>
                <w:bottom w:val="nil"/>
                <w:right w:val="nil"/>
                <w:between w:val="nil"/>
              </w:pBdr>
              <w:spacing w:line="240" w:lineRule="auto"/>
              <w:jc w:val="center"/>
              <w:rPr>
                <w:szCs w:val="18"/>
              </w:rPr>
            </w:pPr>
            <w:r>
              <w:rPr>
                <w:szCs w:val="18"/>
              </w:rPr>
              <w:t>75.79</w:t>
            </w:r>
          </w:p>
        </w:tc>
        <w:tc>
          <w:tcPr>
            <w:tcW w:w="113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0D5C2E81" w14:textId="77777777" w:rsidR="00A324A3" w:rsidRDefault="00A324A3" w:rsidP="00450462">
            <w:pPr>
              <w:keepLines/>
              <w:pBdr>
                <w:top w:val="nil"/>
                <w:left w:val="nil"/>
                <w:bottom w:val="nil"/>
                <w:right w:val="nil"/>
                <w:between w:val="nil"/>
              </w:pBdr>
              <w:spacing w:line="240" w:lineRule="auto"/>
              <w:jc w:val="center"/>
              <w:rPr>
                <w:szCs w:val="18"/>
              </w:rPr>
            </w:pPr>
            <w:r>
              <w:rPr>
                <w:szCs w:val="18"/>
              </w:rPr>
              <w:t>29</w:t>
            </w:r>
          </w:p>
        </w:tc>
        <w:tc>
          <w:tcPr>
            <w:tcW w:w="1143"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470B7D3" w14:textId="77777777" w:rsidR="00A324A3" w:rsidRDefault="00A324A3" w:rsidP="00450462">
            <w:pPr>
              <w:keepLines/>
              <w:pBdr>
                <w:top w:val="nil"/>
                <w:left w:val="nil"/>
                <w:bottom w:val="nil"/>
                <w:right w:val="nil"/>
                <w:between w:val="nil"/>
              </w:pBdr>
              <w:spacing w:line="240" w:lineRule="auto"/>
              <w:jc w:val="center"/>
              <w:rPr>
                <w:szCs w:val="18"/>
              </w:rPr>
            </w:pPr>
            <w:r>
              <w:rPr>
                <w:szCs w:val="18"/>
              </w:rPr>
              <w:t>16.20</w:t>
            </w:r>
          </w:p>
        </w:tc>
        <w:tc>
          <w:tcPr>
            <w:tcW w:w="1023"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1348CC88" w14:textId="77777777" w:rsidR="00A324A3" w:rsidRDefault="00A324A3" w:rsidP="00450462">
            <w:pPr>
              <w:widowControl w:val="0"/>
              <w:pBdr>
                <w:top w:val="nil"/>
                <w:left w:val="nil"/>
                <w:bottom w:val="nil"/>
                <w:right w:val="nil"/>
                <w:between w:val="nil"/>
              </w:pBdr>
              <w:spacing w:line="240" w:lineRule="auto"/>
              <w:jc w:val="center"/>
            </w:pPr>
          </w:p>
        </w:tc>
        <w:tc>
          <w:tcPr>
            <w:tcW w:w="1009"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6ADB3DB1" w14:textId="77777777" w:rsidR="00A324A3" w:rsidRDefault="00A324A3" w:rsidP="00450462">
            <w:pPr>
              <w:widowControl w:val="0"/>
              <w:pBdr>
                <w:top w:val="nil"/>
                <w:left w:val="nil"/>
                <w:bottom w:val="nil"/>
                <w:right w:val="nil"/>
                <w:between w:val="nil"/>
              </w:pBdr>
              <w:spacing w:line="240" w:lineRule="auto"/>
              <w:jc w:val="center"/>
            </w:pPr>
          </w:p>
        </w:tc>
      </w:tr>
      <w:tr w:rsidR="00A324A3" w14:paraId="4A386D9E" w14:textId="77777777" w:rsidTr="00BC7777">
        <w:trPr>
          <w:trHeight w:val="404"/>
          <w:jc w:val="center"/>
        </w:trPr>
        <w:tc>
          <w:tcPr>
            <w:tcW w:w="1196"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1AAB83B3" w14:textId="77777777" w:rsidR="00A324A3" w:rsidRDefault="00A324A3" w:rsidP="00450462">
            <w:pPr>
              <w:keepLines/>
              <w:pBdr>
                <w:top w:val="nil"/>
                <w:left w:val="nil"/>
                <w:bottom w:val="nil"/>
                <w:right w:val="nil"/>
                <w:between w:val="nil"/>
              </w:pBdr>
              <w:spacing w:line="240" w:lineRule="auto"/>
              <w:jc w:val="center"/>
              <w:rPr>
                <w:szCs w:val="18"/>
              </w:rPr>
            </w:pPr>
            <w:r>
              <w:rPr>
                <w:b/>
                <w:szCs w:val="18"/>
              </w:rPr>
              <w:t>SO</w:t>
            </w:r>
            <w:r>
              <w:rPr>
                <w:b/>
                <w:szCs w:val="18"/>
                <w:vertAlign w:val="subscript"/>
              </w:rPr>
              <w:t>2</w:t>
            </w:r>
          </w:p>
        </w:tc>
        <w:tc>
          <w:tcPr>
            <w:tcW w:w="894"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40E832A2" w14:textId="77777777" w:rsidR="00A324A3" w:rsidRDefault="00A324A3" w:rsidP="00450462">
            <w:pPr>
              <w:keepLines/>
              <w:pBdr>
                <w:top w:val="nil"/>
                <w:left w:val="nil"/>
                <w:bottom w:val="nil"/>
                <w:right w:val="nil"/>
                <w:between w:val="nil"/>
              </w:pBdr>
              <w:spacing w:line="240" w:lineRule="auto"/>
              <w:jc w:val="center"/>
              <w:rPr>
                <w:szCs w:val="18"/>
              </w:rPr>
            </w:pPr>
            <w:r>
              <w:rPr>
                <w:szCs w:val="18"/>
              </w:rPr>
              <w:t>January</w:t>
            </w:r>
          </w:p>
        </w:tc>
        <w:tc>
          <w:tcPr>
            <w:tcW w:w="951"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6EB4B11" w14:textId="77777777" w:rsidR="00A324A3" w:rsidRDefault="00A324A3" w:rsidP="00450462">
            <w:pPr>
              <w:keepLines/>
              <w:pBdr>
                <w:top w:val="nil"/>
                <w:left w:val="nil"/>
                <w:bottom w:val="nil"/>
                <w:right w:val="nil"/>
                <w:between w:val="nil"/>
              </w:pBdr>
              <w:spacing w:line="240" w:lineRule="auto"/>
              <w:jc w:val="center"/>
              <w:rPr>
                <w:szCs w:val="18"/>
              </w:rPr>
            </w:pPr>
            <w:r>
              <w:rPr>
                <w:szCs w:val="18"/>
              </w:rPr>
              <w:t>30</w:t>
            </w:r>
          </w:p>
        </w:tc>
        <w:tc>
          <w:tcPr>
            <w:tcW w:w="113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BAB9954" w14:textId="77777777" w:rsidR="00A324A3" w:rsidRDefault="00A324A3" w:rsidP="00450462">
            <w:pPr>
              <w:keepLines/>
              <w:pBdr>
                <w:top w:val="nil"/>
                <w:left w:val="nil"/>
                <w:bottom w:val="nil"/>
                <w:right w:val="nil"/>
                <w:between w:val="nil"/>
              </w:pBdr>
              <w:spacing w:line="240" w:lineRule="auto"/>
              <w:jc w:val="center"/>
              <w:rPr>
                <w:szCs w:val="18"/>
              </w:rPr>
            </w:pPr>
            <w:r>
              <w:rPr>
                <w:szCs w:val="18"/>
              </w:rPr>
              <w:t>11.44</w:t>
            </w:r>
          </w:p>
        </w:tc>
        <w:tc>
          <w:tcPr>
            <w:tcW w:w="113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125F04C" w14:textId="77777777" w:rsidR="00A324A3" w:rsidRDefault="00A324A3" w:rsidP="00450462">
            <w:pPr>
              <w:keepLines/>
              <w:pBdr>
                <w:top w:val="nil"/>
                <w:left w:val="nil"/>
                <w:bottom w:val="nil"/>
                <w:right w:val="nil"/>
                <w:between w:val="nil"/>
              </w:pBdr>
              <w:spacing w:line="240" w:lineRule="auto"/>
              <w:jc w:val="center"/>
              <w:rPr>
                <w:szCs w:val="18"/>
              </w:rPr>
            </w:pPr>
            <w:r>
              <w:rPr>
                <w:szCs w:val="18"/>
              </w:rPr>
              <w:t>13</w:t>
            </w:r>
          </w:p>
        </w:tc>
        <w:tc>
          <w:tcPr>
            <w:tcW w:w="1143"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57808A12" w14:textId="77777777" w:rsidR="00A324A3" w:rsidRDefault="00A324A3" w:rsidP="00450462">
            <w:pPr>
              <w:keepLines/>
              <w:pBdr>
                <w:top w:val="nil"/>
                <w:left w:val="nil"/>
                <w:bottom w:val="nil"/>
                <w:right w:val="nil"/>
                <w:between w:val="nil"/>
              </w:pBdr>
              <w:spacing w:line="240" w:lineRule="auto"/>
              <w:jc w:val="center"/>
              <w:rPr>
                <w:szCs w:val="18"/>
              </w:rPr>
            </w:pPr>
            <w:r>
              <w:rPr>
                <w:szCs w:val="18"/>
              </w:rPr>
              <w:t>2.99</w:t>
            </w:r>
          </w:p>
        </w:tc>
        <w:tc>
          <w:tcPr>
            <w:tcW w:w="1023"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793DB51E"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250</w:t>
            </w:r>
          </w:p>
        </w:tc>
        <w:tc>
          <w:tcPr>
            <w:tcW w:w="1009"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4F5A4545" w14:textId="77777777" w:rsidR="00A324A3" w:rsidRDefault="00A324A3" w:rsidP="00450462">
            <w:pPr>
              <w:keepLines/>
              <w:pBdr>
                <w:top w:val="nil"/>
                <w:left w:val="nil"/>
                <w:bottom w:val="nil"/>
                <w:right w:val="nil"/>
                <w:between w:val="nil"/>
              </w:pBdr>
              <w:spacing w:line="240" w:lineRule="auto"/>
              <w:jc w:val="center"/>
              <w:rPr>
                <w:szCs w:val="18"/>
              </w:rPr>
            </w:pPr>
            <w:r>
              <w:rPr>
                <w:szCs w:val="18"/>
              </w:rPr>
              <w:t>0 - 10</w:t>
            </w:r>
          </w:p>
          <w:p w14:paraId="55204E31" w14:textId="77777777" w:rsidR="00A324A3" w:rsidRDefault="00A324A3" w:rsidP="00450462">
            <w:pPr>
              <w:keepLines/>
              <w:pBdr>
                <w:top w:val="nil"/>
                <w:left w:val="nil"/>
                <w:bottom w:val="nil"/>
                <w:right w:val="nil"/>
                <w:between w:val="nil"/>
              </w:pBdr>
              <w:spacing w:line="240" w:lineRule="auto"/>
              <w:jc w:val="center"/>
              <w:rPr>
                <w:szCs w:val="18"/>
              </w:rPr>
            </w:pPr>
            <w:r>
              <w:rPr>
                <w:szCs w:val="18"/>
              </w:rPr>
              <w:t>(Good)</w:t>
            </w:r>
          </w:p>
          <w:p w14:paraId="53649DBE" w14:textId="77777777" w:rsidR="00A324A3" w:rsidRDefault="00A324A3" w:rsidP="00450462">
            <w:pPr>
              <w:keepLines/>
              <w:pBdr>
                <w:top w:val="nil"/>
                <w:left w:val="nil"/>
                <w:bottom w:val="nil"/>
                <w:right w:val="nil"/>
                <w:between w:val="nil"/>
              </w:pBdr>
              <w:spacing w:line="240" w:lineRule="auto"/>
              <w:jc w:val="center"/>
              <w:rPr>
                <w:szCs w:val="18"/>
              </w:rPr>
            </w:pPr>
            <w:r>
              <w:rPr>
                <w:szCs w:val="18"/>
              </w:rPr>
              <w:t>11 - 20 (Moderate)</w:t>
            </w:r>
          </w:p>
          <w:p w14:paraId="56046A19" w14:textId="77777777" w:rsidR="00A324A3" w:rsidRDefault="00A324A3" w:rsidP="00450462">
            <w:pPr>
              <w:keepLines/>
              <w:pBdr>
                <w:top w:val="nil"/>
                <w:left w:val="nil"/>
                <w:bottom w:val="nil"/>
                <w:right w:val="nil"/>
                <w:between w:val="nil"/>
              </w:pBdr>
              <w:spacing w:line="240" w:lineRule="auto"/>
              <w:jc w:val="center"/>
              <w:rPr>
                <w:szCs w:val="18"/>
              </w:rPr>
            </w:pPr>
            <w:r>
              <w:rPr>
                <w:szCs w:val="18"/>
              </w:rPr>
              <w:t>21 - 500</w:t>
            </w:r>
          </w:p>
          <w:p w14:paraId="02672664" w14:textId="77777777" w:rsidR="00A324A3" w:rsidRDefault="00A324A3" w:rsidP="00450462">
            <w:pPr>
              <w:keepLines/>
              <w:pBdr>
                <w:top w:val="nil"/>
                <w:left w:val="nil"/>
                <w:bottom w:val="nil"/>
                <w:right w:val="nil"/>
                <w:between w:val="nil"/>
              </w:pBdr>
              <w:spacing w:line="240" w:lineRule="auto"/>
              <w:jc w:val="center"/>
              <w:rPr>
                <w:szCs w:val="18"/>
              </w:rPr>
            </w:pPr>
            <w:r>
              <w:rPr>
                <w:szCs w:val="18"/>
              </w:rPr>
              <w:t>(Poor)</w:t>
            </w:r>
          </w:p>
        </w:tc>
      </w:tr>
      <w:tr w:rsidR="00A324A3" w14:paraId="665C7993" w14:textId="77777777" w:rsidTr="00BC7777">
        <w:trPr>
          <w:trHeight w:val="449"/>
          <w:jc w:val="center"/>
        </w:trPr>
        <w:tc>
          <w:tcPr>
            <w:tcW w:w="1196" w:type="dxa"/>
            <w:vMerge/>
            <w:tcBorders>
              <w:left w:val="single" w:sz="8" w:space="0" w:color="FFFFFF"/>
              <w:right w:val="single" w:sz="8" w:space="0" w:color="FFFFFF"/>
            </w:tcBorders>
            <w:shd w:val="clear" w:color="auto" w:fill="auto"/>
            <w:tcMar>
              <w:top w:w="0" w:type="dxa"/>
              <w:left w:w="0" w:type="dxa"/>
              <w:bottom w:w="0" w:type="dxa"/>
              <w:right w:w="0" w:type="dxa"/>
            </w:tcMar>
            <w:vAlign w:val="center"/>
          </w:tcPr>
          <w:p w14:paraId="71D23571" w14:textId="77777777" w:rsidR="00A324A3" w:rsidRDefault="00A324A3" w:rsidP="00450462">
            <w:pPr>
              <w:widowControl w:val="0"/>
              <w:pBdr>
                <w:top w:val="nil"/>
                <w:left w:val="nil"/>
                <w:bottom w:val="nil"/>
                <w:right w:val="nil"/>
                <w:between w:val="nil"/>
              </w:pBdr>
              <w:spacing w:line="240" w:lineRule="auto"/>
              <w:jc w:val="center"/>
            </w:pPr>
          </w:p>
        </w:tc>
        <w:tc>
          <w:tcPr>
            <w:tcW w:w="894"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859283D" w14:textId="77777777" w:rsidR="00A324A3" w:rsidRDefault="00A324A3" w:rsidP="00450462">
            <w:pPr>
              <w:keepLines/>
              <w:pBdr>
                <w:top w:val="nil"/>
                <w:left w:val="nil"/>
                <w:bottom w:val="nil"/>
                <w:right w:val="nil"/>
                <w:between w:val="nil"/>
              </w:pBdr>
              <w:spacing w:line="240" w:lineRule="auto"/>
              <w:jc w:val="center"/>
              <w:rPr>
                <w:szCs w:val="18"/>
              </w:rPr>
            </w:pPr>
            <w:r>
              <w:rPr>
                <w:szCs w:val="18"/>
              </w:rPr>
              <w:t>May</w:t>
            </w:r>
          </w:p>
        </w:tc>
        <w:tc>
          <w:tcPr>
            <w:tcW w:w="951"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F696D1F" w14:textId="77777777" w:rsidR="00A324A3" w:rsidRDefault="00A324A3" w:rsidP="00450462">
            <w:pPr>
              <w:keepLines/>
              <w:pBdr>
                <w:top w:val="nil"/>
                <w:left w:val="nil"/>
                <w:bottom w:val="nil"/>
                <w:right w:val="nil"/>
                <w:between w:val="nil"/>
              </w:pBdr>
              <w:spacing w:line="240" w:lineRule="auto"/>
              <w:jc w:val="center"/>
              <w:rPr>
                <w:szCs w:val="18"/>
              </w:rPr>
            </w:pPr>
            <w:r>
              <w:rPr>
                <w:szCs w:val="18"/>
              </w:rPr>
              <w:t>6</w:t>
            </w:r>
          </w:p>
        </w:tc>
        <w:tc>
          <w:tcPr>
            <w:tcW w:w="1138"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A8C2A9D" w14:textId="77777777" w:rsidR="00A324A3" w:rsidRDefault="00A324A3" w:rsidP="00450462">
            <w:pPr>
              <w:keepLines/>
              <w:pBdr>
                <w:top w:val="nil"/>
                <w:left w:val="nil"/>
                <w:bottom w:val="nil"/>
                <w:right w:val="nil"/>
                <w:between w:val="nil"/>
              </w:pBdr>
              <w:spacing w:line="240" w:lineRule="auto"/>
              <w:jc w:val="center"/>
              <w:rPr>
                <w:szCs w:val="18"/>
              </w:rPr>
            </w:pPr>
            <w:r>
              <w:rPr>
                <w:szCs w:val="18"/>
              </w:rPr>
              <w:t>18.80</w:t>
            </w:r>
          </w:p>
        </w:tc>
        <w:tc>
          <w:tcPr>
            <w:tcW w:w="1138"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E4B6F53" w14:textId="77777777" w:rsidR="00A324A3" w:rsidRDefault="00A324A3" w:rsidP="00450462">
            <w:pPr>
              <w:keepLines/>
              <w:pBdr>
                <w:top w:val="nil"/>
                <w:left w:val="nil"/>
                <w:bottom w:val="nil"/>
                <w:right w:val="nil"/>
                <w:between w:val="nil"/>
              </w:pBdr>
              <w:spacing w:line="240" w:lineRule="auto"/>
              <w:jc w:val="center"/>
              <w:rPr>
                <w:szCs w:val="18"/>
              </w:rPr>
            </w:pPr>
            <w:r>
              <w:rPr>
                <w:szCs w:val="18"/>
              </w:rPr>
              <w:t>8</w:t>
            </w:r>
          </w:p>
        </w:tc>
        <w:tc>
          <w:tcPr>
            <w:tcW w:w="1143"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EFA9605" w14:textId="77777777" w:rsidR="00A324A3" w:rsidRDefault="00A324A3" w:rsidP="00450462">
            <w:pPr>
              <w:keepLines/>
              <w:pBdr>
                <w:top w:val="nil"/>
                <w:left w:val="nil"/>
                <w:bottom w:val="nil"/>
                <w:right w:val="nil"/>
                <w:between w:val="nil"/>
              </w:pBdr>
              <w:spacing w:line="240" w:lineRule="auto"/>
              <w:jc w:val="center"/>
              <w:rPr>
                <w:szCs w:val="18"/>
              </w:rPr>
            </w:pPr>
            <w:r>
              <w:rPr>
                <w:szCs w:val="18"/>
              </w:rPr>
              <w:t>6.79</w:t>
            </w:r>
          </w:p>
        </w:tc>
        <w:tc>
          <w:tcPr>
            <w:tcW w:w="1023" w:type="dxa"/>
            <w:vMerge/>
            <w:tcBorders>
              <w:left w:val="single" w:sz="8" w:space="0" w:color="FFFFFF"/>
              <w:right w:val="single" w:sz="8" w:space="0" w:color="FFFFFF"/>
            </w:tcBorders>
            <w:shd w:val="clear" w:color="auto" w:fill="auto"/>
            <w:tcMar>
              <w:top w:w="0" w:type="dxa"/>
              <w:left w:w="0" w:type="dxa"/>
              <w:bottom w:w="0" w:type="dxa"/>
              <w:right w:w="0" w:type="dxa"/>
            </w:tcMar>
            <w:vAlign w:val="center"/>
          </w:tcPr>
          <w:p w14:paraId="1E5A39FA" w14:textId="77777777" w:rsidR="00A324A3" w:rsidRDefault="00A324A3" w:rsidP="00450462">
            <w:pPr>
              <w:widowControl w:val="0"/>
              <w:pBdr>
                <w:top w:val="nil"/>
                <w:left w:val="nil"/>
                <w:bottom w:val="nil"/>
                <w:right w:val="nil"/>
                <w:between w:val="nil"/>
              </w:pBdr>
              <w:spacing w:line="240" w:lineRule="auto"/>
              <w:jc w:val="center"/>
            </w:pPr>
          </w:p>
        </w:tc>
        <w:tc>
          <w:tcPr>
            <w:tcW w:w="1009" w:type="dxa"/>
            <w:vMerge/>
            <w:tcBorders>
              <w:left w:val="single" w:sz="8" w:space="0" w:color="FFFFFF"/>
              <w:right w:val="single" w:sz="8" w:space="0" w:color="FFFFFF"/>
            </w:tcBorders>
            <w:shd w:val="clear" w:color="auto" w:fill="auto"/>
            <w:tcMar>
              <w:top w:w="0" w:type="dxa"/>
              <w:left w:w="0" w:type="dxa"/>
              <w:bottom w:w="0" w:type="dxa"/>
              <w:right w:w="0" w:type="dxa"/>
            </w:tcMar>
            <w:vAlign w:val="center"/>
          </w:tcPr>
          <w:p w14:paraId="066EDE8D" w14:textId="77777777" w:rsidR="00A324A3" w:rsidRDefault="00A324A3" w:rsidP="00450462">
            <w:pPr>
              <w:widowControl w:val="0"/>
              <w:pBdr>
                <w:top w:val="nil"/>
                <w:left w:val="nil"/>
                <w:bottom w:val="nil"/>
                <w:right w:val="nil"/>
                <w:between w:val="nil"/>
              </w:pBdr>
              <w:spacing w:line="240" w:lineRule="auto"/>
              <w:jc w:val="center"/>
            </w:pPr>
          </w:p>
        </w:tc>
      </w:tr>
      <w:tr w:rsidR="00A324A3" w14:paraId="22829AE5" w14:textId="77777777" w:rsidTr="00BC7777">
        <w:trPr>
          <w:trHeight w:val="243"/>
          <w:jc w:val="center"/>
        </w:trPr>
        <w:tc>
          <w:tcPr>
            <w:tcW w:w="1196"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04B0D8A5" w14:textId="77777777" w:rsidR="00A324A3" w:rsidRDefault="00A324A3" w:rsidP="00450462">
            <w:pPr>
              <w:widowControl w:val="0"/>
              <w:pBdr>
                <w:top w:val="nil"/>
                <w:left w:val="nil"/>
                <w:bottom w:val="nil"/>
                <w:right w:val="nil"/>
                <w:between w:val="nil"/>
              </w:pBdr>
              <w:spacing w:line="240" w:lineRule="auto"/>
              <w:jc w:val="center"/>
            </w:pPr>
          </w:p>
        </w:tc>
        <w:tc>
          <w:tcPr>
            <w:tcW w:w="894"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0F73D60F" w14:textId="77777777" w:rsidR="00A324A3" w:rsidRDefault="00A324A3" w:rsidP="00450462">
            <w:pPr>
              <w:keepLines/>
              <w:pBdr>
                <w:top w:val="nil"/>
                <w:left w:val="nil"/>
                <w:bottom w:val="nil"/>
                <w:right w:val="nil"/>
                <w:between w:val="nil"/>
              </w:pBdr>
              <w:spacing w:line="240" w:lineRule="auto"/>
              <w:jc w:val="center"/>
              <w:rPr>
                <w:szCs w:val="18"/>
              </w:rPr>
            </w:pPr>
            <w:r>
              <w:rPr>
                <w:szCs w:val="18"/>
              </w:rPr>
              <w:t>September</w:t>
            </w:r>
          </w:p>
        </w:tc>
        <w:tc>
          <w:tcPr>
            <w:tcW w:w="951"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69E7C60D" w14:textId="77777777" w:rsidR="00A324A3" w:rsidRDefault="00A324A3" w:rsidP="00450462">
            <w:pPr>
              <w:keepLines/>
              <w:pBdr>
                <w:top w:val="nil"/>
                <w:left w:val="nil"/>
                <w:bottom w:val="nil"/>
                <w:right w:val="nil"/>
                <w:between w:val="nil"/>
              </w:pBdr>
              <w:spacing w:line="240" w:lineRule="auto"/>
              <w:jc w:val="center"/>
              <w:rPr>
                <w:szCs w:val="18"/>
              </w:rPr>
            </w:pPr>
            <w:r>
              <w:rPr>
                <w:szCs w:val="18"/>
              </w:rPr>
              <w:t>29</w:t>
            </w:r>
          </w:p>
        </w:tc>
        <w:tc>
          <w:tcPr>
            <w:tcW w:w="113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7BA5E14C" w14:textId="77777777" w:rsidR="00A324A3" w:rsidRDefault="00A324A3" w:rsidP="00450462">
            <w:pPr>
              <w:keepLines/>
              <w:pBdr>
                <w:top w:val="nil"/>
                <w:left w:val="nil"/>
                <w:bottom w:val="nil"/>
                <w:right w:val="nil"/>
                <w:between w:val="nil"/>
              </w:pBdr>
              <w:spacing w:line="240" w:lineRule="auto"/>
              <w:jc w:val="center"/>
              <w:rPr>
                <w:szCs w:val="18"/>
              </w:rPr>
            </w:pPr>
            <w:r>
              <w:rPr>
                <w:szCs w:val="18"/>
              </w:rPr>
              <w:t>22.97</w:t>
            </w:r>
          </w:p>
        </w:tc>
        <w:tc>
          <w:tcPr>
            <w:tcW w:w="113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5C11520" w14:textId="77777777" w:rsidR="00A324A3" w:rsidRDefault="00A324A3" w:rsidP="00450462">
            <w:pPr>
              <w:keepLines/>
              <w:pBdr>
                <w:top w:val="nil"/>
                <w:left w:val="nil"/>
                <w:bottom w:val="nil"/>
                <w:right w:val="nil"/>
                <w:between w:val="nil"/>
              </w:pBdr>
              <w:spacing w:line="240" w:lineRule="auto"/>
              <w:jc w:val="center"/>
              <w:rPr>
                <w:szCs w:val="18"/>
              </w:rPr>
            </w:pPr>
            <w:r>
              <w:rPr>
                <w:szCs w:val="18"/>
              </w:rPr>
              <w:t>18</w:t>
            </w:r>
          </w:p>
        </w:tc>
        <w:tc>
          <w:tcPr>
            <w:tcW w:w="1143"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7B54317B" w14:textId="77777777" w:rsidR="00A324A3" w:rsidRDefault="00A324A3" w:rsidP="00450462">
            <w:pPr>
              <w:keepLines/>
              <w:pBdr>
                <w:top w:val="nil"/>
                <w:left w:val="nil"/>
                <w:bottom w:val="nil"/>
                <w:right w:val="nil"/>
                <w:between w:val="nil"/>
              </w:pBdr>
              <w:spacing w:line="240" w:lineRule="auto"/>
              <w:jc w:val="center"/>
              <w:rPr>
                <w:szCs w:val="18"/>
              </w:rPr>
            </w:pPr>
            <w:r>
              <w:rPr>
                <w:szCs w:val="18"/>
              </w:rPr>
              <w:t>11.48</w:t>
            </w:r>
          </w:p>
        </w:tc>
        <w:tc>
          <w:tcPr>
            <w:tcW w:w="1023"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67FB391D" w14:textId="77777777" w:rsidR="00A324A3" w:rsidRDefault="00A324A3" w:rsidP="00450462">
            <w:pPr>
              <w:widowControl w:val="0"/>
              <w:pBdr>
                <w:top w:val="nil"/>
                <w:left w:val="nil"/>
                <w:bottom w:val="nil"/>
                <w:right w:val="nil"/>
                <w:between w:val="nil"/>
              </w:pBdr>
              <w:spacing w:line="240" w:lineRule="auto"/>
              <w:jc w:val="center"/>
            </w:pPr>
          </w:p>
        </w:tc>
        <w:tc>
          <w:tcPr>
            <w:tcW w:w="1009"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BCAEA13" w14:textId="77777777" w:rsidR="00A324A3" w:rsidRDefault="00A324A3" w:rsidP="00450462">
            <w:pPr>
              <w:widowControl w:val="0"/>
              <w:pBdr>
                <w:top w:val="nil"/>
                <w:left w:val="nil"/>
                <w:bottom w:val="nil"/>
                <w:right w:val="nil"/>
                <w:between w:val="nil"/>
              </w:pBdr>
              <w:spacing w:line="240" w:lineRule="auto"/>
              <w:jc w:val="center"/>
            </w:pPr>
          </w:p>
        </w:tc>
      </w:tr>
      <w:tr w:rsidR="00A324A3" w14:paraId="646CD3B8" w14:textId="77777777" w:rsidTr="00BC7777">
        <w:trPr>
          <w:trHeight w:val="243"/>
          <w:jc w:val="center"/>
        </w:trPr>
        <w:tc>
          <w:tcPr>
            <w:tcW w:w="1196"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077CFB51" w14:textId="77777777" w:rsidR="00A324A3" w:rsidRDefault="00A324A3" w:rsidP="00450462">
            <w:pPr>
              <w:keepLines/>
              <w:pBdr>
                <w:top w:val="nil"/>
                <w:left w:val="nil"/>
                <w:bottom w:val="nil"/>
                <w:right w:val="nil"/>
                <w:between w:val="nil"/>
              </w:pBdr>
              <w:spacing w:line="240" w:lineRule="auto"/>
              <w:jc w:val="center"/>
              <w:rPr>
                <w:szCs w:val="18"/>
              </w:rPr>
            </w:pPr>
            <w:r>
              <w:rPr>
                <w:b/>
                <w:szCs w:val="18"/>
              </w:rPr>
              <w:t>O</w:t>
            </w:r>
            <w:r>
              <w:rPr>
                <w:b/>
                <w:szCs w:val="18"/>
                <w:vertAlign w:val="subscript"/>
              </w:rPr>
              <w:t>3</w:t>
            </w:r>
          </w:p>
        </w:tc>
        <w:tc>
          <w:tcPr>
            <w:tcW w:w="894"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0C207C6" w14:textId="77777777" w:rsidR="00A324A3" w:rsidRDefault="00A324A3" w:rsidP="00450462">
            <w:pPr>
              <w:keepLines/>
              <w:pBdr>
                <w:top w:val="nil"/>
                <w:left w:val="nil"/>
                <w:bottom w:val="nil"/>
                <w:right w:val="nil"/>
                <w:between w:val="nil"/>
              </w:pBdr>
              <w:spacing w:line="240" w:lineRule="auto"/>
              <w:jc w:val="center"/>
              <w:rPr>
                <w:szCs w:val="18"/>
              </w:rPr>
            </w:pPr>
            <w:r>
              <w:rPr>
                <w:szCs w:val="18"/>
              </w:rPr>
              <w:t>April</w:t>
            </w:r>
          </w:p>
        </w:tc>
        <w:tc>
          <w:tcPr>
            <w:tcW w:w="951"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EB11D5C" w14:textId="77777777" w:rsidR="00A324A3" w:rsidRDefault="00A324A3" w:rsidP="00450462">
            <w:pPr>
              <w:keepLines/>
              <w:pBdr>
                <w:top w:val="nil"/>
                <w:left w:val="nil"/>
                <w:bottom w:val="nil"/>
                <w:right w:val="nil"/>
                <w:between w:val="nil"/>
              </w:pBdr>
              <w:spacing w:line="240" w:lineRule="auto"/>
              <w:jc w:val="center"/>
              <w:rPr>
                <w:szCs w:val="18"/>
              </w:rPr>
            </w:pPr>
            <w:r>
              <w:rPr>
                <w:szCs w:val="18"/>
              </w:rPr>
              <w:t>11</w:t>
            </w:r>
          </w:p>
        </w:tc>
        <w:tc>
          <w:tcPr>
            <w:tcW w:w="113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BC01183" w14:textId="77777777" w:rsidR="00A324A3" w:rsidRDefault="00A324A3" w:rsidP="00450462">
            <w:pPr>
              <w:keepLines/>
              <w:pBdr>
                <w:top w:val="nil"/>
                <w:left w:val="nil"/>
                <w:bottom w:val="nil"/>
                <w:right w:val="nil"/>
                <w:between w:val="nil"/>
              </w:pBdr>
              <w:spacing w:line="240" w:lineRule="auto"/>
              <w:jc w:val="center"/>
              <w:rPr>
                <w:szCs w:val="18"/>
              </w:rPr>
            </w:pPr>
            <w:r>
              <w:rPr>
                <w:szCs w:val="18"/>
              </w:rPr>
              <w:t>22.94</w:t>
            </w:r>
          </w:p>
        </w:tc>
        <w:tc>
          <w:tcPr>
            <w:tcW w:w="113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526CA62E" w14:textId="77777777" w:rsidR="00A324A3" w:rsidRDefault="00A324A3" w:rsidP="00450462">
            <w:pPr>
              <w:keepLines/>
              <w:pBdr>
                <w:top w:val="nil"/>
                <w:left w:val="nil"/>
                <w:bottom w:val="nil"/>
                <w:right w:val="nil"/>
                <w:between w:val="nil"/>
              </w:pBdr>
              <w:spacing w:line="240" w:lineRule="auto"/>
              <w:jc w:val="center"/>
              <w:rPr>
                <w:szCs w:val="18"/>
              </w:rPr>
            </w:pPr>
            <w:r>
              <w:rPr>
                <w:szCs w:val="18"/>
              </w:rPr>
              <w:t>1</w:t>
            </w:r>
          </w:p>
        </w:tc>
        <w:tc>
          <w:tcPr>
            <w:tcW w:w="1143"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D301984" w14:textId="77777777" w:rsidR="00A324A3" w:rsidRDefault="00A324A3" w:rsidP="00450462">
            <w:pPr>
              <w:keepLines/>
              <w:pBdr>
                <w:top w:val="nil"/>
                <w:left w:val="nil"/>
                <w:bottom w:val="nil"/>
                <w:right w:val="nil"/>
                <w:between w:val="nil"/>
              </w:pBdr>
              <w:spacing w:line="240" w:lineRule="auto"/>
              <w:jc w:val="center"/>
              <w:rPr>
                <w:szCs w:val="18"/>
              </w:rPr>
            </w:pPr>
            <w:r>
              <w:rPr>
                <w:szCs w:val="18"/>
              </w:rPr>
              <w:t>2.17</w:t>
            </w:r>
          </w:p>
        </w:tc>
        <w:tc>
          <w:tcPr>
            <w:tcW w:w="1023"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294F9886"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100</w:t>
            </w:r>
          </w:p>
        </w:tc>
        <w:tc>
          <w:tcPr>
            <w:tcW w:w="1009"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6D9B0FAA" w14:textId="77777777" w:rsidR="00A324A3" w:rsidRDefault="00A324A3" w:rsidP="00450462">
            <w:pPr>
              <w:keepLines/>
              <w:pBdr>
                <w:top w:val="nil"/>
                <w:left w:val="nil"/>
                <w:bottom w:val="nil"/>
                <w:right w:val="nil"/>
                <w:between w:val="nil"/>
              </w:pBdr>
              <w:spacing w:line="240" w:lineRule="auto"/>
              <w:jc w:val="center"/>
              <w:rPr>
                <w:szCs w:val="18"/>
              </w:rPr>
            </w:pPr>
            <w:r>
              <w:rPr>
                <w:szCs w:val="18"/>
              </w:rPr>
              <w:t>0 - 60</w:t>
            </w:r>
          </w:p>
          <w:p w14:paraId="70B4D56E" w14:textId="77777777" w:rsidR="00A324A3" w:rsidRDefault="00A324A3" w:rsidP="00450462">
            <w:pPr>
              <w:keepLines/>
              <w:pBdr>
                <w:top w:val="nil"/>
                <w:left w:val="nil"/>
                <w:bottom w:val="nil"/>
                <w:right w:val="nil"/>
                <w:between w:val="nil"/>
              </w:pBdr>
              <w:spacing w:line="240" w:lineRule="auto"/>
              <w:jc w:val="center"/>
              <w:rPr>
                <w:szCs w:val="18"/>
              </w:rPr>
            </w:pPr>
            <w:r>
              <w:rPr>
                <w:szCs w:val="18"/>
              </w:rPr>
              <w:t>(Good)</w:t>
            </w:r>
          </w:p>
        </w:tc>
      </w:tr>
      <w:tr w:rsidR="00A324A3" w14:paraId="07138F96" w14:textId="77777777" w:rsidTr="00BC7777">
        <w:trPr>
          <w:trHeight w:val="344"/>
          <w:jc w:val="center"/>
        </w:trPr>
        <w:tc>
          <w:tcPr>
            <w:tcW w:w="1196"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3E03364D" w14:textId="77777777" w:rsidR="00A324A3" w:rsidRDefault="00A324A3" w:rsidP="00450462">
            <w:pPr>
              <w:widowControl w:val="0"/>
              <w:pBdr>
                <w:top w:val="nil"/>
                <w:left w:val="nil"/>
                <w:bottom w:val="nil"/>
                <w:right w:val="nil"/>
                <w:between w:val="nil"/>
              </w:pBdr>
              <w:spacing w:line="240" w:lineRule="auto"/>
              <w:jc w:val="center"/>
            </w:pPr>
          </w:p>
        </w:tc>
        <w:tc>
          <w:tcPr>
            <w:tcW w:w="894"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1C46F680" w14:textId="77777777" w:rsidR="00A324A3" w:rsidRDefault="00A324A3" w:rsidP="00450462">
            <w:pPr>
              <w:widowControl w:val="0"/>
              <w:pBdr>
                <w:top w:val="nil"/>
                <w:left w:val="nil"/>
                <w:bottom w:val="nil"/>
                <w:right w:val="nil"/>
                <w:between w:val="nil"/>
              </w:pBdr>
              <w:spacing w:line="240" w:lineRule="auto"/>
              <w:jc w:val="center"/>
              <w:rPr>
                <w:szCs w:val="18"/>
              </w:rPr>
            </w:pPr>
            <w:r>
              <w:rPr>
                <w:szCs w:val="18"/>
              </w:rPr>
              <w:t>May</w:t>
            </w:r>
          </w:p>
        </w:tc>
        <w:tc>
          <w:tcPr>
            <w:tcW w:w="951"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696B4DC3" w14:textId="77777777" w:rsidR="00A324A3" w:rsidRDefault="00A324A3" w:rsidP="00450462">
            <w:pPr>
              <w:widowControl w:val="0"/>
              <w:pBdr>
                <w:top w:val="nil"/>
                <w:left w:val="nil"/>
                <w:bottom w:val="nil"/>
                <w:right w:val="nil"/>
                <w:between w:val="nil"/>
              </w:pBdr>
              <w:spacing w:line="240" w:lineRule="auto"/>
              <w:jc w:val="center"/>
              <w:rPr>
                <w:szCs w:val="18"/>
              </w:rPr>
            </w:pPr>
            <w:r>
              <w:rPr>
                <w:szCs w:val="18"/>
              </w:rPr>
              <w:t>19</w:t>
            </w:r>
          </w:p>
        </w:tc>
        <w:tc>
          <w:tcPr>
            <w:tcW w:w="1138"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549313B2" w14:textId="77777777" w:rsidR="00A324A3" w:rsidRDefault="00A324A3" w:rsidP="00450462">
            <w:pPr>
              <w:widowControl w:val="0"/>
              <w:pBdr>
                <w:top w:val="nil"/>
                <w:left w:val="nil"/>
                <w:bottom w:val="nil"/>
                <w:right w:val="nil"/>
                <w:between w:val="nil"/>
              </w:pBdr>
              <w:spacing w:line="240" w:lineRule="auto"/>
              <w:jc w:val="center"/>
              <w:rPr>
                <w:szCs w:val="18"/>
              </w:rPr>
            </w:pPr>
            <w:r>
              <w:rPr>
                <w:szCs w:val="18"/>
              </w:rPr>
              <w:t>21.68</w:t>
            </w:r>
          </w:p>
        </w:tc>
        <w:tc>
          <w:tcPr>
            <w:tcW w:w="1138"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2967760C" w14:textId="77777777" w:rsidR="00A324A3" w:rsidRDefault="00A324A3" w:rsidP="00450462">
            <w:pPr>
              <w:widowControl w:val="0"/>
              <w:pBdr>
                <w:top w:val="nil"/>
                <w:left w:val="nil"/>
                <w:bottom w:val="nil"/>
                <w:right w:val="nil"/>
                <w:between w:val="nil"/>
              </w:pBdr>
              <w:spacing w:line="240" w:lineRule="auto"/>
              <w:jc w:val="center"/>
              <w:rPr>
                <w:szCs w:val="18"/>
              </w:rPr>
            </w:pPr>
            <w:r>
              <w:rPr>
                <w:szCs w:val="18"/>
              </w:rPr>
              <w:t>6</w:t>
            </w:r>
          </w:p>
        </w:tc>
        <w:tc>
          <w:tcPr>
            <w:tcW w:w="1143"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012870CC" w14:textId="77777777" w:rsidR="00A324A3" w:rsidRDefault="00A324A3" w:rsidP="00450462">
            <w:pPr>
              <w:widowControl w:val="0"/>
              <w:pBdr>
                <w:top w:val="nil"/>
                <w:left w:val="nil"/>
                <w:bottom w:val="nil"/>
                <w:right w:val="nil"/>
                <w:between w:val="nil"/>
              </w:pBdr>
              <w:spacing w:line="240" w:lineRule="auto"/>
              <w:jc w:val="center"/>
              <w:rPr>
                <w:szCs w:val="18"/>
              </w:rPr>
            </w:pPr>
            <w:r>
              <w:rPr>
                <w:szCs w:val="18"/>
              </w:rPr>
              <w:t>6.61</w:t>
            </w:r>
          </w:p>
        </w:tc>
        <w:tc>
          <w:tcPr>
            <w:tcW w:w="1023"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077BEBB3" w14:textId="77777777" w:rsidR="00A324A3" w:rsidRDefault="00A324A3" w:rsidP="00450462">
            <w:pPr>
              <w:widowControl w:val="0"/>
              <w:pBdr>
                <w:top w:val="nil"/>
                <w:left w:val="nil"/>
                <w:bottom w:val="nil"/>
                <w:right w:val="nil"/>
                <w:between w:val="nil"/>
              </w:pBdr>
              <w:spacing w:line="240" w:lineRule="auto"/>
              <w:jc w:val="center"/>
            </w:pPr>
          </w:p>
        </w:tc>
        <w:tc>
          <w:tcPr>
            <w:tcW w:w="1009"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380DDE3D" w14:textId="77777777" w:rsidR="00A324A3" w:rsidRDefault="00A324A3" w:rsidP="00450462">
            <w:pPr>
              <w:widowControl w:val="0"/>
              <w:pBdr>
                <w:top w:val="nil"/>
                <w:left w:val="nil"/>
                <w:bottom w:val="nil"/>
                <w:right w:val="nil"/>
                <w:between w:val="nil"/>
              </w:pBdr>
              <w:spacing w:line="240" w:lineRule="auto"/>
              <w:jc w:val="center"/>
            </w:pPr>
          </w:p>
        </w:tc>
      </w:tr>
    </w:tbl>
    <w:p w14:paraId="7D318B31" w14:textId="1390A109" w:rsidR="0025375A" w:rsidRPr="00C14646" w:rsidRDefault="00C14646" w:rsidP="00C14646">
      <w:pPr>
        <w:pStyle w:val="CETheadingx"/>
        <w:rPr>
          <w:iCs/>
          <w:lang w:val="en-GB"/>
        </w:rPr>
      </w:pPr>
      <w:r>
        <w:rPr>
          <w:iCs/>
          <w:lang w:val="en-GB"/>
        </w:rPr>
        <w:t xml:space="preserve">3.2 </w:t>
      </w:r>
      <w:r w:rsidR="00C25305" w:rsidRPr="00C25305">
        <w:rPr>
          <w:iCs/>
          <w:lang w:val="en-GB"/>
        </w:rPr>
        <w:t>Assessment of air pollutants during social confinement by COVID-19</w:t>
      </w:r>
    </w:p>
    <w:p w14:paraId="383E6771" w14:textId="07A82A9B" w:rsidR="008B156C" w:rsidRDefault="00D5371E" w:rsidP="001B26CB">
      <w:pPr>
        <w:pStyle w:val="CETTabletitle"/>
        <w:spacing w:before="0" w:after="0"/>
        <w:jc w:val="both"/>
        <w:rPr>
          <w:i w:val="0"/>
          <w:lang w:val="en-US"/>
        </w:rPr>
      </w:pPr>
      <w:r w:rsidRPr="00D5371E">
        <w:rPr>
          <w:i w:val="0"/>
          <w:lang w:val="en-US"/>
        </w:rPr>
        <w:t>Table 2 shows the results of the air qualit</w:t>
      </w:r>
      <w:r>
        <w:rPr>
          <w:i w:val="0"/>
          <w:lang w:val="en-US"/>
        </w:rPr>
        <w:t>y assessment during the social confinement</w:t>
      </w:r>
      <w:r w:rsidR="00BC7777">
        <w:rPr>
          <w:i w:val="0"/>
          <w:lang w:val="en-US"/>
        </w:rPr>
        <w:t xml:space="preserve"> </w:t>
      </w:r>
      <w:r w:rsidR="00BC7777" w:rsidRPr="00BC7777">
        <w:rPr>
          <w:i w:val="0"/>
          <w:lang w:val="en-US"/>
        </w:rPr>
        <w:t>(</w:t>
      </w:r>
      <w:r w:rsidR="00BC7777" w:rsidRPr="00BC7777">
        <w:rPr>
          <w:i w:val="0"/>
        </w:rPr>
        <w:t>from March to May)</w:t>
      </w:r>
      <w:r w:rsidRPr="00BC7777">
        <w:rPr>
          <w:i w:val="0"/>
          <w:lang w:val="en-US"/>
        </w:rPr>
        <w:t>.</w:t>
      </w:r>
      <w:r>
        <w:rPr>
          <w:i w:val="0"/>
          <w:lang w:val="en-US"/>
        </w:rPr>
        <w:t xml:space="preserve"> T</w:t>
      </w:r>
      <w:r w:rsidR="000A5A85" w:rsidRPr="000A5A85">
        <w:rPr>
          <w:i w:val="0"/>
          <w:lang w:val="en-US"/>
        </w:rPr>
        <w:t>he pollutant PM2.5 showed acceptable values for the ECA in March, April and May, with maximum values of 14.09, 17.21 and 30.89 μg/m</w:t>
      </w:r>
      <w:r w:rsidR="000A5A85" w:rsidRPr="00A92C2C">
        <w:rPr>
          <w:i w:val="0"/>
          <w:vertAlign w:val="superscript"/>
          <w:lang w:val="en-US"/>
        </w:rPr>
        <w:t>3</w:t>
      </w:r>
      <w:r w:rsidR="000A5A85" w:rsidRPr="000A5A85">
        <w:rPr>
          <w:i w:val="0"/>
          <w:lang w:val="en-US"/>
        </w:rPr>
        <w:t xml:space="preserve">, respectively. Likewise, for INCA, March and April had moderate air quality, and May had poor air quality. These values compared to 2019, are significantly reduced and do not exceed the </w:t>
      </w:r>
      <w:r w:rsidR="000A5A85">
        <w:rPr>
          <w:i w:val="0"/>
          <w:lang w:val="en-US"/>
        </w:rPr>
        <w:t>ECA, as shown in Table 1</w:t>
      </w:r>
      <w:r w:rsidR="0000090B" w:rsidRPr="0000026C">
        <w:rPr>
          <w:i w:val="0"/>
          <w:lang w:val="en-US"/>
        </w:rPr>
        <w:t>.</w:t>
      </w:r>
      <w:r w:rsidR="00E83174">
        <w:rPr>
          <w:i w:val="0"/>
          <w:lang w:val="en-US"/>
        </w:rPr>
        <w:t xml:space="preserve"> </w:t>
      </w:r>
      <w:r w:rsidR="00E83174" w:rsidRPr="00E83174">
        <w:rPr>
          <w:i w:val="0"/>
          <w:lang w:val="en-US"/>
        </w:rPr>
        <w:t>According to Abdullah et al. (2020), they determined that there was reduction in PM2.5 levels in Malaysia during the period between March 18 to April 14, 2020. Before immobilization, PM2.5 was between 42.5 and 69.2 μg/m</w:t>
      </w:r>
      <w:r w:rsidR="00E83174" w:rsidRPr="00A92C2C">
        <w:rPr>
          <w:i w:val="0"/>
          <w:vertAlign w:val="superscript"/>
          <w:lang w:val="en-US"/>
        </w:rPr>
        <w:t>3</w:t>
      </w:r>
      <w:r w:rsidR="00E83174" w:rsidRPr="00E83174">
        <w:rPr>
          <w:i w:val="0"/>
          <w:lang w:val="en-US"/>
        </w:rPr>
        <w:t>, and during quarantine it reached maximum values of 25 μg/m</w:t>
      </w:r>
      <w:r w:rsidR="00E83174" w:rsidRPr="00A92C2C">
        <w:rPr>
          <w:i w:val="0"/>
          <w:vertAlign w:val="superscript"/>
          <w:lang w:val="en-US"/>
        </w:rPr>
        <w:t>3</w:t>
      </w:r>
      <w:r w:rsidR="00E83174" w:rsidRPr="00E83174">
        <w:rPr>
          <w:i w:val="0"/>
          <w:lang w:val="en-US"/>
        </w:rPr>
        <w:t>, reducing its emission. These results were the product of the MCO (Movement Control Order), the institution in charge of vehicle restriction and social confinement. The MCO generated the suspension of the operation of industries, fewer motor vehicles on the road and the reduction of air pollutants in high pollution zones in Malaysia. In Peru, these measures can also be implemented to comply with the parameters established by INCA and ensure people's health.</w:t>
      </w:r>
    </w:p>
    <w:p w14:paraId="6AB10D43" w14:textId="160C5A5C" w:rsidR="00E83174" w:rsidRDefault="00D942B6" w:rsidP="00CE190C">
      <w:pPr>
        <w:pStyle w:val="CETTabletitle"/>
        <w:spacing w:before="0" w:after="0"/>
        <w:jc w:val="both"/>
        <w:rPr>
          <w:i w:val="0"/>
          <w:lang w:val="en-US"/>
        </w:rPr>
      </w:pPr>
      <w:r w:rsidRPr="00D942B6">
        <w:rPr>
          <w:i w:val="0"/>
          <w:lang w:val="en-US"/>
        </w:rPr>
        <w:t>The pollutant SO</w:t>
      </w:r>
      <w:r w:rsidRPr="00D942B6">
        <w:rPr>
          <w:i w:val="0"/>
          <w:vertAlign w:val="subscript"/>
          <w:lang w:val="en-US"/>
        </w:rPr>
        <w:t>2</w:t>
      </w:r>
      <w:r w:rsidRPr="00D942B6">
        <w:rPr>
          <w:i w:val="0"/>
          <w:lang w:val="en-US"/>
        </w:rPr>
        <w:t xml:space="preserve"> showed acceptable values according to the ECA in March, April and May, with daily maximum values of 19.8, 12.77 and 11.26 μg/m</w:t>
      </w:r>
      <w:r w:rsidRPr="00D942B6">
        <w:rPr>
          <w:i w:val="0"/>
          <w:vertAlign w:val="superscript"/>
          <w:lang w:val="en-US"/>
        </w:rPr>
        <w:t>3</w:t>
      </w:r>
      <w:r w:rsidRPr="00D942B6">
        <w:rPr>
          <w:i w:val="0"/>
          <w:lang w:val="en-US"/>
        </w:rPr>
        <w:t>, respectively.</w:t>
      </w:r>
      <w:r>
        <w:rPr>
          <w:i w:val="0"/>
          <w:lang w:val="en-US"/>
        </w:rPr>
        <w:t xml:space="preserve"> </w:t>
      </w:r>
      <w:r w:rsidR="00CE190C" w:rsidRPr="00CE190C">
        <w:rPr>
          <w:i w:val="0"/>
          <w:lang w:val="en-US"/>
        </w:rPr>
        <w:t>Likewise, for INCA, these months had moderate air quality. In the research of Tobías et al. (2020), they recorded a decrease of SO</w:t>
      </w:r>
      <w:r w:rsidR="00CE190C" w:rsidRPr="00A92C2C">
        <w:rPr>
          <w:i w:val="0"/>
          <w:vertAlign w:val="subscript"/>
          <w:lang w:val="en-US"/>
        </w:rPr>
        <w:t>2</w:t>
      </w:r>
      <w:r w:rsidR="00CE190C" w:rsidRPr="00CE190C">
        <w:rPr>
          <w:i w:val="0"/>
          <w:lang w:val="en-US"/>
        </w:rPr>
        <w:t xml:space="preserve"> gas in Barcelona - Spain, with values around 18.4 μg/m</w:t>
      </w:r>
      <w:r w:rsidR="00CE190C" w:rsidRPr="00A92C2C">
        <w:rPr>
          <w:i w:val="0"/>
          <w:vertAlign w:val="superscript"/>
          <w:lang w:val="en-US"/>
        </w:rPr>
        <w:t>3</w:t>
      </w:r>
      <w:r w:rsidR="00CE190C" w:rsidRPr="00CE190C">
        <w:rPr>
          <w:i w:val="0"/>
          <w:lang w:val="en-US"/>
        </w:rPr>
        <w:t xml:space="preserve"> during social confinement.</w:t>
      </w:r>
    </w:p>
    <w:p w14:paraId="25D933A3" w14:textId="72B1A2CC" w:rsidR="00CE190C" w:rsidRPr="00CE190C" w:rsidRDefault="00D42761" w:rsidP="00CE190C">
      <w:pPr>
        <w:pStyle w:val="CETTabletitle"/>
        <w:spacing w:before="0" w:after="0"/>
        <w:jc w:val="both"/>
        <w:rPr>
          <w:i w:val="0"/>
          <w:lang w:val="en-US"/>
        </w:rPr>
      </w:pPr>
      <w:r w:rsidRPr="00D42761">
        <w:rPr>
          <w:i w:val="0"/>
          <w:lang w:val="en-US"/>
        </w:rPr>
        <w:t>On the other hand, O</w:t>
      </w:r>
      <w:r w:rsidRPr="00A92C2C">
        <w:rPr>
          <w:i w:val="0"/>
          <w:vertAlign w:val="subscript"/>
          <w:lang w:val="en-US"/>
        </w:rPr>
        <w:t>3</w:t>
      </w:r>
      <w:r w:rsidRPr="00D42761">
        <w:rPr>
          <w:i w:val="0"/>
          <w:lang w:val="en-US"/>
        </w:rPr>
        <w:t xml:space="preserve"> gas did not exceed the ECA in May, with a maximum value of 17.35 μg/m</w:t>
      </w:r>
      <w:r w:rsidRPr="00A92C2C">
        <w:rPr>
          <w:i w:val="0"/>
          <w:vertAlign w:val="superscript"/>
          <w:lang w:val="en-US"/>
        </w:rPr>
        <w:t>3</w:t>
      </w:r>
      <w:r w:rsidRPr="00D42761">
        <w:rPr>
          <w:i w:val="0"/>
          <w:lang w:val="en-US"/>
        </w:rPr>
        <w:t>. Likewise, according to INCA, the district of San Juan de Lurigancho has good air quality. Sicard et al. (2020) also evaluated O</w:t>
      </w:r>
      <w:r w:rsidRPr="00A92C2C">
        <w:rPr>
          <w:i w:val="0"/>
          <w:vertAlign w:val="subscript"/>
          <w:lang w:val="en-US"/>
        </w:rPr>
        <w:t>3</w:t>
      </w:r>
      <w:r w:rsidRPr="00D42761">
        <w:rPr>
          <w:i w:val="0"/>
          <w:lang w:val="en-US"/>
        </w:rPr>
        <w:t xml:space="preserve"> gas in the cities of Turin and Wuhan in the period between January 1 to December 21, 2019, obtaining values of 90 μg/m</w:t>
      </w:r>
      <w:r w:rsidRPr="00A92C2C">
        <w:rPr>
          <w:i w:val="0"/>
          <w:vertAlign w:val="superscript"/>
          <w:lang w:val="en-US"/>
        </w:rPr>
        <w:t>3</w:t>
      </w:r>
      <w:r w:rsidRPr="00D42761">
        <w:rPr>
          <w:i w:val="0"/>
          <w:lang w:val="en-US"/>
        </w:rPr>
        <w:t>, which do not exceed air quality standards.</w:t>
      </w:r>
    </w:p>
    <w:p w14:paraId="71310C3C" w14:textId="4CAF08B4" w:rsidR="008B156C" w:rsidRDefault="008B156C" w:rsidP="00C14646">
      <w:pPr>
        <w:pStyle w:val="CETTabletitle"/>
        <w:rPr>
          <w:lang w:val="en-US"/>
        </w:rPr>
      </w:pPr>
      <w:r w:rsidRPr="001B26CB">
        <w:rPr>
          <w:lang w:val="en-US"/>
        </w:rPr>
        <w:t>T</w:t>
      </w:r>
      <w:r w:rsidR="001B26CB">
        <w:rPr>
          <w:lang w:val="en-US"/>
        </w:rPr>
        <w:t>able 2</w:t>
      </w:r>
      <w:r w:rsidRPr="001B26CB">
        <w:rPr>
          <w:lang w:val="en-US"/>
        </w:rPr>
        <w:t xml:space="preserve">: </w:t>
      </w:r>
      <w:r w:rsidR="001B26CB" w:rsidRPr="00C25305">
        <w:rPr>
          <w:lang w:val="en-US"/>
        </w:rPr>
        <w:t>Variation of PM2.5, SO</w:t>
      </w:r>
      <w:r w:rsidR="001B26CB" w:rsidRPr="00A92C2C">
        <w:rPr>
          <w:vertAlign w:val="subscript"/>
          <w:lang w:val="en-US"/>
        </w:rPr>
        <w:t>2</w:t>
      </w:r>
      <w:r w:rsidR="001B26CB" w:rsidRPr="00C25305">
        <w:rPr>
          <w:lang w:val="en-US"/>
        </w:rPr>
        <w:t xml:space="preserve"> and </w:t>
      </w:r>
      <w:r w:rsidR="001B26CB">
        <w:rPr>
          <w:lang w:val="en-US"/>
        </w:rPr>
        <w:t>O</w:t>
      </w:r>
      <w:r w:rsidR="001B26CB" w:rsidRPr="00A92C2C">
        <w:rPr>
          <w:vertAlign w:val="subscript"/>
          <w:lang w:val="en-US"/>
        </w:rPr>
        <w:t>3</w:t>
      </w:r>
      <w:r w:rsidR="001B26CB">
        <w:rPr>
          <w:lang w:val="en-US"/>
        </w:rPr>
        <w:t xml:space="preserve"> concentrations (µg/m</w:t>
      </w:r>
      <w:r w:rsidR="001B26CB" w:rsidRPr="00A92C2C">
        <w:rPr>
          <w:vertAlign w:val="superscript"/>
          <w:lang w:val="en-US"/>
        </w:rPr>
        <w:t>3</w:t>
      </w:r>
      <w:r w:rsidR="001B26CB">
        <w:rPr>
          <w:lang w:val="en-US"/>
        </w:rPr>
        <w:t>) during</w:t>
      </w:r>
      <w:r w:rsidR="001B26CB" w:rsidRPr="00C25305">
        <w:rPr>
          <w:lang w:val="en-US"/>
        </w:rPr>
        <w:t xml:space="preserve"> social confinement</w:t>
      </w:r>
    </w:p>
    <w:tbl>
      <w:tblPr>
        <w:tblW w:w="8790" w:type="dxa"/>
        <w:jc w:val="center"/>
        <w:tblBorders>
          <w:top w:val="nil"/>
          <w:left w:val="nil"/>
          <w:bottom w:val="nil"/>
          <w:right w:val="nil"/>
          <w:insideH w:val="nil"/>
          <w:insideV w:val="nil"/>
        </w:tblBorders>
        <w:tblLayout w:type="fixed"/>
        <w:tblLook w:val="0600" w:firstRow="0" w:lastRow="0" w:firstColumn="0" w:lastColumn="0" w:noHBand="1" w:noVBand="1"/>
      </w:tblPr>
      <w:tblGrid>
        <w:gridCol w:w="1305"/>
        <w:gridCol w:w="630"/>
        <w:gridCol w:w="1185"/>
        <w:gridCol w:w="1185"/>
        <w:gridCol w:w="1185"/>
        <w:gridCol w:w="1185"/>
        <w:gridCol w:w="1065"/>
        <w:gridCol w:w="1050"/>
      </w:tblGrid>
      <w:tr w:rsidR="00A324A3" w14:paraId="1A6BE950" w14:textId="77777777" w:rsidTr="00450462">
        <w:trPr>
          <w:trHeight w:val="244"/>
          <w:jc w:val="center"/>
        </w:trPr>
        <w:tc>
          <w:tcPr>
            <w:tcW w:w="130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4A6DBE80" w14:textId="77777777" w:rsidR="00A324A3" w:rsidRDefault="00A324A3" w:rsidP="00450462">
            <w:pPr>
              <w:keepLines/>
              <w:spacing w:line="240" w:lineRule="auto"/>
              <w:jc w:val="center"/>
              <w:rPr>
                <w:b/>
                <w:szCs w:val="18"/>
              </w:rPr>
            </w:pPr>
            <w:r>
              <w:rPr>
                <w:b/>
                <w:szCs w:val="18"/>
              </w:rPr>
              <w:t>Pollutant</w:t>
            </w:r>
          </w:p>
        </w:tc>
        <w:tc>
          <w:tcPr>
            <w:tcW w:w="630" w:type="dxa"/>
            <w:tcBorders>
              <w:top w:val="single" w:sz="12" w:space="0" w:color="70AD47"/>
              <w:left w:val="nil"/>
              <w:bottom w:val="single" w:sz="12" w:space="0" w:color="70AD47"/>
              <w:right w:val="nil"/>
            </w:tcBorders>
            <w:tcMar>
              <w:top w:w="0" w:type="dxa"/>
              <w:left w:w="0" w:type="dxa"/>
              <w:bottom w:w="0" w:type="dxa"/>
              <w:right w:w="0" w:type="dxa"/>
            </w:tcMar>
            <w:vAlign w:val="center"/>
          </w:tcPr>
          <w:p w14:paraId="6F32038C" w14:textId="77777777" w:rsidR="00A324A3" w:rsidRDefault="00A324A3" w:rsidP="00450462">
            <w:pPr>
              <w:keepLines/>
              <w:spacing w:line="240" w:lineRule="auto"/>
              <w:jc w:val="center"/>
              <w:rPr>
                <w:b/>
                <w:szCs w:val="18"/>
              </w:rPr>
            </w:pPr>
            <w:r w:rsidRPr="00CE1618">
              <w:rPr>
                <w:b/>
                <w:szCs w:val="18"/>
              </w:rPr>
              <w:t>Month</w:t>
            </w:r>
          </w:p>
        </w:tc>
        <w:tc>
          <w:tcPr>
            <w:tcW w:w="118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6CBF03E6"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Day</w:t>
            </w:r>
          </w:p>
        </w:tc>
        <w:tc>
          <w:tcPr>
            <w:tcW w:w="118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77057A13"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2019   (µg/m</w:t>
            </w:r>
            <w:r>
              <w:rPr>
                <w:b/>
                <w:szCs w:val="18"/>
                <w:vertAlign w:val="superscript"/>
              </w:rPr>
              <w:t>3</w:t>
            </w:r>
            <w:r>
              <w:rPr>
                <w:b/>
                <w:szCs w:val="18"/>
              </w:rPr>
              <w:t>)</w:t>
            </w:r>
          </w:p>
        </w:tc>
        <w:tc>
          <w:tcPr>
            <w:tcW w:w="118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28291DEB"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Day</w:t>
            </w:r>
          </w:p>
        </w:tc>
        <w:tc>
          <w:tcPr>
            <w:tcW w:w="118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4C6D9351"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2020</w:t>
            </w:r>
          </w:p>
          <w:p w14:paraId="22B96730"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(µg/m</w:t>
            </w:r>
            <w:r>
              <w:rPr>
                <w:b/>
                <w:szCs w:val="18"/>
                <w:vertAlign w:val="superscript"/>
              </w:rPr>
              <w:t>3</w:t>
            </w:r>
            <w:r>
              <w:rPr>
                <w:b/>
                <w:szCs w:val="18"/>
              </w:rPr>
              <w:t>)</w:t>
            </w:r>
          </w:p>
        </w:tc>
        <w:tc>
          <w:tcPr>
            <w:tcW w:w="1065" w:type="dxa"/>
            <w:tcBorders>
              <w:top w:val="single" w:sz="12" w:space="0" w:color="70AD47"/>
              <w:left w:val="nil"/>
              <w:bottom w:val="single" w:sz="12" w:space="0" w:color="70AD47"/>
              <w:right w:val="nil"/>
            </w:tcBorders>
            <w:tcMar>
              <w:top w:w="0" w:type="dxa"/>
              <w:left w:w="0" w:type="dxa"/>
              <w:bottom w:w="0" w:type="dxa"/>
              <w:right w:w="0" w:type="dxa"/>
            </w:tcMar>
            <w:vAlign w:val="center"/>
          </w:tcPr>
          <w:p w14:paraId="3DB87155"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ECA</w:t>
            </w:r>
          </w:p>
          <w:p w14:paraId="67E09C00"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(µg/m</w:t>
            </w:r>
            <w:r>
              <w:rPr>
                <w:b/>
                <w:szCs w:val="18"/>
                <w:vertAlign w:val="superscript"/>
              </w:rPr>
              <w:t>3</w:t>
            </w:r>
            <w:r>
              <w:rPr>
                <w:b/>
                <w:szCs w:val="18"/>
              </w:rPr>
              <w:t>)</w:t>
            </w:r>
          </w:p>
        </w:tc>
        <w:tc>
          <w:tcPr>
            <w:tcW w:w="1050" w:type="dxa"/>
            <w:tcBorders>
              <w:top w:val="single" w:sz="12" w:space="0" w:color="70AD47"/>
              <w:left w:val="nil"/>
              <w:bottom w:val="single" w:sz="12" w:space="0" w:color="70AD47"/>
              <w:right w:val="nil"/>
            </w:tcBorders>
            <w:tcMar>
              <w:top w:w="0" w:type="dxa"/>
              <w:left w:w="0" w:type="dxa"/>
              <w:bottom w:w="0" w:type="dxa"/>
              <w:right w:w="0" w:type="dxa"/>
            </w:tcMar>
            <w:vAlign w:val="center"/>
          </w:tcPr>
          <w:p w14:paraId="2ECD88D6"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INCA</w:t>
            </w:r>
          </w:p>
          <w:p w14:paraId="1E07559B"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(µg/m</w:t>
            </w:r>
            <w:r>
              <w:rPr>
                <w:b/>
                <w:szCs w:val="18"/>
                <w:vertAlign w:val="superscript"/>
              </w:rPr>
              <w:t>3</w:t>
            </w:r>
            <w:r>
              <w:rPr>
                <w:b/>
                <w:szCs w:val="18"/>
              </w:rPr>
              <w:t>)</w:t>
            </w:r>
          </w:p>
        </w:tc>
      </w:tr>
      <w:tr w:rsidR="00A324A3" w14:paraId="57B8A3D0" w14:textId="77777777" w:rsidTr="00450462">
        <w:trPr>
          <w:trHeight w:val="244"/>
          <w:jc w:val="center"/>
        </w:trPr>
        <w:tc>
          <w:tcPr>
            <w:tcW w:w="1305" w:type="dxa"/>
            <w:vMerge w:val="restart"/>
            <w:tcBorders>
              <w:top w:val="single" w:sz="12" w:space="0" w:color="70AD47"/>
              <w:left w:val="nil"/>
              <w:bottom w:val="single" w:sz="4" w:space="0" w:color="70AD47"/>
              <w:right w:val="nil"/>
            </w:tcBorders>
            <w:tcMar>
              <w:top w:w="0" w:type="dxa"/>
              <w:left w:w="0" w:type="dxa"/>
              <w:bottom w:w="0" w:type="dxa"/>
              <w:right w:w="0" w:type="dxa"/>
            </w:tcMar>
            <w:vAlign w:val="center"/>
          </w:tcPr>
          <w:p w14:paraId="38E258E9"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PM</w:t>
            </w:r>
            <w:r>
              <w:rPr>
                <w:b/>
                <w:szCs w:val="18"/>
                <w:vertAlign w:val="subscript"/>
              </w:rPr>
              <w:t>2.5</w:t>
            </w:r>
          </w:p>
        </w:tc>
        <w:tc>
          <w:tcPr>
            <w:tcW w:w="630" w:type="dxa"/>
            <w:tcBorders>
              <w:top w:val="single" w:sz="12" w:space="0" w:color="70AD47"/>
              <w:left w:val="nil"/>
              <w:bottom w:val="nil"/>
              <w:right w:val="nil"/>
            </w:tcBorders>
            <w:tcMar>
              <w:top w:w="0" w:type="dxa"/>
              <w:left w:w="0" w:type="dxa"/>
              <w:bottom w:w="0" w:type="dxa"/>
              <w:right w:w="0" w:type="dxa"/>
            </w:tcMar>
            <w:vAlign w:val="center"/>
          </w:tcPr>
          <w:p w14:paraId="5E79BAFC" w14:textId="77777777" w:rsidR="00A324A3" w:rsidRDefault="00A324A3" w:rsidP="00450462">
            <w:pPr>
              <w:keepLines/>
              <w:pBdr>
                <w:top w:val="nil"/>
                <w:left w:val="nil"/>
                <w:bottom w:val="nil"/>
                <w:right w:val="nil"/>
                <w:between w:val="nil"/>
              </w:pBdr>
              <w:spacing w:line="240" w:lineRule="auto"/>
              <w:jc w:val="center"/>
              <w:rPr>
                <w:szCs w:val="18"/>
              </w:rPr>
            </w:pPr>
            <w:r>
              <w:rPr>
                <w:szCs w:val="18"/>
              </w:rPr>
              <w:t>March</w:t>
            </w:r>
          </w:p>
        </w:tc>
        <w:tc>
          <w:tcPr>
            <w:tcW w:w="1185" w:type="dxa"/>
            <w:tcBorders>
              <w:top w:val="single" w:sz="12" w:space="0" w:color="70AD47"/>
              <w:left w:val="nil"/>
              <w:bottom w:val="nil"/>
              <w:right w:val="nil"/>
            </w:tcBorders>
            <w:tcMar>
              <w:top w:w="0" w:type="dxa"/>
              <w:left w:w="0" w:type="dxa"/>
              <w:bottom w:w="0" w:type="dxa"/>
              <w:right w:w="0" w:type="dxa"/>
            </w:tcMar>
            <w:vAlign w:val="center"/>
          </w:tcPr>
          <w:p w14:paraId="7F07354D" w14:textId="77777777" w:rsidR="00A324A3" w:rsidRDefault="00A324A3" w:rsidP="00450462">
            <w:pPr>
              <w:keepLines/>
              <w:pBdr>
                <w:top w:val="nil"/>
                <w:left w:val="nil"/>
                <w:bottom w:val="nil"/>
                <w:right w:val="nil"/>
                <w:between w:val="nil"/>
              </w:pBdr>
              <w:spacing w:line="240" w:lineRule="auto"/>
              <w:jc w:val="center"/>
              <w:rPr>
                <w:szCs w:val="18"/>
              </w:rPr>
            </w:pPr>
            <w:r>
              <w:rPr>
                <w:szCs w:val="18"/>
              </w:rPr>
              <w:t>29</w:t>
            </w:r>
          </w:p>
        </w:tc>
        <w:tc>
          <w:tcPr>
            <w:tcW w:w="1185" w:type="dxa"/>
            <w:tcBorders>
              <w:top w:val="single" w:sz="12" w:space="0" w:color="70AD47"/>
              <w:left w:val="nil"/>
              <w:bottom w:val="nil"/>
              <w:right w:val="nil"/>
            </w:tcBorders>
            <w:tcMar>
              <w:top w:w="0" w:type="dxa"/>
              <w:left w:w="0" w:type="dxa"/>
              <w:bottom w:w="0" w:type="dxa"/>
              <w:right w:w="0" w:type="dxa"/>
            </w:tcMar>
            <w:vAlign w:val="center"/>
          </w:tcPr>
          <w:p w14:paraId="5294D06B" w14:textId="77777777" w:rsidR="00A324A3" w:rsidRDefault="00A324A3" w:rsidP="00450462">
            <w:pPr>
              <w:keepLines/>
              <w:pBdr>
                <w:top w:val="nil"/>
                <w:left w:val="nil"/>
                <w:bottom w:val="nil"/>
                <w:right w:val="nil"/>
                <w:between w:val="nil"/>
              </w:pBdr>
              <w:spacing w:line="240" w:lineRule="auto"/>
              <w:jc w:val="center"/>
              <w:rPr>
                <w:szCs w:val="18"/>
              </w:rPr>
            </w:pPr>
            <w:r>
              <w:rPr>
                <w:szCs w:val="18"/>
              </w:rPr>
              <w:t>30.69</w:t>
            </w:r>
          </w:p>
        </w:tc>
        <w:tc>
          <w:tcPr>
            <w:tcW w:w="1185" w:type="dxa"/>
            <w:tcBorders>
              <w:top w:val="single" w:sz="12" w:space="0" w:color="70AD47"/>
              <w:left w:val="nil"/>
              <w:bottom w:val="nil"/>
              <w:right w:val="nil"/>
            </w:tcBorders>
            <w:tcMar>
              <w:top w:w="0" w:type="dxa"/>
              <w:left w:w="0" w:type="dxa"/>
              <w:bottom w:w="0" w:type="dxa"/>
              <w:right w:w="0" w:type="dxa"/>
            </w:tcMar>
            <w:vAlign w:val="center"/>
          </w:tcPr>
          <w:p w14:paraId="320C860B" w14:textId="77777777" w:rsidR="00A324A3" w:rsidRDefault="00A324A3" w:rsidP="00450462">
            <w:pPr>
              <w:keepLines/>
              <w:pBdr>
                <w:top w:val="nil"/>
                <w:left w:val="nil"/>
                <w:bottom w:val="nil"/>
                <w:right w:val="nil"/>
                <w:between w:val="nil"/>
              </w:pBdr>
              <w:spacing w:line="240" w:lineRule="auto"/>
              <w:jc w:val="center"/>
              <w:rPr>
                <w:szCs w:val="18"/>
              </w:rPr>
            </w:pPr>
            <w:r>
              <w:rPr>
                <w:szCs w:val="18"/>
              </w:rPr>
              <w:t>31</w:t>
            </w:r>
          </w:p>
        </w:tc>
        <w:tc>
          <w:tcPr>
            <w:tcW w:w="1185" w:type="dxa"/>
            <w:tcBorders>
              <w:top w:val="single" w:sz="12" w:space="0" w:color="70AD47"/>
              <w:left w:val="nil"/>
              <w:bottom w:val="nil"/>
              <w:right w:val="nil"/>
            </w:tcBorders>
            <w:tcMar>
              <w:top w:w="0" w:type="dxa"/>
              <w:left w:w="0" w:type="dxa"/>
              <w:bottom w:w="0" w:type="dxa"/>
              <w:right w:w="0" w:type="dxa"/>
            </w:tcMar>
            <w:vAlign w:val="center"/>
          </w:tcPr>
          <w:p w14:paraId="257F206D" w14:textId="77777777" w:rsidR="00A324A3" w:rsidRDefault="00A324A3" w:rsidP="00450462">
            <w:pPr>
              <w:keepLines/>
              <w:pBdr>
                <w:top w:val="nil"/>
                <w:left w:val="nil"/>
                <w:bottom w:val="nil"/>
                <w:right w:val="nil"/>
                <w:between w:val="nil"/>
              </w:pBdr>
              <w:spacing w:line="240" w:lineRule="auto"/>
              <w:jc w:val="center"/>
              <w:rPr>
                <w:szCs w:val="18"/>
              </w:rPr>
            </w:pPr>
            <w:r>
              <w:rPr>
                <w:szCs w:val="18"/>
              </w:rPr>
              <w:t>14.09</w:t>
            </w:r>
          </w:p>
        </w:tc>
        <w:tc>
          <w:tcPr>
            <w:tcW w:w="1065" w:type="dxa"/>
            <w:vMerge w:val="restart"/>
            <w:tcBorders>
              <w:top w:val="single" w:sz="12" w:space="0" w:color="70AD47"/>
              <w:left w:val="nil"/>
              <w:bottom w:val="single" w:sz="4" w:space="0" w:color="70AD47"/>
              <w:right w:val="nil"/>
            </w:tcBorders>
            <w:tcMar>
              <w:top w:w="0" w:type="dxa"/>
              <w:left w:w="0" w:type="dxa"/>
              <w:bottom w:w="0" w:type="dxa"/>
              <w:right w:w="0" w:type="dxa"/>
            </w:tcMar>
            <w:vAlign w:val="center"/>
          </w:tcPr>
          <w:p w14:paraId="190BB391"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50</w:t>
            </w:r>
          </w:p>
        </w:tc>
        <w:tc>
          <w:tcPr>
            <w:tcW w:w="1050" w:type="dxa"/>
            <w:vMerge w:val="restart"/>
            <w:tcBorders>
              <w:top w:val="single" w:sz="12" w:space="0" w:color="70AD47"/>
              <w:left w:val="nil"/>
              <w:bottom w:val="single" w:sz="4" w:space="0" w:color="70AD47"/>
              <w:right w:val="nil"/>
            </w:tcBorders>
            <w:tcMar>
              <w:top w:w="0" w:type="dxa"/>
              <w:left w:w="0" w:type="dxa"/>
              <w:bottom w:w="0" w:type="dxa"/>
              <w:right w:w="0" w:type="dxa"/>
            </w:tcMar>
            <w:vAlign w:val="center"/>
          </w:tcPr>
          <w:p w14:paraId="70F47D77" w14:textId="77777777" w:rsidR="00A324A3" w:rsidRDefault="00A324A3" w:rsidP="00450462">
            <w:pPr>
              <w:keepLines/>
              <w:pBdr>
                <w:top w:val="nil"/>
                <w:left w:val="nil"/>
                <w:bottom w:val="nil"/>
                <w:right w:val="nil"/>
                <w:between w:val="nil"/>
              </w:pBdr>
              <w:spacing w:line="240" w:lineRule="auto"/>
              <w:jc w:val="center"/>
              <w:rPr>
                <w:szCs w:val="18"/>
              </w:rPr>
            </w:pPr>
            <w:r>
              <w:rPr>
                <w:szCs w:val="18"/>
              </w:rPr>
              <w:t>12.6 - 25 (Moderate)</w:t>
            </w:r>
          </w:p>
          <w:p w14:paraId="6E7E3C7B" w14:textId="77777777" w:rsidR="00A324A3" w:rsidRDefault="00A324A3" w:rsidP="00450462">
            <w:pPr>
              <w:keepLines/>
              <w:pBdr>
                <w:top w:val="nil"/>
                <w:left w:val="nil"/>
                <w:bottom w:val="nil"/>
                <w:right w:val="nil"/>
                <w:between w:val="nil"/>
              </w:pBdr>
              <w:spacing w:line="240" w:lineRule="auto"/>
              <w:jc w:val="center"/>
              <w:rPr>
                <w:szCs w:val="18"/>
              </w:rPr>
            </w:pPr>
            <w:r>
              <w:rPr>
                <w:szCs w:val="18"/>
              </w:rPr>
              <w:t>25.1 - 125</w:t>
            </w:r>
          </w:p>
          <w:p w14:paraId="7BE33D6E" w14:textId="77777777" w:rsidR="00A324A3" w:rsidRDefault="00A324A3" w:rsidP="00450462">
            <w:pPr>
              <w:keepLines/>
              <w:pBdr>
                <w:top w:val="nil"/>
                <w:left w:val="nil"/>
                <w:bottom w:val="nil"/>
                <w:right w:val="nil"/>
                <w:between w:val="nil"/>
              </w:pBdr>
              <w:spacing w:line="240" w:lineRule="auto"/>
              <w:jc w:val="center"/>
              <w:rPr>
                <w:szCs w:val="18"/>
              </w:rPr>
            </w:pPr>
            <w:r>
              <w:rPr>
                <w:szCs w:val="18"/>
              </w:rPr>
              <w:t>(Poor)</w:t>
            </w:r>
          </w:p>
        </w:tc>
      </w:tr>
      <w:tr w:rsidR="00A324A3" w14:paraId="0A8E6F6D" w14:textId="77777777" w:rsidTr="00450462">
        <w:trPr>
          <w:trHeight w:val="244"/>
          <w:jc w:val="center"/>
        </w:trPr>
        <w:tc>
          <w:tcPr>
            <w:tcW w:w="1305" w:type="dxa"/>
            <w:vMerge/>
            <w:tcBorders>
              <w:bottom w:val="single" w:sz="4" w:space="0" w:color="70AD47"/>
              <w:right w:val="nil"/>
            </w:tcBorders>
            <w:shd w:val="clear" w:color="auto" w:fill="auto"/>
            <w:tcMar>
              <w:top w:w="0" w:type="dxa"/>
              <w:left w:w="0" w:type="dxa"/>
              <w:bottom w:w="0" w:type="dxa"/>
              <w:right w:w="0" w:type="dxa"/>
            </w:tcMar>
            <w:vAlign w:val="center"/>
          </w:tcPr>
          <w:p w14:paraId="61715055" w14:textId="77777777" w:rsidR="00A324A3" w:rsidRDefault="00A324A3" w:rsidP="00450462">
            <w:pPr>
              <w:widowControl w:val="0"/>
              <w:pBdr>
                <w:top w:val="nil"/>
                <w:left w:val="nil"/>
                <w:bottom w:val="nil"/>
                <w:right w:val="nil"/>
                <w:between w:val="nil"/>
              </w:pBdr>
              <w:jc w:val="center"/>
            </w:pPr>
          </w:p>
        </w:tc>
        <w:tc>
          <w:tcPr>
            <w:tcW w:w="630" w:type="dxa"/>
            <w:tcBorders>
              <w:top w:val="nil"/>
              <w:left w:val="nil"/>
              <w:bottom w:val="nil"/>
              <w:right w:val="nil"/>
            </w:tcBorders>
            <w:shd w:val="clear" w:color="auto" w:fill="auto"/>
            <w:tcMar>
              <w:top w:w="0" w:type="dxa"/>
              <w:left w:w="0" w:type="dxa"/>
              <w:bottom w:w="0" w:type="dxa"/>
              <w:right w:w="0" w:type="dxa"/>
            </w:tcMar>
            <w:vAlign w:val="center"/>
          </w:tcPr>
          <w:p w14:paraId="5323AAB0" w14:textId="77777777" w:rsidR="00A324A3" w:rsidRDefault="00A324A3" w:rsidP="00450462">
            <w:pPr>
              <w:keepLines/>
              <w:spacing w:line="240" w:lineRule="auto"/>
              <w:jc w:val="center"/>
              <w:rPr>
                <w:szCs w:val="18"/>
              </w:rPr>
            </w:pPr>
            <w:r>
              <w:rPr>
                <w:szCs w:val="18"/>
              </w:rPr>
              <w:t>April</w:t>
            </w:r>
          </w:p>
        </w:tc>
        <w:tc>
          <w:tcPr>
            <w:tcW w:w="1185" w:type="dxa"/>
            <w:tcBorders>
              <w:top w:val="nil"/>
              <w:left w:val="nil"/>
              <w:bottom w:val="nil"/>
              <w:right w:val="nil"/>
            </w:tcBorders>
            <w:shd w:val="clear" w:color="auto" w:fill="auto"/>
            <w:tcMar>
              <w:top w:w="0" w:type="dxa"/>
              <w:left w:w="0" w:type="dxa"/>
              <w:bottom w:w="0" w:type="dxa"/>
              <w:right w:w="0" w:type="dxa"/>
            </w:tcMar>
            <w:vAlign w:val="center"/>
          </w:tcPr>
          <w:p w14:paraId="1A580BAA" w14:textId="77777777" w:rsidR="00A324A3" w:rsidRDefault="00A324A3" w:rsidP="00450462">
            <w:pPr>
              <w:keepLines/>
              <w:spacing w:line="240" w:lineRule="auto"/>
              <w:jc w:val="center"/>
              <w:rPr>
                <w:szCs w:val="18"/>
              </w:rPr>
            </w:pPr>
            <w:r>
              <w:rPr>
                <w:szCs w:val="18"/>
              </w:rPr>
              <w:t>30</w:t>
            </w:r>
          </w:p>
        </w:tc>
        <w:tc>
          <w:tcPr>
            <w:tcW w:w="1185" w:type="dxa"/>
            <w:tcBorders>
              <w:top w:val="nil"/>
              <w:left w:val="nil"/>
              <w:bottom w:val="nil"/>
              <w:right w:val="nil"/>
            </w:tcBorders>
            <w:shd w:val="clear" w:color="auto" w:fill="auto"/>
            <w:tcMar>
              <w:top w:w="0" w:type="dxa"/>
              <w:left w:w="0" w:type="dxa"/>
              <w:bottom w:w="0" w:type="dxa"/>
              <w:right w:w="0" w:type="dxa"/>
            </w:tcMar>
            <w:vAlign w:val="center"/>
          </w:tcPr>
          <w:p w14:paraId="3EC4378C" w14:textId="77777777" w:rsidR="00A324A3" w:rsidRDefault="00A324A3" w:rsidP="00450462">
            <w:pPr>
              <w:keepLines/>
              <w:pBdr>
                <w:top w:val="nil"/>
                <w:left w:val="nil"/>
                <w:bottom w:val="nil"/>
                <w:right w:val="nil"/>
                <w:between w:val="nil"/>
              </w:pBdr>
              <w:spacing w:line="240" w:lineRule="auto"/>
              <w:jc w:val="center"/>
              <w:rPr>
                <w:szCs w:val="18"/>
              </w:rPr>
            </w:pPr>
            <w:r>
              <w:rPr>
                <w:szCs w:val="18"/>
              </w:rPr>
              <w:t>46.2</w:t>
            </w:r>
          </w:p>
        </w:tc>
        <w:tc>
          <w:tcPr>
            <w:tcW w:w="1185" w:type="dxa"/>
            <w:tcBorders>
              <w:top w:val="nil"/>
              <w:left w:val="nil"/>
              <w:bottom w:val="nil"/>
              <w:right w:val="nil"/>
            </w:tcBorders>
            <w:shd w:val="clear" w:color="auto" w:fill="auto"/>
            <w:tcMar>
              <w:top w:w="0" w:type="dxa"/>
              <w:left w:w="0" w:type="dxa"/>
              <w:bottom w:w="0" w:type="dxa"/>
              <w:right w:w="0" w:type="dxa"/>
            </w:tcMar>
            <w:vAlign w:val="center"/>
          </w:tcPr>
          <w:p w14:paraId="0893D7F2" w14:textId="77777777" w:rsidR="00A324A3" w:rsidRDefault="00A324A3" w:rsidP="00450462">
            <w:pPr>
              <w:keepLines/>
              <w:pBdr>
                <w:top w:val="nil"/>
                <w:left w:val="nil"/>
                <w:bottom w:val="nil"/>
                <w:right w:val="nil"/>
                <w:between w:val="nil"/>
              </w:pBdr>
              <w:spacing w:line="240" w:lineRule="auto"/>
              <w:jc w:val="center"/>
              <w:rPr>
                <w:szCs w:val="18"/>
              </w:rPr>
            </w:pPr>
            <w:r>
              <w:rPr>
                <w:szCs w:val="18"/>
              </w:rPr>
              <w:t>30</w:t>
            </w:r>
          </w:p>
        </w:tc>
        <w:tc>
          <w:tcPr>
            <w:tcW w:w="1185" w:type="dxa"/>
            <w:tcBorders>
              <w:top w:val="nil"/>
              <w:left w:val="nil"/>
              <w:bottom w:val="nil"/>
              <w:right w:val="nil"/>
            </w:tcBorders>
            <w:shd w:val="clear" w:color="auto" w:fill="auto"/>
            <w:tcMar>
              <w:top w:w="0" w:type="dxa"/>
              <w:left w:w="0" w:type="dxa"/>
              <w:bottom w:w="0" w:type="dxa"/>
              <w:right w:w="0" w:type="dxa"/>
            </w:tcMar>
            <w:vAlign w:val="center"/>
          </w:tcPr>
          <w:p w14:paraId="2AD0097A" w14:textId="77777777" w:rsidR="00A324A3" w:rsidRDefault="00A324A3" w:rsidP="00450462">
            <w:pPr>
              <w:keepLines/>
              <w:pBdr>
                <w:top w:val="nil"/>
                <w:left w:val="nil"/>
                <w:bottom w:val="nil"/>
                <w:right w:val="nil"/>
                <w:between w:val="nil"/>
              </w:pBdr>
              <w:spacing w:line="240" w:lineRule="auto"/>
              <w:jc w:val="center"/>
              <w:rPr>
                <w:szCs w:val="18"/>
              </w:rPr>
            </w:pPr>
            <w:r>
              <w:rPr>
                <w:szCs w:val="18"/>
              </w:rPr>
              <w:t>17.21</w:t>
            </w:r>
          </w:p>
        </w:tc>
        <w:tc>
          <w:tcPr>
            <w:tcW w:w="1065" w:type="dxa"/>
            <w:vMerge/>
            <w:tcBorders>
              <w:bottom w:val="single" w:sz="4" w:space="0" w:color="70AD47"/>
              <w:right w:val="nil"/>
            </w:tcBorders>
            <w:shd w:val="clear" w:color="auto" w:fill="auto"/>
            <w:tcMar>
              <w:top w:w="0" w:type="dxa"/>
              <w:left w:w="0" w:type="dxa"/>
              <w:bottom w:w="0" w:type="dxa"/>
              <w:right w:w="0" w:type="dxa"/>
            </w:tcMar>
            <w:vAlign w:val="center"/>
          </w:tcPr>
          <w:p w14:paraId="0A084765" w14:textId="77777777" w:rsidR="00A324A3" w:rsidRDefault="00A324A3" w:rsidP="00450462">
            <w:pPr>
              <w:widowControl w:val="0"/>
              <w:pBdr>
                <w:top w:val="nil"/>
                <w:left w:val="nil"/>
                <w:bottom w:val="nil"/>
                <w:right w:val="nil"/>
                <w:between w:val="nil"/>
              </w:pBdr>
              <w:jc w:val="center"/>
            </w:pPr>
          </w:p>
        </w:tc>
        <w:tc>
          <w:tcPr>
            <w:tcW w:w="1050" w:type="dxa"/>
            <w:vMerge/>
            <w:tcBorders>
              <w:bottom w:val="single" w:sz="4" w:space="0" w:color="70AD47"/>
              <w:right w:val="nil"/>
            </w:tcBorders>
            <w:shd w:val="clear" w:color="auto" w:fill="auto"/>
            <w:tcMar>
              <w:top w:w="0" w:type="dxa"/>
              <w:left w:w="0" w:type="dxa"/>
              <w:bottom w:w="0" w:type="dxa"/>
              <w:right w:w="0" w:type="dxa"/>
            </w:tcMar>
            <w:vAlign w:val="center"/>
          </w:tcPr>
          <w:p w14:paraId="7AA79866" w14:textId="77777777" w:rsidR="00A324A3" w:rsidRDefault="00A324A3" w:rsidP="00450462">
            <w:pPr>
              <w:widowControl w:val="0"/>
              <w:pBdr>
                <w:top w:val="nil"/>
                <w:left w:val="nil"/>
                <w:bottom w:val="nil"/>
                <w:right w:val="nil"/>
                <w:between w:val="nil"/>
              </w:pBdr>
              <w:jc w:val="center"/>
            </w:pPr>
          </w:p>
        </w:tc>
      </w:tr>
      <w:tr w:rsidR="00A324A3" w14:paraId="65CD6E8D" w14:textId="77777777" w:rsidTr="00450462">
        <w:trPr>
          <w:trHeight w:val="244"/>
          <w:jc w:val="center"/>
        </w:trPr>
        <w:tc>
          <w:tcPr>
            <w:tcW w:w="1305" w:type="dxa"/>
            <w:vMerge/>
            <w:tcBorders>
              <w:bottom w:val="single" w:sz="4" w:space="0" w:color="70AD47"/>
              <w:right w:val="nil"/>
            </w:tcBorders>
            <w:shd w:val="clear" w:color="auto" w:fill="auto"/>
            <w:tcMar>
              <w:top w:w="0" w:type="dxa"/>
              <w:left w:w="0" w:type="dxa"/>
              <w:bottom w:w="0" w:type="dxa"/>
              <w:right w:w="0" w:type="dxa"/>
            </w:tcMar>
            <w:vAlign w:val="center"/>
          </w:tcPr>
          <w:p w14:paraId="15557181" w14:textId="77777777" w:rsidR="00A324A3" w:rsidRDefault="00A324A3" w:rsidP="00450462">
            <w:pPr>
              <w:widowControl w:val="0"/>
              <w:pBdr>
                <w:top w:val="nil"/>
                <w:left w:val="nil"/>
                <w:bottom w:val="nil"/>
                <w:right w:val="nil"/>
                <w:between w:val="nil"/>
              </w:pBdr>
              <w:jc w:val="center"/>
            </w:pPr>
          </w:p>
        </w:tc>
        <w:tc>
          <w:tcPr>
            <w:tcW w:w="630"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09F03197" w14:textId="77777777" w:rsidR="00A324A3" w:rsidRDefault="00A324A3" w:rsidP="00450462">
            <w:pPr>
              <w:keepLines/>
              <w:pBdr>
                <w:top w:val="nil"/>
                <w:left w:val="nil"/>
                <w:bottom w:val="nil"/>
                <w:right w:val="nil"/>
                <w:between w:val="nil"/>
              </w:pBdr>
              <w:spacing w:line="240" w:lineRule="auto"/>
              <w:jc w:val="center"/>
              <w:rPr>
                <w:szCs w:val="18"/>
              </w:rPr>
            </w:pPr>
            <w:r>
              <w:rPr>
                <w:szCs w:val="18"/>
              </w:rPr>
              <w:t>May</w:t>
            </w:r>
          </w:p>
        </w:tc>
        <w:tc>
          <w:tcPr>
            <w:tcW w:w="1185"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5EAB2B85" w14:textId="77777777" w:rsidR="00A324A3" w:rsidRDefault="00A324A3" w:rsidP="00450462">
            <w:pPr>
              <w:keepLines/>
              <w:pBdr>
                <w:top w:val="nil"/>
                <w:left w:val="nil"/>
                <w:bottom w:val="nil"/>
                <w:right w:val="nil"/>
                <w:between w:val="nil"/>
              </w:pBdr>
              <w:spacing w:line="240" w:lineRule="auto"/>
              <w:jc w:val="center"/>
              <w:rPr>
                <w:szCs w:val="18"/>
              </w:rPr>
            </w:pPr>
            <w:r>
              <w:rPr>
                <w:szCs w:val="18"/>
              </w:rPr>
              <w:t>30</w:t>
            </w:r>
          </w:p>
        </w:tc>
        <w:tc>
          <w:tcPr>
            <w:tcW w:w="1185"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67B179F6" w14:textId="77777777" w:rsidR="00A324A3" w:rsidRDefault="00A324A3" w:rsidP="00450462">
            <w:pPr>
              <w:keepLines/>
              <w:pBdr>
                <w:top w:val="nil"/>
                <w:left w:val="nil"/>
                <w:bottom w:val="nil"/>
                <w:right w:val="nil"/>
                <w:between w:val="nil"/>
              </w:pBdr>
              <w:spacing w:line="240" w:lineRule="auto"/>
              <w:jc w:val="center"/>
              <w:rPr>
                <w:szCs w:val="18"/>
              </w:rPr>
            </w:pPr>
            <w:r>
              <w:rPr>
                <w:szCs w:val="18"/>
              </w:rPr>
              <w:t>55.8</w:t>
            </w:r>
          </w:p>
        </w:tc>
        <w:tc>
          <w:tcPr>
            <w:tcW w:w="1185"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1EA0BABF" w14:textId="77777777" w:rsidR="00A324A3" w:rsidRDefault="00A324A3" w:rsidP="00450462">
            <w:pPr>
              <w:keepLines/>
              <w:pBdr>
                <w:top w:val="nil"/>
                <w:left w:val="nil"/>
                <w:bottom w:val="nil"/>
                <w:right w:val="nil"/>
                <w:between w:val="nil"/>
              </w:pBdr>
              <w:spacing w:line="240" w:lineRule="auto"/>
              <w:jc w:val="center"/>
              <w:rPr>
                <w:szCs w:val="18"/>
              </w:rPr>
            </w:pPr>
            <w:r>
              <w:rPr>
                <w:szCs w:val="18"/>
              </w:rPr>
              <w:t>24</w:t>
            </w:r>
          </w:p>
        </w:tc>
        <w:tc>
          <w:tcPr>
            <w:tcW w:w="1185"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1728E5D7" w14:textId="77777777" w:rsidR="00A324A3" w:rsidRDefault="00A324A3" w:rsidP="00450462">
            <w:pPr>
              <w:keepLines/>
              <w:pBdr>
                <w:top w:val="nil"/>
                <w:left w:val="nil"/>
                <w:bottom w:val="nil"/>
                <w:right w:val="nil"/>
                <w:between w:val="nil"/>
              </w:pBdr>
              <w:spacing w:line="240" w:lineRule="auto"/>
              <w:jc w:val="center"/>
              <w:rPr>
                <w:szCs w:val="18"/>
              </w:rPr>
            </w:pPr>
            <w:r>
              <w:rPr>
                <w:szCs w:val="18"/>
              </w:rPr>
              <w:t>30.89</w:t>
            </w:r>
          </w:p>
        </w:tc>
        <w:tc>
          <w:tcPr>
            <w:tcW w:w="1065" w:type="dxa"/>
            <w:vMerge/>
            <w:tcBorders>
              <w:bottom w:val="single" w:sz="4" w:space="0" w:color="70AD47"/>
              <w:right w:val="nil"/>
            </w:tcBorders>
            <w:shd w:val="clear" w:color="auto" w:fill="auto"/>
            <w:tcMar>
              <w:top w:w="0" w:type="dxa"/>
              <w:left w:w="0" w:type="dxa"/>
              <w:bottom w:w="0" w:type="dxa"/>
              <w:right w:w="0" w:type="dxa"/>
            </w:tcMar>
            <w:vAlign w:val="center"/>
          </w:tcPr>
          <w:p w14:paraId="17062247" w14:textId="77777777" w:rsidR="00A324A3" w:rsidRDefault="00A324A3" w:rsidP="00450462">
            <w:pPr>
              <w:widowControl w:val="0"/>
              <w:pBdr>
                <w:top w:val="nil"/>
                <w:left w:val="nil"/>
                <w:bottom w:val="nil"/>
                <w:right w:val="nil"/>
                <w:between w:val="nil"/>
              </w:pBdr>
              <w:jc w:val="center"/>
            </w:pPr>
          </w:p>
        </w:tc>
        <w:tc>
          <w:tcPr>
            <w:tcW w:w="1050" w:type="dxa"/>
            <w:vMerge/>
            <w:tcBorders>
              <w:bottom w:val="single" w:sz="4" w:space="0" w:color="70AD47"/>
              <w:right w:val="nil"/>
            </w:tcBorders>
            <w:shd w:val="clear" w:color="auto" w:fill="auto"/>
            <w:tcMar>
              <w:top w:w="0" w:type="dxa"/>
              <w:left w:w="0" w:type="dxa"/>
              <w:bottom w:w="0" w:type="dxa"/>
              <w:right w:w="0" w:type="dxa"/>
            </w:tcMar>
            <w:vAlign w:val="center"/>
          </w:tcPr>
          <w:p w14:paraId="615DC7F8" w14:textId="77777777" w:rsidR="00A324A3" w:rsidRDefault="00A324A3" w:rsidP="00450462">
            <w:pPr>
              <w:widowControl w:val="0"/>
              <w:pBdr>
                <w:top w:val="nil"/>
                <w:left w:val="nil"/>
                <w:bottom w:val="nil"/>
                <w:right w:val="nil"/>
                <w:between w:val="nil"/>
              </w:pBdr>
              <w:jc w:val="center"/>
            </w:pPr>
          </w:p>
        </w:tc>
      </w:tr>
      <w:tr w:rsidR="00A324A3" w14:paraId="0D79CC75" w14:textId="77777777" w:rsidTr="00450462">
        <w:trPr>
          <w:trHeight w:val="244"/>
          <w:jc w:val="center"/>
        </w:trPr>
        <w:tc>
          <w:tcPr>
            <w:tcW w:w="1305" w:type="dxa"/>
            <w:vMerge w:val="restart"/>
            <w:tcBorders>
              <w:top w:val="single" w:sz="4" w:space="0" w:color="70AD47"/>
              <w:left w:val="nil"/>
              <w:bottom w:val="single" w:sz="4" w:space="0" w:color="70AD47"/>
              <w:right w:val="nil"/>
            </w:tcBorders>
            <w:shd w:val="clear" w:color="auto" w:fill="auto"/>
            <w:tcMar>
              <w:top w:w="0" w:type="dxa"/>
              <w:left w:w="0" w:type="dxa"/>
              <w:bottom w:w="0" w:type="dxa"/>
              <w:right w:w="0" w:type="dxa"/>
            </w:tcMar>
            <w:vAlign w:val="center"/>
          </w:tcPr>
          <w:p w14:paraId="151701EC"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SO</w:t>
            </w:r>
            <w:r>
              <w:rPr>
                <w:b/>
                <w:szCs w:val="18"/>
                <w:vertAlign w:val="subscript"/>
              </w:rPr>
              <w:t>2</w:t>
            </w:r>
          </w:p>
        </w:tc>
        <w:tc>
          <w:tcPr>
            <w:tcW w:w="630" w:type="dxa"/>
            <w:tcBorders>
              <w:top w:val="single" w:sz="4" w:space="0" w:color="70AD47"/>
            </w:tcBorders>
            <w:shd w:val="clear" w:color="auto" w:fill="auto"/>
            <w:tcMar>
              <w:top w:w="0" w:type="dxa"/>
              <w:left w:w="0" w:type="dxa"/>
              <w:bottom w:w="0" w:type="dxa"/>
              <w:right w:w="0" w:type="dxa"/>
            </w:tcMar>
            <w:vAlign w:val="center"/>
          </w:tcPr>
          <w:p w14:paraId="2EB18763" w14:textId="77777777" w:rsidR="00A324A3" w:rsidRDefault="00A324A3" w:rsidP="00450462">
            <w:pPr>
              <w:keepLines/>
              <w:pBdr>
                <w:top w:val="nil"/>
                <w:left w:val="nil"/>
                <w:bottom w:val="nil"/>
                <w:right w:val="nil"/>
                <w:between w:val="nil"/>
              </w:pBdr>
              <w:spacing w:line="240" w:lineRule="auto"/>
              <w:jc w:val="center"/>
              <w:rPr>
                <w:szCs w:val="18"/>
              </w:rPr>
            </w:pPr>
            <w:r>
              <w:rPr>
                <w:szCs w:val="18"/>
              </w:rPr>
              <w:t>March</w:t>
            </w:r>
          </w:p>
        </w:tc>
        <w:tc>
          <w:tcPr>
            <w:tcW w:w="1185" w:type="dxa"/>
            <w:tcBorders>
              <w:top w:val="single" w:sz="4" w:space="0" w:color="70AD47"/>
            </w:tcBorders>
            <w:shd w:val="clear" w:color="auto" w:fill="auto"/>
            <w:tcMar>
              <w:top w:w="0" w:type="dxa"/>
              <w:left w:w="0" w:type="dxa"/>
              <w:bottom w:w="0" w:type="dxa"/>
              <w:right w:w="0" w:type="dxa"/>
            </w:tcMar>
            <w:vAlign w:val="center"/>
          </w:tcPr>
          <w:p w14:paraId="6BA3B3D5" w14:textId="77777777" w:rsidR="00A324A3" w:rsidRDefault="00A324A3" w:rsidP="00450462">
            <w:pPr>
              <w:keepLines/>
              <w:pBdr>
                <w:top w:val="nil"/>
                <w:left w:val="nil"/>
                <w:bottom w:val="nil"/>
                <w:right w:val="nil"/>
                <w:between w:val="nil"/>
              </w:pBdr>
              <w:spacing w:line="240" w:lineRule="auto"/>
              <w:jc w:val="center"/>
              <w:rPr>
                <w:szCs w:val="18"/>
              </w:rPr>
            </w:pPr>
            <w:r>
              <w:rPr>
                <w:szCs w:val="18"/>
              </w:rPr>
              <w:t>16</w:t>
            </w:r>
          </w:p>
        </w:tc>
        <w:tc>
          <w:tcPr>
            <w:tcW w:w="1185" w:type="dxa"/>
            <w:tcBorders>
              <w:top w:val="single" w:sz="4" w:space="0" w:color="70AD47"/>
            </w:tcBorders>
            <w:shd w:val="clear" w:color="auto" w:fill="auto"/>
            <w:tcMar>
              <w:top w:w="0" w:type="dxa"/>
              <w:left w:w="0" w:type="dxa"/>
              <w:bottom w:w="0" w:type="dxa"/>
              <w:right w:w="0" w:type="dxa"/>
            </w:tcMar>
            <w:vAlign w:val="center"/>
          </w:tcPr>
          <w:p w14:paraId="0236EE8A" w14:textId="77777777" w:rsidR="00A324A3" w:rsidRDefault="00A324A3" w:rsidP="00450462">
            <w:pPr>
              <w:keepLines/>
              <w:pBdr>
                <w:top w:val="nil"/>
                <w:left w:val="nil"/>
                <w:bottom w:val="nil"/>
                <w:right w:val="nil"/>
                <w:between w:val="nil"/>
              </w:pBdr>
              <w:spacing w:line="240" w:lineRule="auto"/>
              <w:jc w:val="center"/>
              <w:rPr>
                <w:szCs w:val="18"/>
              </w:rPr>
            </w:pPr>
            <w:r>
              <w:rPr>
                <w:szCs w:val="18"/>
              </w:rPr>
              <w:t>8.65</w:t>
            </w:r>
          </w:p>
        </w:tc>
        <w:tc>
          <w:tcPr>
            <w:tcW w:w="1185" w:type="dxa"/>
            <w:tcBorders>
              <w:top w:val="single" w:sz="4" w:space="0" w:color="70AD47"/>
            </w:tcBorders>
            <w:shd w:val="clear" w:color="auto" w:fill="auto"/>
            <w:tcMar>
              <w:top w:w="0" w:type="dxa"/>
              <w:left w:w="0" w:type="dxa"/>
              <w:bottom w:w="0" w:type="dxa"/>
              <w:right w:w="0" w:type="dxa"/>
            </w:tcMar>
            <w:vAlign w:val="center"/>
          </w:tcPr>
          <w:p w14:paraId="1069D6DD" w14:textId="77777777" w:rsidR="00A324A3" w:rsidRDefault="00A324A3" w:rsidP="00450462">
            <w:pPr>
              <w:keepLines/>
              <w:pBdr>
                <w:top w:val="nil"/>
                <w:left w:val="nil"/>
                <w:bottom w:val="nil"/>
                <w:right w:val="nil"/>
                <w:between w:val="nil"/>
              </w:pBdr>
              <w:spacing w:line="240" w:lineRule="auto"/>
              <w:jc w:val="center"/>
              <w:rPr>
                <w:szCs w:val="18"/>
              </w:rPr>
            </w:pPr>
            <w:r>
              <w:rPr>
                <w:szCs w:val="18"/>
              </w:rPr>
              <w:t>13</w:t>
            </w:r>
          </w:p>
        </w:tc>
        <w:tc>
          <w:tcPr>
            <w:tcW w:w="1185" w:type="dxa"/>
            <w:tcBorders>
              <w:top w:val="single" w:sz="4" w:space="0" w:color="70AD47"/>
            </w:tcBorders>
            <w:shd w:val="clear" w:color="auto" w:fill="auto"/>
            <w:tcMar>
              <w:top w:w="0" w:type="dxa"/>
              <w:left w:w="0" w:type="dxa"/>
              <w:bottom w:w="0" w:type="dxa"/>
              <w:right w:w="0" w:type="dxa"/>
            </w:tcMar>
            <w:vAlign w:val="center"/>
          </w:tcPr>
          <w:p w14:paraId="47648EA4" w14:textId="77777777" w:rsidR="00A324A3" w:rsidRDefault="00A324A3" w:rsidP="00450462">
            <w:pPr>
              <w:keepLines/>
              <w:pBdr>
                <w:top w:val="nil"/>
                <w:left w:val="nil"/>
                <w:bottom w:val="nil"/>
                <w:right w:val="nil"/>
                <w:between w:val="nil"/>
              </w:pBdr>
              <w:spacing w:line="240" w:lineRule="auto"/>
              <w:jc w:val="center"/>
              <w:rPr>
                <w:szCs w:val="18"/>
              </w:rPr>
            </w:pPr>
            <w:r>
              <w:rPr>
                <w:szCs w:val="18"/>
              </w:rPr>
              <w:t>19.08</w:t>
            </w:r>
          </w:p>
        </w:tc>
        <w:tc>
          <w:tcPr>
            <w:tcW w:w="1065" w:type="dxa"/>
            <w:vMerge w:val="restart"/>
            <w:tcBorders>
              <w:top w:val="single" w:sz="4" w:space="0" w:color="70AD47"/>
              <w:left w:val="nil"/>
              <w:bottom w:val="single" w:sz="4" w:space="0" w:color="70AD47"/>
              <w:right w:val="nil"/>
            </w:tcBorders>
            <w:shd w:val="clear" w:color="auto" w:fill="auto"/>
            <w:tcMar>
              <w:top w:w="0" w:type="dxa"/>
              <w:left w:w="0" w:type="dxa"/>
              <w:bottom w:w="0" w:type="dxa"/>
              <w:right w:w="0" w:type="dxa"/>
            </w:tcMar>
            <w:vAlign w:val="center"/>
          </w:tcPr>
          <w:p w14:paraId="77C0F674"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250</w:t>
            </w:r>
          </w:p>
        </w:tc>
        <w:tc>
          <w:tcPr>
            <w:tcW w:w="1050" w:type="dxa"/>
            <w:vMerge w:val="restart"/>
            <w:tcBorders>
              <w:top w:val="single" w:sz="4" w:space="0" w:color="70AD47"/>
              <w:left w:val="nil"/>
              <w:bottom w:val="single" w:sz="4" w:space="0" w:color="70AD47"/>
              <w:right w:val="nil"/>
            </w:tcBorders>
            <w:shd w:val="clear" w:color="auto" w:fill="auto"/>
            <w:tcMar>
              <w:top w:w="0" w:type="dxa"/>
              <w:left w:w="0" w:type="dxa"/>
              <w:bottom w:w="0" w:type="dxa"/>
              <w:right w:w="0" w:type="dxa"/>
            </w:tcMar>
            <w:vAlign w:val="center"/>
          </w:tcPr>
          <w:p w14:paraId="40BBA7EB" w14:textId="77777777" w:rsidR="00A324A3" w:rsidRDefault="00A324A3" w:rsidP="00450462">
            <w:pPr>
              <w:keepLines/>
              <w:pBdr>
                <w:top w:val="nil"/>
                <w:left w:val="nil"/>
                <w:bottom w:val="nil"/>
                <w:right w:val="nil"/>
                <w:between w:val="nil"/>
              </w:pBdr>
              <w:spacing w:line="240" w:lineRule="auto"/>
              <w:jc w:val="center"/>
              <w:rPr>
                <w:szCs w:val="18"/>
              </w:rPr>
            </w:pPr>
            <w:r>
              <w:rPr>
                <w:szCs w:val="18"/>
              </w:rPr>
              <w:t>11 - 20</w:t>
            </w:r>
          </w:p>
          <w:p w14:paraId="7A25ABDF" w14:textId="77777777" w:rsidR="00A324A3" w:rsidRDefault="00A324A3" w:rsidP="00450462">
            <w:pPr>
              <w:keepLines/>
              <w:pBdr>
                <w:top w:val="nil"/>
                <w:left w:val="nil"/>
                <w:bottom w:val="nil"/>
                <w:right w:val="nil"/>
                <w:between w:val="nil"/>
              </w:pBdr>
              <w:spacing w:line="240" w:lineRule="auto"/>
              <w:jc w:val="center"/>
              <w:rPr>
                <w:szCs w:val="18"/>
              </w:rPr>
            </w:pPr>
            <w:r>
              <w:rPr>
                <w:szCs w:val="18"/>
              </w:rPr>
              <w:t>(Moderate)</w:t>
            </w:r>
          </w:p>
          <w:p w14:paraId="123F917C" w14:textId="77777777" w:rsidR="00A324A3" w:rsidRDefault="00A324A3" w:rsidP="00450462">
            <w:pPr>
              <w:keepLines/>
              <w:pBdr>
                <w:top w:val="nil"/>
                <w:left w:val="nil"/>
                <w:bottom w:val="nil"/>
                <w:right w:val="nil"/>
                <w:between w:val="nil"/>
              </w:pBdr>
              <w:spacing w:line="240" w:lineRule="auto"/>
              <w:jc w:val="center"/>
              <w:rPr>
                <w:szCs w:val="18"/>
              </w:rPr>
            </w:pPr>
            <w:r>
              <w:rPr>
                <w:szCs w:val="18"/>
              </w:rPr>
              <w:t>21 - 500</w:t>
            </w:r>
          </w:p>
          <w:p w14:paraId="2BBD051C" w14:textId="77777777" w:rsidR="00A324A3" w:rsidRDefault="00A324A3" w:rsidP="00450462">
            <w:pPr>
              <w:keepLines/>
              <w:pBdr>
                <w:top w:val="nil"/>
                <w:left w:val="nil"/>
                <w:bottom w:val="nil"/>
                <w:right w:val="nil"/>
                <w:between w:val="nil"/>
              </w:pBdr>
              <w:spacing w:line="240" w:lineRule="auto"/>
              <w:jc w:val="center"/>
              <w:rPr>
                <w:szCs w:val="18"/>
              </w:rPr>
            </w:pPr>
            <w:r>
              <w:rPr>
                <w:szCs w:val="18"/>
              </w:rPr>
              <w:t>(Mala)</w:t>
            </w:r>
          </w:p>
        </w:tc>
      </w:tr>
      <w:tr w:rsidR="00A324A3" w14:paraId="157D61F3" w14:textId="77777777" w:rsidTr="00450462">
        <w:trPr>
          <w:trHeight w:val="244"/>
          <w:jc w:val="center"/>
        </w:trPr>
        <w:tc>
          <w:tcPr>
            <w:tcW w:w="1305" w:type="dxa"/>
            <w:vMerge/>
            <w:tcBorders>
              <w:bottom w:val="single" w:sz="4" w:space="0" w:color="70AD47"/>
              <w:right w:val="nil"/>
            </w:tcBorders>
            <w:shd w:val="clear" w:color="auto" w:fill="auto"/>
            <w:tcMar>
              <w:top w:w="0" w:type="dxa"/>
              <w:left w:w="0" w:type="dxa"/>
              <w:bottom w:w="0" w:type="dxa"/>
              <w:right w:w="0" w:type="dxa"/>
            </w:tcMar>
            <w:vAlign w:val="center"/>
          </w:tcPr>
          <w:p w14:paraId="14A54A58" w14:textId="77777777" w:rsidR="00A324A3" w:rsidRDefault="00A324A3" w:rsidP="00450462">
            <w:pPr>
              <w:widowControl w:val="0"/>
              <w:pBdr>
                <w:top w:val="nil"/>
                <w:left w:val="nil"/>
                <w:bottom w:val="nil"/>
                <w:right w:val="nil"/>
                <w:between w:val="nil"/>
              </w:pBdr>
              <w:jc w:val="center"/>
            </w:pPr>
          </w:p>
        </w:tc>
        <w:tc>
          <w:tcPr>
            <w:tcW w:w="630" w:type="dxa"/>
            <w:tcBorders>
              <w:top w:val="nil"/>
              <w:left w:val="nil"/>
              <w:bottom w:val="nil"/>
              <w:right w:val="nil"/>
            </w:tcBorders>
            <w:shd w:val="clear" w:color="auto" w:fill="auto"/>
            <w:tcMar>
              <w:top w:w="0" w:type="dxa"/>
              <w:left w:w="0" w:type="dxa"/>
              <w:bottom w:w="0" w:type="dxa"/>
              <w:right w:w="0" w:type="dxa"/>
            </w:tcMar>
            <w:vAlign w:val="center"/>
          </w:tcPr>
          <w:p w14:paraId="2421E165" w14:textId="77777777" w:rsidR="00A324A3" w:rsidRDefault="00A324A3" w:rsidP="00450462">
            <w:pPr>
              <w:keepLines/>
              <w:spacing w:line="240" w:lineRule="auto"/>
              <w:jc w:val="center"/>
              <w:rPr>
                <w:szCs w:val="18"/>
              </w:rPr>
            </w:pPr>
            <w:r>
              <w:rPr>
                <w:szCs w:val="18"/>
              </w:rPr>
              <w:t>April</w:t>
            </w:r>
          </w:p>
        </w:tc>
        <w:tc>
          <w:tcPr>
            <w:tcW w:w="1185" w:type="dxa"/>
            <w:shd w:val="clear" w:color="auto" w:fill="auto"/>
            <w:tcMar>
              <w:top w:w="0" w:type="dxa"/>
              <w:left w:w="0" w:type="dxa"/>
              <w:bottom w:w="0" w:type="dxa"/>
              <w:right w:w="0" w:type="dxa"/>
            </w:tcMar>
            <w:vAlign w:val="center"/>
          </w:tcPr>
          <w:p w14:paraId="42D0A7D9" w14:textId="77777777" w:rsidR="00A324A3" w:rsidRDefault="00A324A3" w:rsidP="00450462">
            <w:pPr>
              <w:keepLines/>
              <w:spacing w:line="240" w:lineRule="auto"/>
              <w:jc w:val="center"/>
              <w:rPr>
                <w:szCs w:val="18"/>
              </w:rPr>
            </w:pPr>
            <w:r>
              <w:rPr>
                <w:szCs w:val="18"/>
              </w:rPr>
              <w:t>16</w:t>
            </w:r>
          </w:p>
        </w:tc>
        <w:tc>
          <w:tcPr>
            <w:tcW w:w="1185" w:type="dxa"/>
            <w:shd w:val="clear" w:color="auto" w:fill="auto"/>
            <w:tcMar>
              <w:top w:w="0" w:type="dxa"/>
              <w:left w:w="0" w:type="dxa"/>
              <w:bottom w:w="0" w:type="dxa"/>
              <w:right w:w="0" w:type="dxa"/>
            </w:tcMar>
            <w:vAlign w:val="center"/>
          </w:tcPr>
          <w:p w14:paraId="59C40699" w14:textId="77777777" w:rsidR="00A324A3" w:rsidRDefault="00A324A3" w:rsidP="00450462">
            <w:pPr>
              <w:keepLines/>
              <w:pBdr>
                <w:top w:val="nil"/>
                <w:left w:val="nil"/>
                <w:bottom w:val="nil"/>
                <w:right w:val="nil"/>
                <w:between w:val="nil"/>
              </w:pBdr>
              <w:spacing w:line="240" w:lineRule="auto"/>
              <w:jc w:val="center"/>
              <w:rPr>
                <w:szCs w:val="18"/>
              </w:rPr>
            </w:pPr>
            <w:r>
              <w:rPr>
                <w:szCs w:val="18"/>
              </w:rPr>
              <w:t>20.92</w:t>
            </w:r>
          </w:p>
        </w:tc>
        <w:tc>
          <w:tcPr>
            <w:tcW w:w="1185" w:type="dxa"/>
            <w:shd w:val="clear" w:color="auto" w:fill="auto"/>
            <w:tcMar>
              <w:top w:w="0" w:type="dxa"/>
              <w:left w:w="0" w:type="dxa"/>
              <w:bottom w:w="0" w:type="dxa"/>
              <w:right w:w="0" w:type="dxa"/>
            </w:tcMar>
            <w:vAlign w:val="center"/>
          </w:tcPr>
          <w:p w14:paraId="503E0275" w14:textId="77777777" w:rsidR="00A324A3" w:rsidRDefault="00A324A3" w:rsidP="00450462">
            <w:pPr>
              <w:keepLines/>
              <w:pBdr>
                <w:top w:val="nil"/>
                <w:left w:val="nil"/>
                <w:bottom w:val="nil"/>
                <w:right w:val="nil"/>
                <w:between w:val="nil"/>
              </w:pBdr>
              <w:spacing w:line="240" w:lineRule="auto"/>
              <w:jc w:val="center"/>
              <w:rPr>
                <w:szCs w:val="18"/>
              </w:rPr>
            </w:pPr>
            <w:r>
              <w:rPr>
                <w:szCs w:val="18"/>
              </w:rPr>
              <w:t>29</w:t>
            </w:r>
          </w:p>
        </w:tc>
        <w:tc>
          <w:tcPr>
            <w:tcW w:w="1185" w:type="dxa"/>
            <w:shd w:val="clear" w:color="auto" w:fill="auto"/>
            <w:tcMar>
              <w:top w:w="0" w:type="dxa"/>
              <w:left w:w="0" w:type="dxa"/>
              <w:bottom w:w="0" w:type="dxa"/>
              <w:right w:w="0" w:type="dxa"/>
            </w:tcMar>
            <w:vAlign w:val="center"/>
          </w:tcPr>
          <w:p w14:paraId="75F12B67" w14:textId="77777777" w:rsidR="00A324A3" w:rsidRDefault="00A324A3" w:rsidP="00450462">
            <w:pPr>
              <w:keepLines/>
              <w:pBdr>
                <w:top w:val="nil"/>
                <w:left w:val="nil"/>
                <w:bottom w:val="nil"/>
                <w:right w:val="nil"/>
                <w:between w:val="nil"/>
              </w:pBdr>
              <w:spacing w:line="240" w:lineRule="auto"/>
              <w:jc w:val="center"/>
              <w:rPr>
                <w:szCs w:val="18"/>
              </w:rPr>
            </w:pPr>
            <w:r>
              <w:rPr>
                <w:szCs w:val="18"/>
              </w:rPr>
              <w:t>12.77</w:t>
            </w:r>
          </w:p>
        </w:tc>
        <w:tc>
          <w:tcPr>
            <w:tcW w:w="1065" w:type="dxa"/>
            <w:vMerge/>
            <w:tcBorders>
              <w:bottom w:val="single" w:sz="4" w:space="0" w:color="70AD47"/>
              <w:right w:val="nil"/>
            </w:tcBorders>
            <w:shd w:val="clear" w:color="auto" w:fill="auto"/>
            <w:tcMar>
              <w:top w:w="0" w:type="dxa"/>
              <w:left w:w="0" w:type="dxa"/>
              <w:bottom w:w="0" w:type="dxa"/>
              <w:right w:w="0" w:type="dxa"/>
            </w:tcMar>
            <w:vAlign w:val="center"/>
          </w:tcPr>
          <w:p w14:paraId="401AF3A5" w14:textId="77777777" w:rsidR="00A324A3" w:rsidRDefault="00A324A3" w:rsidP="00450462">
            <w:pPr>
              <w:widowControl w:val="0"/>
              <w:pBdr>
                <w:top w:val="nil"/>
                <w:left w:val="nil"/>
                <w:bottom w:val="nil"/>
                <w:right w:val="nil"/>
                <w:between w:val="nil"/>
              </w:pBdr>
              <w:jc w:val="center"/>
            </w:pPr>
          </w:p>
        </w:tc>
        <w:tc>
          <w:tcPr>
            <w:tcW w:w="1050" w:type="dxa"/>
            <w:vMerge/>
            <w:tcBorders>
              <w:bottom w:val="single" w:sz="4" w:space="0" w:color="70AD47"/>
              <w:right w:val="nil"/>
            </w:tcBorders>
            <w:shd w:val="clear" w:color="auto" w:fill="auto"/>
            <w:tcMar>
              <w:top w:w="0" w:type="dxa"/>
              <w:left w:w="0" w:type="dxa"/>
              <w:bottom w:w="0" w:type="dxa"/>
              <w:right w:w="0" w:type="dxa"/>
            </w:tcMar>
            <w:vAlign w:val="center"/>
          </w:tcPr>
          <w:p w14:paraId="6501EA10" w14:textId="77777777" w:rsidR="00A324A3" w:rsidRDefault="00A324A3" w:rsidP="00450462">
            <w:pPr>
              <w:widowControl w:val="0"/>
              <w:pBdr>
                <w:top w:val="nil"/>
                <w:left w:val="nil"/>
                <w:bottom w:val="nil"/>
                <w:right w:val="nil"/>
                <w:between w:val="nil"/>
              </w:pBdr>
              <w:jc w:val="center"/>
            </w:pPr>
          </w:p>
        </w:tc>
      </w:tr>
      <w:tr w:rsidR="00A324A3" w14:paraId="28BFABFE" w14:textId="77777777" w:rsidTr="00450462">
        <w:trPr>
          <w:trHeight w:val="244"/>
          <w:jc w:val="center"/>
        </w:trPr>
        <w:tc>
          <w:tcPr>
            <w:tcW w:w="1305" w:type="dxa"/>
            <w:vMerge/>
            <w:tcBorders>
              <w:bottom w:val="single" w:sz="4" w:space="0" w:color="70AD47"/>
              <w:right w:val="nil"/>
            </w:tcBorders>
            <w:shd w:val="clear" w:color="auto" w:fill="auto"/>
            <w:tcMar>
              <w:top w:w="0" w:type="dxa"/>
              <w:left w:w="0" w:type="dxa"/>
              <w:bottom w:w="0" w:type="dxa"/>
              <w:right w:w="0" w:type="dxa"/>
            </w:tcMar>
            <w:vAlign w:val="center"/>
          </w:tcPr>
          <w:p w14:paraId="06235D9B" w14:textId="77777777" w:rsidR="00A324A3" w:rsidRDefault="00A324A3" w:rsidP="00450462">
            <w:pPr>
              <w:widowControl w:val="0"/>
              <w:pBdr>
                <w:top w:val="nil"/>
                <w:left w:val="nil"/>
                <w:bottom w:val="nil"/>
                <w:right w:val="nil"/>
                <w:between w:val="nil"/>
              </w:pBdr>
              <w:jc w:val="center"/>
            </w:pPr>
          </w:p>
        </w:tc>
        <w:tc>
          <w:tcPr>
            <w:tcW w:w="630"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15CAAAE0" w14:textId="77777777" w:rsidR="00A324A3" w:rsidRDefault="00A324A3" w:rsidP="00450462">
            <w:pPr>
              <w:keepLines/>
              <w:pBdr>
                <w:top w:val="nil"/>
                <w:left w:val="nil"/>
                <w:bottom w:val="nil"/>
                <w:right w:val="nil"/>
                <w:between w:val="nil"/>
              </w:pBdr>
              <w:spacing w:line="240" w:lineRule="auto"/>
              <w:jc w:val="center"/>
              <w:rPr>
                <w:szCs w:val="18"/>
              </w:rPr>
            </w:pPr>
            <w:r>
              <w:rPr>
                <w:szCs w:val="18"/>
              </w:rPr>
              <w:t>May</w:t>
            </w:r>
          </w:p>
        </w:tc>
        <w:tc>
          <w:tcPr>
            <w:tcW w:w="1185" w:type="dxa"/>
            <w:tcBorders>
              <w:bottom w:val="single" w:sz="4" w:space="0" w:color="70AD47"/>
            </w:tcBorders>
            <w:shd w:val="clear" w:color="auto" w:fill="auto"/>
            <w:tcMar>
              <w:top w:w="0" w:type="dxa"/>
              <w:left w:w="0" w:type="dxa"/>
              <w:bottom w:w="0" w:type="dxa"/>
              <w:right w:w="0" w:type="dxa"/>
            </w:tcMar>
            <w:vAlign w:val="center"/>
          </w:tcPr>
          <w:p w14:paraId="1B0A0342" w14:textId="77777777" w:rsidR="00A324A3" w:rsidRDefault="00A324A3" w:rsidP="00450462">
            <w:pPr>
              <w:keepLines/>
              <w:pBdr>
                <w:top w:val="nil"/>
                <w:left w:val="nil"/>
                <w:bottom w:val="nil"/>
                <w:right w:val="nil"/>
                <w:between w:val="nil"/>
              </w:pBdr>
              <w:spacing w:line="240" w:lineRule="auto"/>
              <w:jc w:val="center"/>
              <w:rPr>
                <w:szCs w:val="18"/>
              </w:rPr>
            </w:pPr>
            <w:r>
              <w:rPr>
                <w:szCs w:val="18"/>
              </w:rPr>
              <w:t>6</w:t>
            </w:r>
          </w:p>
        </w:tc>
        <w:tc>
          <w:tcPr>
            <w:tcW w:w="1185" w:type="dxa"/>
            <w:tcBorders>
              <w:bottom w:val="single" w:sz="4" w:space="0" w:color="70AD47"/>
            </w:tcBorders>
            <w:shd w:val="clear" w:color="auto" w:fill="auto"/>
            <w:tcMar>
              <w:top w:w="0" w:type="dxa"/>
              <w:left w:w="0" w:type="dxa"/>
              <w:bottom w:w="0" w:type="dxa"/>
              <w:right w:w="0" w:type="dxa"/>
            </w:tcMar>
            <w:vAlign w:val="center"/>
          </w:tcPr>
          <w:p w14:paraId="6A2BB113" w14:textId="77777777" w:rsidR="00A324A3" w:rsidRDefault="00A324A3" w:rsidP="00450462">
            <w:pPr>
              <w:keepLines/>
              <w:pBdr>
                <w:top w:val="nil"/>
                <w:left w:val="nil"/>
                <w:bottom w:val="nil"/>
                <w:right w:val="nil"/>
                <w:between w:val="nil"/>
              </w:pBdr>
              <w:spacing w:line="240" w:lineRule="auto"/>
              <w:jc w:val="center"/>
              <w:rPr>
                <w:szCs w:val="18"/>
              </w:rPr>
            </w:pPr>
            <w:r>
              <w:rPr>
                <w:szCs w:val="18"/>
              </w:rPr>
              <w:t>18.8</w:t>
            </w:r>
          </w:p>
        </w:tc>
        <w:tc>
          <w:tcPr>
            <w:tcW w:w="1185" w:type="dxa"/>
            <w:tcBorders>
              <w:bottom w:val="single" w:sz="4" w:space="0" w:color="70AD47"/>
            </w:tcBorders>
            <w:shd w:val="clear" w:color="auto" w:fill="auto"/>
            <w:tcMar>
              <w:top w:w="0" w:type="dxa"/>
              <w:left w:w="0" w:type="dxa"/>
              <w:bottom w:w="0" w:type="dxa"/>
              <w:right w:w="0" w:type="dxa"/>
            </w:tcMar>
            <w:vAlign w:val="center"/>
          </w:tcPr>
          <w:p w14:paraId="2935054A" w14:textId="77777777" w:rsidR="00A324A3" w:rsidRDefault="00A324A3" w:rsidP="00450462">
            <w:pPr>
              <w:keepLines/>
              <w:pBdr>
                <w:top w:val="nil"/>
                <w:left w:val="nil"/>
                <w:bottom w:val="nil"/>
                <w:right w:val="nil"/>
                <w:between w:val="nil"/>
              </w:pBdr>
              <w:spacing w:line="240" w:lineRule="auto"/>
              <w:jc w:val="center"/>
              <w:rPr>
                <w:szCs w:val="18"/>
              </w:rPr>
            </w:pPr>
            <w:r>
              <w:rPr>
                <w:szCs w:val="18"/>
              </w:rPr>
              <w:t>1</w:t>
            </w:r>
          </w:p>
        </w:tc>
        <w:tc>
          <w:tcPr>
            <w:tcW w:w="1185" w:type="dxa"/>
            <w:tcBorders>
              <w:bottom w:val="single" w:sz="4" w:space="0" w:color="70AD47"/>
            </w:tcBorders>
            <w:shd w:val="clear" w:color="auto" w:fill="auto"/>
            <w:tcMar>
              <w:top w:w="0" w:type="dxa"/>
              <w:left w:w="0" w:type="dxa"/>
              <w:bottom w:w="0" w:type="dxa"/>
              <w:right w:w="0" w:type="dxa"/>
            </w:tcMar>
            <w:vAlign w:val="center"/>
          </w:tcPr>
          <w:p w14:paraId="7218A41F" w14:textId="77777777" w:rsidR="00A324A3" w:rsidRDefault="00A324A3" w:rsidP="00450462">
            <w:pPr>
              <w:keepLines/>
              <w:pBdr>
                <w:top w:val="nil"/>
                <w:left w:val="nil"/>
                <w:bottom w:val="nil"/>
                <w:right w:val="nil"/>
                <w:between w:val="nil"/>
              </w:pBdr>
              <w:spacing w:line="240" w:lineRule="auto"/>
              <w:jc w:val="center"/>
              <w:rPr>
                <w:szCs w:val="18"/>
              </w:rPr>
            </w:pPr>
            <w:r>
              <w:rPr>
                <w:szCs w:val="18"/>
              </w:rPr>
              <w:t>11.26</w:t>
            </w:r>
          </w:p>
        </w:tc>
        <w:tc>
          <w:tcPr>
            <w:tcW w:w="1065" w:type="dxa"/>
            <w:vMerge/>
            <w:tcBorders>
              <w:bottom w:val="single" w:sz="4" w:space="0" w:color="70AD47"/>
              <w:right w:val="nil"/>
            </w:tcBorders>
            <w:shd w:val="clear" w:color="auto" w:fill="auto"/>
            <w:tcMar>
              <w:top w:w="0" w:type="dxa"/>
              <w:left w:w="0" w:type="dxa"/>
              <w:bottom w:w="0" w:type="dxa"/>
              <w:right w:w="0" w:type="dxa"/>
            </w:tcMar>
            <w:vAlign w:val="center"/>
          </w:tcPr>
          <w:p w14:paraId="365D3AF7" w14:textId="77777777" w:rsidR="00A324A3" w:rsidRDefault="00A324A3" w:rsidP="00450462">
            <w:pPr>
              <w:widowControl w:val="0"/>
              <w:pBdr>
                <w:top w:val="nil"/>
                <w:left w:val="nil"/>
                <w:bottom w:val="nil"/>
                <w:right w:val="nil"/>
                <w:between w:val="nil"/>
              </w:pBdr>
              <w:jc w:val="center"/>
            </w:pPr>
          </w:p>
        </w:tc>
        <w:tc>
          <w:tcPr>
            <w:tcW w:w="1050" w:type="dxa"/>
            <w:vMerge/>
            <w:tcBorders>
              <w:bottom w:val="single" w:sz="4" w:space="0" w:color="70AD47"/>
              <w:right w:val="nil"/>
            </w:tcBorders>
            <w:shd w:val="clear" w:color="auto" w:fill="auto"/>
            <w:tcMar>
              <w:top w:w="0" w:type="dxa"/>
              <w:left w:w="0" w:type="dxa"/>
              <w:bottom w:w="0" w:type="dxa"/>
              <w:right w:w="0" w:type="dxa"/>
            </w:tcMar>
            <w:vAlign w:val="center"/>
          </w:tcPr>
          <w:p w14:paraId="31ABD964" w14:textId="77777777" w:rsidR="00A324A3" w:rsidRDefault="00A324A3" w:rsidP="00450462">
            <w:pPr>
              <w:widowControl w:val="0"/>
              <w:pBdr>
                <w:top w:val="nil"/>
                <w:left w:val="nil"/>
                <w:bottom w:val="nil"/>
                <w:right w:val="nil"/>
                <w:between w:val="nil"/>
              </w:pBdr>
              <w:jc w:val="center"/>
            </w:pPr>
          </w:p>
        </w:tc>
      </w:tr>
      <w:tr w:rsidR="00A324A3" w14:paraId="1077238B" w14:textId="77777777" w:rsidTr="00450462">
        <w:trPr>
          <w:trHeight w:val="244"/>
          <w:jc w:val="center"/>
        </w:trPr>
        <w:tc>
          <w:tcPr>
            <w:tcW w:w="1305" w:type="dxa"/>
            <w:tcBorders>
              <w:top w:val="single" w:sz="4" w:space="0" w:color="70AD47"/>
              <w:left w:val="nil"/>
              <w:bottom w:val="single" w:sz="12" w:space="0" w:color="70AD47"/>
              <w:right w:val="nil"/>
            </w:tcBorders>
            <w:shd w:val="clear" w:color="auto" w:fill="auto"/>
            <w:tcMar>
              <w:top w:w="0" w:type="dxa"/>
              <w:left w:w="0" w:type="dxa"/>
              <w:bottom w:w="0" w:type="dxa"/>
              <w:right w:w="0" w:type="dxa"/>
            </w:tcMar>
            <w:vAlign w:val="center"/>
          </w:tcPr>
          <w:p w14:paraId="5C3600DE" w14:textId="77777777" w:rsidR="00A324A3" w:rsidRDefault="00A324A3" w:rsidP="00450462">
            <w:pPr>
              <w:keepLines/>
              <w:pBdr>
                <w:top w:val="nil"/>
                <w:left w:val="nil"/>
                <w:bottom w:val="nil"/>
                <w:right w:val="nil"/>
                <w:between w:val="nil"/>
              </w:pBdr>
              <w:spacing w:line="240" w:lineRule="auto"/>
              <w:jc w:val="center"/>
              <w:rPr>
                <w:b/>
                <w:szCs w:val="18"/>
              </w:rPr>
            </w:pPr>
            <w:r>
              <w:rPr>
                <w:b/>
                <w:szCs w:val="18"/>
              </w:rPr>
              <w:t>O</w:t>
            </w:r>
            <w:r>
              <w:rPr>
                <w:b/>
                <w:szCs w:val="18"/>
                <w:vertAlign w:val="subscript"/>
              </w:rPr>
              <w:t>3</w:t>
            </w:r>
          </w:p>
        </w:tc>
        <w:tc>
          <w:tcPr>
            <w:tcW w:w="630" w:type="dxa"/>
            <w:tcBorders>
              <w:top w:val="single" w:sz="4" w:space="0" w:color="70AD47"/>
              <w:left w:val="nil"/>
              <w:bottom w:val="single" w:sz="12" w:space="0" w:color="70AD47"/>
              <w:right w:val="nil"/>
            </w:tcBorders>
            <w:shd w:val="clear" w:color="auto" w:fill="auto"/>
            <w:tcMar>
              <w:top w:w="0" w:type="dxa"/>
              <w:left w:w="0" w:type="dxa"/>
              <w:bottom w:w="0" w:type="dxa"/>
              <w:right w:w="0" w:type="dxa"/>
            </w:tcMar>
            <w:vAlign w:val="center"/>
          </w:tcPr>
          <w:p w14:paraId="1ECC3D6F" w14:textId="77777777" w:rsidR="00A324A3" w:rsidRDefault="00A324A3" w:rsidP="00450462">
            <w:pPr>
              <w:keepLines/>
              <w:pBdr>
                <w:top w:val="nil"/>
                <w:left w:val="nil"/>
                <w:bottom w:val="nil"/>
                <w:right w:val="nil"/>
                <w:between w:val="nil"/>
              </w:pBdr>
              <w:spacing w:line="240" w:lineRule="auto"/>
              <w:jc w:val="center"/>
              <w:rPr>
                <w:szCs w:val="18"/>
              </w:rPr>
            </w:pPr>
            <w:r>
              <w:rPr>
                <w:szCs w:val="18"/>
              </w:rPr>
              <w:t>May</w:t>
            </w:r>
          </w:p>
        </w:tc>
        <w:tc>
          <w:tcPr>
            <w:tcW w:w="1185" w:type="dxa"/>
            <w:tcBorders>
              <w:top w:val="single" w:sz="4" w:space="0" w:color="70AD47"/>
              <w:bottom w:val="single" w:sz="12" w:space="0" w:color="70AD47"/>
            </w:tcBorders>
            <w:shd w:val="clear" w:color="auto" w:fill="auto"/>
            <w:tcMar>
              <w:top w:w="0" w:type="dxa"/>
              <w:left w:w="0" w:type="dxa"/>
              <w:bottom w:w="0" w:type="dxa"/>
              <w:right w:w="0" w:type="dxa"/>
            </w:tcMar>
            <w:vAlign w:val="center"/>
          </w:tcPr>
          <w:p w14:paraId="1C5D9DAC" w14:textId="77777777" w:rsidR="00A324A3" w:rsidRDefault="00A324A3" w:rsidP="00450462">
            <w:pPr>
              <w:keepLines/>
              <w:pBdr>
                <w:top w:val="nil"/>
                <w:left w:val="nil"/>
                <w:bottom w:val="nil"/>
                <w:right w:val="nil"/>
                <w:between w:val="nil"/>
              </w:pBdr>
              <w:spacing w:line="240" w:lineRule="auto"/>
              <w:jc w:val="center"/>
              <w:rPr>
                <w:szCs w:val="18"/>
              </w:rPr>
            </w:pPr>
            <w:r>
              <w:rPr>
                <w:szCs w:val="18"/>
              </w:rPr>
              <w:t>30</w:t>
            </w:r>
          </w:p>
        </w:tc>
        <w:tc>
          <w:tcPr>
            <w:tcW w:w="1185" w:type="dxa"/>
            <w:tcBorders>
              <w:top w:val="single" w:sz="4" w:space="0" w:color="70AD47"/>
              <w:bottom w:val="single" w:sz="12" w:space="0" w:color="70AD47"/>
            </w:tcBorders>
            <w:shd w:val="clear" w:color="auto" w:fill="auto"/>
            <w:tcMar>
              <w:top w:w="0" w:type="dxa"/>
              <w:left w:w="0" w:type="dxa"/>
              <w:bottom w:w="0" w:type="dxa"/>
              <w:right w:w="0" w:type="dxa"/>
            </w:tcMar>
            <w:vAlign w:val="center"/>
          </w:tcPr>
          <w:p w14:paraId="4E769ADD" w14:textId="77777777" w:rsidR="00A324A3" w:rsidRDefault="00A324A3" w:rsidP="00450462">
            <w:pPr>
              <w:keepLines/>
              <w:pBdr>
                <w:top w:val="nil"/>
                <w:left w:val="nil"/>
                <w:bottom w:val="nil"/>
                <w:right w:val="nil"/>
                <w:between w:val="nil"/>
              </w:pBdr>
              <w:spacing w:line="240" w:lineRule="auto"/>
              <w:jc w:val="center"/>
              <w:rPr>
                <w:szCs w:val="18"/>
              </w:rPr>
            </w:pPr>
            <w:r>
              <w:rPr>
                <w:szCs w:val="18"/>
              </w:rPr>
              <w:t>14.15</w:t>
            </w:r>
          </w:p>
        </w:tc>
        <w:tc>
          <w:tcPr>
            <w:tcW w:w="1185" w:type="dxa"/>
            <w:tcBorders>
              <w:top w:val="single" w:sz="4" w:space="0" w:color="70AD47"/>
              <w:bottom w:val="single" w:sz="12" w:space="0" w:color="70AD47"/>
            </w:tcBorders>
            <w:shd w:val="clear" w:color="auto" w:fill="auto"/>
            <w:tcMar>
              <w:top w:w="0" w:type="dxa"/>
              <w:left w:w="0" w:type="dxa"/>
              <w:bottom w:w="0" w:type="dxa"/>
              <w:right w:w="0" w:type="dxa"/>
            </w:tcMar>
            <w:vAlign w:val="center"/>
          </w:tcPr>
          <w:p w14:paraId="371FDFC9" w14:textId="77777777" w:rsidR="00A324A3" w:rsidRDefault="00A324A3" w:rsidP="00450462">
            <w:pPr>
              <w:keepLines/>
              <w:pBdr>
                <w:top w:val="nil"/>
                <w:left w:val="nil"/>
                <w:bottom w:val="nil"/>
                <w:right w:val="nil"/>
                <w:between w:val="nil"/>
              </w:pBdr>
              <w:spacing w:line="240" w:lineRule="auto"/>
              <w:jc w:val="center"/>
              <w:rPr>
                <w:szCs w:val="18"/>
              </w:rPr>
            </w:pPr>
            <w:r>
              <w:rPr>
                <w:szCs w:val="18"/>
              </w:rPr>
              <w:t>27</w:t>
            </w:r>
          </w:p>
        </w:tc>
        <w:tc>
          <w:tcPr>
            <w:tcW w:w="1185" w:type="dxa"/>
            <w:tcBorders>
              <w:top w:val="single" w:sz="4" w:space="0" w:color="70AD47"/>
              <w:bottom w:val="single" w:sz="12" w:space="0" w:color="70AD47"/>
            </w:tcBorders>
            <w:shd w:val="clear" w:color="auto" w:fill="auto"/>
            <w:tcMar>
              <w:top w:w="0" w:type="dxa"/>
              <w:left w:w="0" w:type="dxa"/>
              <w:bottom w:w="0" w:type="dxa"/>
              <w:right w:w="0" w:type="dxa"/>
            </w:tcMar>
            <w:vAlign w:val="center"/>
          </w:tcPr>
          <w:p w14:paraId="5CD8F124" w14:textId="77777777" w:rsidR="00A324A3" w:rsidRDefault="00A324A3" w:rsidP="00450462">
            <w:pPr>
              <w:keepLines/>
              <w:pBdr>
                <w:top w:val="nil"/>
                <w:left w:val="nil"/>
                <w:bottom w:val="nil"/>
                <w:right w:val="nil"/>
                <w:between w:val="nil"/>
              </w:pBdr>
              <w:spacing w:line="240" w:lineRule="auto"/>
              <w:jc w:val="center"/>
              <w:rPr>
                <w:szCs w:val="18"/>
              </w:rPr>
            </w:pPr>
            <w:r>
              <w:rPr>
                <w:szCs w:val="18"/>
              </w:rPr>
              <w:t>17.35</w:t>
            </w:r>
          </w:p>
        </w:tc>
        <w:tc>
          <w:tcPr>
            <w:tcW w:w="1065" w:type="dxa"/>
            <w:tcBorders>
              <w:top w:val="single" w:sz="4" w:space="0" w:color="70AD47"/>
              <w:left w:val="nil"/>
              <w:bottom w:val="single" w:sz="12" w:space="0" w:color="70AD47"/>
              <w:right w:val="nil"/>
            </w:tcBorders>
            <w:shd w:val="clear" w:color="auto" w:fill="auto"/>
            <w:tcMar>
              <w:top w:w="0" w:type="dxa"/>
              <w:left w:w="0" w:type="dxa"/>
              <w:bottom w:w="0" w:type="dxa"/>
              <w:right w:w="0" w:type="dxa"/>
            </w:tcMar>
            <w:vAlign w:val="center"/>
          </w:tcPr>
          <w:p w14:paraId="09A7EB17" w14:textId="77777777" w:rsidR="00A324A3" w:rsidRDefault="00A324A3" w:rsidP="00450462">
            <w:pPr>
              <w:keepLines/>
              <w:pBdr>
                <w:top w:val="nil"/>
                <w:left w:val="nil"/>
                <w:bottom w:val="nil"/>
                <w:right w:val="nil"/>
                <w:between w:val="nil"/>
              </w:pBdr>
              <w:spacing w:line="240" w:lineRule="auto"/>
              <w:jc w:val="center"/>
              <w:rPr>
                <w:szCs w:val="18"/>
              </w:rPr>
            </w:pPr>
            <w:r>
              <w:rPr>
                <w:szCs w:val="18"/>
              </w:rPr>
              <w:t>&lt; 100</w:t>
            </w:r>
          </w:p>
        </w:tc>
        <w:tc>
          <w:tcPr>
            <w:tcW w:w="1050" w:type="dxa"/>
            <w:tcBorders>
              <w:top w:val="single" w:sz="4" w:space="0" w:color="70AD47"/>
              <w:left w:val="nil"/>
              <w:bottom w:val="single" w:sz="12" w:space="0" w:color="70AD47"/>
              <w:right w:val="nil"/>
            </w:tcBorders>
            <w:shd w:val="clear" w:color="auto" w:fill="auto"/>
            <w:tcMar>
              <w:top w:w="0" w:type="dxa"/>
              <w:left w:w="0" w:type="dxa"/>
              <w:bottom w:w="0" w:type="dxa"/>
              <w:right w:w="0" w:type="dxa"/>
            </w:tcMar>
            <w:vAlign w:val="center"/>
          </w:tcPr>
          <w:p w14:paraId="09F2923F" w14:textId="77777777" w:rsidR="00A324A3" w:rsidRDefault="00A324A3" w:rsidP="00450462">
            <w:pPr>
              <w:keepLines/>
              <w:pBdr>
                <w:top w:val="nil"/>
                <w:left w:val="nil"/>
                <w:bottom w:val="nil"/>
                <w:right w:val="nil"/>
                <w:between w:val="nil"/>
              </w:pBdr>
              <w:spacing w:line="240" w:lineRule="auto"/>
              <w:jc w:val="center"/>
              <w:rPr>
                <w:szCs w:val="18"/>
              </w:rPr>
            </w:pPr>
            <w:r>
              <w:rPr>
                <w:szCs w:val="18"/>
              </w:rPr>
              <w:t>0 - 60</w:t>
            </w:r>
          </w:p>
          <w:p w14:paraId="39E139E7" w14:textId="77777777" w:rsidR="00A324A3" w:rsidRDefault="00A324A3" w:rsidP="00450462">
            <w:pPr>
              <w:keepLines/>
              <w:pBdr>
                <w:top w:val="nil"/>
                <w:left w:val="nil"/>
                <w:bottom w:val="nil"/>
                <w:right w:val="nil"/>
                <w:between w:val="nil"/>
              </w:pBdr>
              <w:spacing w:line="240" w:lineRule="auto"/>
              <w:jc w:val="center"/>
              <w:rPr>
                <w:szCs w:val="18"/>
              </w:rPr>
            </w:pPr>
            <w:r>
              <w:rPr>
                <w:szCs w:val="18"/>
              </w:rPr>
              <w:t>(Good)</w:t>
            </w:r>
          </w:p>
        </w:tc>
      </w:tr>
    </w:tbl>
    <w:p w14:paraId="61630D0E" w14:textId="107C16E6" w:rsidR="0091690C" w:rsidRPr="00A324A3" w:rsidRDefault="0091690C" w:rsidP="0091690C">
      <w:pPr>
        <w:pStyle w:val="CETHeading1"/>
        <w:tabs>
          <w:tab w:val="right" w:pos="7100"/>
        </w:tabs>
        <w:spacing w:before="0"/>
        <w:jc w:val="both"/>
        <w:rPr>
          <w:b w:val="0"/>
          <w:sz w:val="18"/>
          <w:szCs w:val="18"/>
        </w:rPr>
      </w:pPr>
      <w:r>
        <w:rPr>
          <w:b w:val="0"/>
          <w:sz w:val="18"/>
          <w:szCs w:val="18"/>
        </w:rPr>
        <w:t>*O</w:t>
      </w:r>
      <w:r w:rsidRPr="0091690C">
        <w:rPr>
          <w:b w:val="0"/>
          <w:sz w:val="18"/>
          <w:szCs w:val="18"/>
          <w:vertAlign w:val="subscript"/>
        </w:rPr>
        <w:t>3</w:t>
      </w:r>
      <w:r w:rsidRPr="00A324A3">
        <w:rPr>
          <w:b w:val="0"/>
          <w:sz w:val="18"/>
          <w:szCs w:val="18"/>
        </w:rPr>
        <w:t xml:space="preserve"> </w:t>
      </w:r>
      <w:r w:rsidRPr="0091690C">
        <w:rPr>
          <w:b w:val="0"/>
          <w:sz w:val="18"/>
          <w:szCs w:val="18"/>
        </w:rPr>
        <w:t>had no data in March and April due to the maintenance of the SJL station</w:t>
      </w:r>
    </w:p>
    <w:p w14:paraId="73BF8108" w14:textId="77777777" w:rsidR="00BC7777" w:rsidRPr="00BC7777" w:rsidRDefault="00BC7777" w:rsidP="00086E6C">
      <w:pPr>
        <w:pStyle w:val="CETBodytext"/>
      </w:pPr>
    </w:p>
    <w:p w14:paraId="09A1DF2C" w14:textId="77777777" w:rsidR="00BC7777" w:rsidRDefault="00BC7777" w:rsidP="00086E6C">
      <w:pPr>
        <w:pStyle w:val="CETBodytext"/>
        <w:rPr>
          <w:lang w:val="en-GB"/>
        </w:rPr>
      </w:pPr>
    </w:p>
    <w:p w14:paraId="5DC3E144" w14:textId="77777777" w:rsidR="00BC7777" w:rsidRDefault="00BC7777" w:rsidP="00BC7777">
      <w:pPr>
        <w:pStyle w:val="CETheadingx"/>
        <w:rPr>
          <w:iCs/>
          <w:lang w:val="en-GB"/>
        </w:rPr>
      </w:pPr>
      <w:r>
        <w:rPr>
          <w:iCs/>
          <w:lang w:val="en-GB"/>
        </w:rPr>
        <w:lastRenderedPageBreak/>
        <w:t xml:space="preserve">3.3 </w:t>
      </w:r>
      <w:r w:rsidRPr="00C25305">
        <w:rPr>
          <w:iCs/>
          <w:lang w:val="en-GB"/>
        </w:rPr>
        <w:t>Ass</w:t>
      </w:r>
      <w:r>
        <w:rPr>
          <w:iCs/>
          <w:lang w:val="en-GB"/>
        </w:rPr>
        <w:t>essment of air pollutants after</w:t>
      </w:r>
      <w:r w:rsidRPr="00C25305">
        <w:rPr>
          <w:iCs/>
          <w:lang w:val="en-GB"/>
        </w:rPr>
        <w:t xml:space="preserve"> social confinement by COVID-19</w:t>
      </w:r>
    </w:p>
    <w:p w14:paraId="36BB2F13" w14:textId="21FB4D7D" w:rsidR="005958FC" w:rsidRDefault="00D5371E" w:rsidP="00086E6C">
      <w:pPr>
        <w:pStyle w:val="CETBodytext"/>
        <w:rPr>
          <w:lang w:val="en-GB"/>
        </w:rPr>
      </w:pPr>
      <w:r>
        <w:rPr>
          <w:lang w:val="en-GB"/>
        </w:rPr>
        <w:t>Table 3</w:t>
      </w:r>
      <w:r w:rsidRPr="00D5371E">
        <w:rPr>
          <w:lang w:val="en-GB"/>
        </w:rPr>
        <w:t xml:space="preserve"> shows the results of t</w:t>
      </w:r>
      <w:r>
        <w:rPr>
          <w:lang w:val="en-GB"/>
        </w:rPr>
        <w:t>he air quality assessment after</w:t>
      </w:r>
      <w:r w:rsidRPr="00D5371E">
        <w:rPr>
          <w:lang w:val="en-GB"/>
        </w:rPr>
        <w:t xml:space="preserve"> social confinement.</w:t>
      </w:r>
      <w:r>
        <w:rPr>
          <w:lang w:val="en-GB"/>
        </w:rPr>
        <w:t xml:space="preserve"> The </w:t>
      </w:r>
      <w:r w:rsidR="005958FC" w:rsidRPr="005958FC">
        <w:rPr>
          <w:lang w:val="en-GB"/>
        </w:rPr>
        <w:t>PM2.5 showed acceptable values for the ECA in June (34.44 µg/m</w:t>
      </w:r>
      <w:r w:rsidR="005958FC" w:rsidRPr="00A92C2C">
        <w:rPr>
          <w:vertAlign w:val="superscript"/>
          <w:lang w:val="en-GB"/>
        </w:rPr>
        <w:t>3</w:t>
      </w:r>
      <w:r w:rsidR="005958FC" w:rsidRPr="005958FC">
        <w:rPr>
          <w:lang w:val="en-GB"/>
        </w:rPr>
        <w:t>) and higher values in July (53.44 µg/m</w:t>
      </w:r>
      <w:r w:rsidR="005958FC" w:rsidRPr="00A92C2C">
        <w:rPr>
          <w:vertAlign w:val="superscript"/>
          <w:lang w:val="en-GB"/>
        </w:rPr>
        <w:t>3</w:t>
      </w:r>
      <w:r w:rsidR="005958FC" w:rsidRPr="005958FC">
        <w:rPr>
          <w:lang w:val="en-GB"/>
        </w:rPr>
        <w:t>). Likewise, in June and July the air quality was considered poor according to INCA. This is due to the fact that from the end of May to July, concentrations of this pollutant increased due to the relaxation of social confinement measures and the reactivation of economic activities at the national level by 50%. Gaurav et al. (2021) mention that India (Central India, Coastal India and Indo-Gangetic Plain (IGP)) showed the highest reduction in PM2.5 concentration in the months of June and July (42.12 and 31.88 µg/m</w:t>
      </w:r>
      <w:r w:rsidR="005958FC" w:rsidRPr="00A92C2C">
        <w:rPr>
          <w:vertAlign w:val="superscript"/>
          <w:lang w:val="en-GB"/>
        </w:rPr>
        <w:t>3</w:t>
      </w:r>
      <w:r w:rsidR="005958FC" w:rsidRPr="005958FC">
        <w:rPr>
          <w:lang w:val="en-GB"/>
        </w:rPr>
        <w:t>) during 2020.</w:t>
      </w:r>
    </w:p>
    <w:p w14:paraId="66A73B3F" w14:textId="48A3A604" w:rsidR="000C6178" w:rsidRDefault="000C6178" w:rsidP="00086E6C">
      <w:pPr>
        <w:pStyle w:val="CETBodytext"/>
        <w:rPr>
          <w:lang w:val="en-GB"/>
        </w:rPr>
      </w:pPr>
      <w:r w:rsidRPr="000C6178">
        <w:rPr>
          <w:lang w:val="en-GB"/>
        </w:rPr>
        <w:t>O3 showed acceptable values for ECA a</w:t>
      </w:r>
      <w:r w:rsidR="00D5371E">
        <w:rPr>
          <w:lang w:val="en-GB"/>
        </w:rPr>
        <w:t>ir quality in June (31.78 µg/m</w:t>
      </w:r>
      <w:r w:rsidR="00D5371E" w:rsidRPr="00A92C2C">
        <w:rPr>
          <w:vertAlign w:val="superscript"/>
          <w:lang w:val="en-GB"/>
        </w:rPr>
        <w:t>3</w:t>
      </w:r>
      <w:r w:rsidR="00D5371E">
        <w:rPr>
          <w:lang w:val="en-GB"/>
        </w:rPr>
        <w:t>) and September (19.13 µg/m</w:t>
      </w:r>
      <w:r w:rsidR="00D5371E" w:rsidRPr="00A92C2C">
        <w:rPr>
          <w:vertAlign w:val="superscript"/>
          <w:lang w:val="en-GB"/>
        </w:rPr>
        <w:t>3</w:t>
      </w:r>
      <w:r w:rsidRPr="000C6178">
        <w:rPr>
          <w:lang w:val="en-GB"/>
        </w:rPr>
        <w:t>). Likewise, for INCA, these months have good air quality, with the high O</w:t>
      </w:r>
      <w:r w:rsidRPr="00A92C2C">
        <w:rPr>
          <w:vertAlign w:val="subscript"/>
          <w:lang w:val="en-GB"/>
        </w:rPr>
        <w:t>3</w:t>
      </w:r>
      <w:r w:rsidRPr="000C6178">
        <w:rPr>
          <w:lang w:val="en-GB"/>
        </w:rPr>
        <w:t xml:space="preserve"> value in June. Tobias (2020) also evaluated O</w:t>
      </w:r>
      <w:r w:rsidRPr="00A92C2C">
        <w:rPr>
          <w:vertAlign w:val="subscript"/>
          <w:lang w:val="en-GB"/>
        </w:rPr>
        <w:t>3</w:t>
      </w:r>
      <w:r w:rsidRPr="000C6178">
        <w:rPr>
          <w:lang w:val="en-GB"/>
        </w:rPr>
        <w:t xml:space="preserve"> gas in the city of Barcelona, registering high average values in the periods from May to August (56 - 73 µg/m</w:t>
      </w:r>
      <w:r w:rsidRPr="00A92C2C">
        <w:rPr>
          <w:vertAlign w:val="superscript"/>
          <w:lang w:val="en-GB"/>
        </w:rPr>
        <w:t>3</w:t>
      </w:r>
      <w:r w:rsidRPr="000C6178">
        <w:rPr>
          <w:lang w:val="en-GB"/>
        </w:rPr>
        <w:t>). O</w:t>
      </w:r>
      <w:r w:rsidRPr="00A92C2C">
        <w:rPr>
          <w:vertAlign w:val="subscript"/>
          <w:lang w:val="en-GB"/>
        </w:rPr>
        <w:t>3</w:t>
      </w:r>
      <w:r w:rsidRPr="000C6178">
        <w:rPr>
          <w:lang w:val="en-GB"/>
        </w:rPr>
        <w:t xml:space="preserve"> exhibited a significant increase that could be due to the decrease in NO</w:t>
      </w:r>
      <w:r w:rsidR="00A92C2C">
        <w:rPr>
          <w:vertAlign w:val="subscript"/>
          <w:lang w:val="en-GB"/>
        </w:rPr>
        <w:t>X</w:t>
      </w:r>
      <w:r w:rsidRPr="000C6178">
        <w:rPr>
          <w:lang w:val="en-GB"/>
        </w:rPr>
        <w:t xml:space="preserve"> emissions coming from transport activities, being one of the main causes (Silva et al., 2018).</w:t>
      </w:r>
    </w:p>
    <w:p w14:paraId="30BE4CFB" w14:textId="1A451177" w:rsidR="001B26CB" w:rsidRDefault="001B26CB" w:rsidP="001B26CB">
      <w:pPr>
        <w:pStyle w:val="CETTabletitle"/>
        <w:rPr>
          <w:lang w:val="en-US"/>
        </w:rPr>
      </w:pPr>
      <w:r w:rsidRPr="001B26CB">
        <w:rPr>
          <w:lang w:val="en-US"/>
        </w:rPr>
        <w:t>T</w:t>
      </w:r>
      <w:r>
        <w:rPr>
          <w:lang w:val="en-US"/>
        </w:rPr>
        <w:t>able 3</w:t>
      </w:r>
      <w:r w:rsidRPr="001B26CB">
        <w:rPr>
          <w:lang w:val="en-US"/>
        </w:rPr>
        <w:t xml:space="preserve">: </w:t>
      </w:r>
      <w:r w:rsidRPr="00C25305">
        <w:rPr>
          <w:lang w:val="en-US"/>
        </w:rPr>
        <w:t xml:space="preserve">Variation of PM2.5, SO2 and </w:t>
      </w:r>
      <w:r>
        <w:rPr>
          <w:lang w:val="en-US"/>
        </w:rPr>
        <w:t>O3 concentrations (µg/m3) after</w:t>
      </w:r>
      <w:r w:rsidRPr="00C25305">
        <w:rPr>
          <w:lang w:val="en-US"/>
        </w:rPr>
        <w:t xml:space="preserve"> social confinement</w:t>
      </w:r>
    </w:p>
    <w:tbl>
      <w:tblPr>
        <w:tblW w:w="87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6"/>
        <w:gridCol w:w="1157"/>
        <w:gridCol w:w="988"/>
        <w:gridCol w:w="1325"/>
        <w:gridCol w:w="908"/>
        <w:gridCol w:w="955"/>
        <w:gridCol w:w="1147"/>
        <w:gridCol w:w="1013"/>
      </w:tblGrid>
      <w:tr w:rsidR="00981A04" w14:paraId="142D315D" w14:textId="77777777" w:rsidTr="00B13162">
        <w:trPr>
          <w:trHeight w:val="353"/>
        </w:trPr>
        <w:tc>
          <w:tcPr>
            <w:tcW w:w="1236"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4DB4AA34" w14:textId="77777777" w:rsidR="00981A04" w:rsidRDefault="00981A04" w:rsidP="00981A04">
            <w:pPr>
              <w:keepLines/>
              <w:spacing w:line="240" w:lineRule="auto"/>
              <w:jc w:val="center"/>
              <w:rPr>
                <w:b/>
                <w:szCs w:val="18"/>
              </w:rPr>
            </w:pPr>
          </w:p>
          <w:p w14:paraId="26F27CFC" w14:textId="2F7C3D9E" w:rsidR="00981A04" w:rsidRDefault="00981A04" w:rsidP="00981A04">
            <w:pPr>
              <w:keepLines/>
              <w:spacing w:line="240" w:lineRule="auto"/>
              <w:jc w:val="center"/>
              <w:rPr>
                <w:b/>
                <w:szCs w:val="18"/>
              </w:rPr>
            </w:pPr>
            <w:r>
              <w:rPr>
                <w:b/>
                <w:szCs w:val="18"/>
              </w:rPr>
              <w:t>Pollutant</w:t>
            </w:r>
          </w:p>
        </w:tc>
        <w:tc>
          <w:tcPr>
            <w:tcW w:w="1157"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3FB19F32" w14:textId="77777777" w:rsidR="00981A04" w:rsidRDefault="00981A04" w:rsidP="00981A04">
            <w:pPr>
              <w:keepLines/>
              <w:spacing w:line="240" w:lineRule="auto"/>
              <w:jc w:val="center"/>
              <w:rPr>
                <w:b/>
                <w:szCs w:val="18"/>
              </w:rPr>
            </w:pPr>
          </w:p>
          <w:p w14:paraId="1C351E3A" w14:textId="7A11687D" w:rsidR="00981A04" w:rsidRDefault="00981A04" w:rsidP="00981A04">
            <w:pPr>
              <w:keepLines/>
              <w:spacing w:line="240" w:lineRule="auto"/>
              <w:jc w:val="center"/>
              <w:rPr>
                <w:b/>
                <w:szCs w:val="18"/>
              </w:rPr>
            </w:pPr>
            <w:r>
              <w:rPr>
                <w:b/>
                <w:szCs w:val="18"/>
              </w:rPr>
              <w:t>Month</w:t>
            </w:r>
          </w:p>
        </w:tc>
        <w:tc>
          <w:tcPr>
            <w:tcW w:w="4176" w:type="dxa"/>
            <w:gridSpan w:val="4"/>
            <w:tcBorders>
              <w:top w:val="single" w:sz="12" w:space="0" w:color="70AD47"/>
              <w:left w:val="nil"/>
              <w:bottom w:val="single" w:sz="4" w:space="0" w:color="70AD47"/>
              <w:right w:val="nil"/>
            </w:tcBorders>
            <w:tcMar>
              <w:top w:w="0" w:type="dxa"/>
              <w:left w:w="0" w:type="dxa"/>
              <w:bottom w:w="0" w:type="dxa"/>
              <w:right w:w="0" w:type="dxa"/>
            </w:tcMar>
            <w:vAlign w:val="center"/>
          </w:tcPr>
          <w:p w14:paraId="3CD5617A" w14:textId="77777777" w:rsidR="00981A04" w:rsidRDefault="00981A04" w:rsidP="00981A04">
            <w:pPr>
              <w:keepLines/>
              <w:spacing w:line="240" w:lineRule="auto"/>
              <w:jc w:val="center"/>
              <w:rPr>
                <w:b/>
                <w:szCs w:val="18"/>
              </w:rPr>
            </w:pPr>
            <w:r>
              <w:rPr>
                <w:b/>
                <w:szCs w:val="18"/>
              </w:rPr>
              <w:t>2020</w:t>
            </w:r>
          </w:p>
        </w:tc>
        <w:tc>
          <w:tcPr>
            <w:tcW w:w="1147"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610946F5" w14:textId="77777777" w:rsidR="00981A04" w:rsidRDefault="00981A04" w:rsidP="00981A04">
            <w:pPr>
              <w:keepLines/>
              <w:spacing w:line="240" w:lineRule="auto"/>
              <w:jc w:val="center"/>
              <w:rPr>
                <w:b/>
                <w:szCs w:val="18"/>
              </w:rPr>
            </w:pPr>
          </w:p>
          <w:p w14:paraId="3BF40357" w14:textId="77777777" w:rsidR="00981A04" w:rsidRDefault="00981A04" w:rsidP="00981A04">
            <w:pPr>
              <w:keepLines/>
              <w:spacing w:line="240" w:lineRule="auto"/>
              <w:jc w:val="center"/>
              <w:rPr>
                <w:b/>
                <w:szCs w:val="18"/>
              </w:rPr>
            </w:pPr>
            <w:r>
              <w:rPr>
                <w:b/>
                <w:szCs w:val="18"/>
              </w:rPr>
              <w:t>ECA</w:t>
            </w:r>
          </w:p>
          <w:p w14:paraId="1B30EE62" w14:textId="77777777" w:rsidR="00981A04" w:rsidRDefault="00981A04" w:rsidP="00981A04">
            <w:pPr>
              <w:keepLines/>
              <w:spacing w:line="240" w:lineRule="auto"/>
              <w:jc w:val="center"/>
              <w:rPr>
                <w:b/>
                <w:szCs w:val="18"/>
              </w:rPr>
            </w:pPr>
            <w:r>
              <w:rPr>
                <w:b/>
                <w:szCs w:val="18"/>
              </w:rPr>
              <w:t>(µg/m</w:t>
            </w:r>
            <w:r>
              <w:rPr>
                <w:b/>
                <w:szCs w:val="18"/>
                <w:vertAlign w:val="superscript"/>
              </w:rPr>
              <w:t>3</w:t>
            </w:r>
            <w:r>
              <w:rPr>
                <w:b/>
                <w:szCs w:val="18"/>
              </w:rPr>
              <w:t>)</w:t>
            </w:r>
          </w:p>
        </w:tc>
        <w:tc>
          <w:tcPr>
            <w:tcW w:w="1013" w:type="dxa"/>
            <w:vMerge w:val="restart"/>
            <w:tcBorders>
              <w:top w:val="single" w:sz="12" w:space="0" w:color="70AD47"/>
              <w:left w:val="nil"/>
              <w:bottom w:val="single" w:sz="12" w:space="0" w:color="70AD47"/>
              <w:right w:val="nil"/>
            </w:tcBorders>
            <w:tcMar>
              <w:top w:w="0" w:type="dxa"/>
              <w:left w:w="0" w:type="dxa"/>
              <w:bottom w:w="0" w:type="dxa"/>
              <w:right w:w="0" w:type="dxa"/>
            </w:tcMar>
            <w:vAlign w:val="center"/>
          </w:tcPr>
          <w:p w14:paraId="3F35EDE8" w14:textId="77777777" w:rsidR="00981A04" w:rsidRDefault="00981A04" w:rsidP="00981A04">
            <w:pPr>
              <w:keepLines/>
              <w:spacing w:line="240" w:lineRule="auto"/>
              <w:jc w:val="center"/>
              <w:rPr>
                <w:b/>
                <w:szCs w:val="18"/>
              </w:rPr>
            </w:pPr>
          </w:p>
          <w:p w14:paraId="12F4C1FD" w14:textId="77777777" w:rsidR="00981A04" w:rsidRDefault="00981A04" w:rsidP="00981A04">
            <w:pPr>
              <w:keepLines/>
              <w:spacing w:line="240" w:lineRule="auto"/>
              <w:jc w:val="center"/>
              <w:rPr>
                <w:b/>
                <w:szCs w:val="18"/>
              </w:rPr>
            </w:pPr>
            <w:r>
              <w:rPr>
                <w:b/>
                <w:szCs w:val="18"/>
              </w:rPr>
              <w:t>INCA</w:t>
            </w:r>
          </w:p>
          <w:p w14:paraId="52C2BF2E" w14:textId="77777777" w:rsidR="00981A04" w:rsidRDefault="00981A04" w:rsidP="00981A04">
            <w:pPr>
              <w:keepLines/>
              <w:spacing w:line="240" w:lineRule="auto"/>
              <w:jc w:val="center"/>
              <w:rPr>
                <w:b/>
                <w:szCs w:val="18"/>
              </w:rPr>
            </w:pPr>
            <w:r>
              <w:rPr>
                <w:b/>
                <w:szCs w:val="18"/>
              </w:rPr>
              <w:t>(µg/m</w:t>
            </w:r>
            <w:r>
              <w:rPr>
                <w:b/>
                <w:szCs w:val="18"/>
                <w:vertAlign w:val="superscript"/>
              </w:rPr>
              <w:t>3</w:t>
            </w:r>
            <w:r>
              <w:rPr>
                <w:b/>
                <w:szCs w:val="18"/>
              </w:rPr>
              <w:t>)</w:t>
            </w:r>
          </w:p>
        </w:tc>
      </w:tr>
      <w:tr w:rsidR="00981A04" w14:paraId="017948B9" w14:textId="77777777" w:rsidTr="00B13162">
        <w:trPr>
          <w:trHeight w:val="655"/>
        </w:trPr>
        <w:tc>
          <w:tcPr>
            <w:tcW w:w="1236"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24CB749C" w14:textId="77777777" w:rsidR="00981A04" w:rsidRDefault="00981A04" w:rsidP="00981A04">
            <w:pPr>
              <w:keepLines/>
              <w:spacing w:line="240" w:lineRule="auto"/>
              <w:jc w:val="center"/>
              <w:rPr>
                <w:b/>
                <w:szCs w:val="18"/>
              </w:rPr>
            </w:pPr>
          </w:p>
        </w:tc>
        <w:tc>
          <w:tcPr>
            <w:tcW w:w="1157"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2C454483" w14:textId="77777777" w:rsidR="00981A04" w:rsidRDefault="00981A04" w:rsidP="00981A04">
            <w:pPr>
              <w:keepLines/>
              <w:spacing w:line="240" w:lineRule="auto"/>
              <w:jc w:val="center"/>
              <w:rPr>
                <w:b/>
                <w:szCs w:val="18"/>
              </w:rPr>
            </w:pPr>
          </w:p>
        </w:tc>
        <w:tc>
          <w:tcPr>
            <w:tcW w:w="988" w:type="dxa"/>
            <w:tcBorders>
              <w:top w:val="single" w:sz="4" w:space="0" w:color="70AD47"/>
              <w:left w:val="nil"/>
              <w:bottom w:val="single" w:sz="12" w:space="0" w:color="70AD47"/>
              <w:right w:val="nil"/>
            </w:tcBorders>
            <w:tcMar>
              <w:top w:w="0" w:type="dxa"/>
              <w:left w:w="0" w:type="dxa"/>
              <w:bottom w:w="0" w:type="dxa"/>
              <w:right w:w="0" w:type="dxa"/>
            </w:tcMar>
            <w:vAlign w:val="center"/>
          </w:tcPr>
          <w:p w14:paraId="78622622" w14:textId="0FC5829F" w:rsidR="00981A04" w:rsidRDefault="00981A04" w:rsidP="00981A04">
            <w:pPr>
              <w:keepLines/>
              <w:spacing w:line="240" w:lineRule="auto"/>
              <w:jc w:val="center"/>
              <w:rPr>
                <w:b/>
                <w:szCs w:val="18"/>
              </w:rPr>
            </w:pPr>
            <w:r>
              <w:rPr>
                <w:b/>
                <w:szCs w:val="18"/>
              </w:rPr>
              <w:t>Day</w:t>
            </w:r>
          </w:p>
        </w:tc>
        <w:tc>
          <w:tcPr>
            <w:tcW w:w="1325" w:type="dxa"/>
            <w:tcBorders>
              <w:top w:val="single" w:sz="4" w:space="0" w:color="70AD47"/>
              <w:left w:val="nil"/>
              <w:bottom w:val="single" w:sz="12" w:space="0" w:color="70AD47"/>
              <w:right w:val="nil"/>
            </w:tcBorders>
            <w:tcMar>
              <w:top w:w="0" w:type="dxa"/>
              <w:left w:w="0" w:type="dxa"/>
              <w:bottom w:w="0" w:type="dxa"/>
              <w:right w:w="0" w:type="dxa"/>
            </w:tcMar>
            <w:vAlign w:val="center"/>
          </w:tcPr>
          <w:p w14:paraId="685DF0AB" w14:textId="2D6F0975" w:rsidR="00981A04" w:rsidRDefault="00981A04" w:rsidP="00981A04">
            <w:pPr>
              <w:keepLines/>
              <w:spacing w:line="240" w:lineRule="auto"/>
              <w:jc w:val="center"/>
              <w:rPr>
                <w:b/>
                <w:szCs w:val="18"/>
              </w:rPr>
            </w:pPr>
            <w:r>
              <w:rPr>
                <w:b/>
                <w:szCs w:val="18"/>
              </w:rPr>
              <w:t>Maximum</w:t>
            </w:r>
          </w:p>
          <w:p w14:paraId="76E6B5F2" w14:textId="77777777" w:rsidR="00981A04" w:rsidRDefault="00981A04" w:rsidP="00981A04">
            <w:pPr>
              <w:keepLines/>
              <w:spacing w:line="240" w:lineRule="auto"/>
              <w:jc w:val="center"/>
              <w:rPr>
                <w:b/>
                <w:szCs w:val="18"/>
              </w:rPr>
            </w:pPr>
            <w:r>
              <w:rPr>
                <w:b/>
                <w:szCs w:val="18"/>
              </w:rPr>
              <w:t>(µg/m</w:t>
            </w:r>
            <w:r>
              <w:rPr>
                <w:b/>
                <w:szCs w:val="18"/>
                <w:vertAlign w:val="superscript"/>
              </w:rPr>
              <w:t>3</w:t>
            </w:r>
            <w:r>
              <w:rPr>
                <w:b/>
                <w:szCs w:val="18"/>
              </w:rPr>
              <w:t>)</w:t>
            </w:r>
          </w:p>
        </w:tc>
        <w:tc>
          <w:tcPr>
            <w:tcW w:w="908" w:type="dxa"/>
            <w:tcBorders>
              <w:top w:val="single" w:sz="4" w:space="0" w:color="70AD47"/>
              <w:left w:val="nil"/>
              <w:bottom w:val="single" w:sz="12" w:space="0" w:color="70AD47"/>
              <w:right w:val="nil"/>
            </w:tcBorders>
            <w:tcMar>
              <w:top w:w="0" w:type="dxa"/>
              <w:left w:w="0" w:type="dxa"/>
              <w:bottom w:w="0" w:type="dxa"/>
              <w:right w:w="0" w:type="dxa"/>
            </w:tcMar>
            <w:vAlign w:val="center"/>
          </w:tcPr>
          <w:p w14:paraId="0BDEFF5A" w14:textId="59F48EB0" w:rsidR="00981A04" w:rsidRDefault="00981A04" w:rsidP="00981A04">
            <w:pPr>
              <w:keepLines/>
              <w:spacing w:line="240" w:lineRule="auto"/>
              <w:jc w:val="center"/>
              <w:rPr>
                <w:b/>
                <w:szCs w:val="18"/>
              </w:rPr>
            </w:pPr>
            <w:r>
              <w:rPr>
                <w:b/>
                <w:szCs w:val="18"/>
              </w:rPr>
              <w:t>Day</w:t>
            </w:r>
          </w:p>
        </w:tc>
        <w:tc>
          <w:tcPr>
            <w:tcW w:w="953" w:type="dxa"/>
            <w:tcBorders>
              <w:top w:val="single" w:sz="4" w:space="0" w:color="70AD47"/>
              <w:left w:val="nil"/>
              <w:bottom w:val="single" w:sz="12" w:space="0" w:color="70AD47"/>
              <w:right w:val="nil"/>
            </w:tcBorders>
            <w:tcMar>
              <w:top w:w="0" w:type="dxa"/>
              <w:left w:w="0" w:type="dxa"/>
              <w:bottom w:w="0" w:type="dxa"/>
              <w:right w:w="0" w:type="dxa"/>
            </w:tcMar>
            <w:vAlign w:val="center"/>
          </w:tcPr>
          <w:p w14:paraId="04F6CBAF" w14:textId="54AAEAD4" w:rsidR="00981A04" w:rsidRDefault="00981A04" w:rsidP="00981A04">
            <w:pPr>
              <w:keepLines/>
              <w:spacing w:line="240" w:lineRule="auto"/>
              <w:jc w:val="center"/>
              <w:rPr>
                <w:b/>
                <w:szCs w:val="18"/>
              </w:rPr>
            </w:pPr>
            <w:r>
              <w:rPr>
                <w:b/>
                <w:szCs w:val="18"/>
              </w:rPr>
              <w:t>Minimum</w:t>
            </w:r>
          </w:p>
          <w:p w14:paraId="0AF09D98" w14:textId="77777777" w:rsidR="00981A04" w:rsidRDefault="00981A04" w:rsidP="00981A04">
            <w:pPr>
              <w:keepLines/>
              <w:spacing w:line="240" w:lineRule="auto"/>
              <w:jc w:val="center"/>
              <w:rPr>
                <w:b/>
                <w:szCs w:val="18"/>
              </w:rPr>
            </w:pPr>
            <w:r>
              <w:rPr>
                <w:b/>
                <w:szCs w:val="18"/>
              </w:rPr>
              <w:t>(µg/m</w:t>
            </w:r>
            <w:r>
              <w:rPr>
                <w:b/>
                <w:szCs w:val="18"/>
                <w:vertAlign w:val="superscript"/>
              </w:rPr>
              <w:t>3</w:t>
            </w:r>
            <w:r>
              <w:rPr>
                <w:b/>
                <w:szCs w:val="18"/>
              </w:rPr>
              <w:t>)</w:t>
            </w:r>
          </w:p>
        </w:tc>
        <w:tc>
          <w:tcPr>
            <w:tcW w:w="1147"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4BDA795B" w14:textId="77777777" w:rsidR="00981A04" w:rsidRDefault="00981A04" w:rsidP="00981A04">
            <w:pPr>
              <w:keepLines/>
              <w:widowControl w:val="0"/>
              <w:spacing w:line="240" w:lineRule="auto"/>
              <w:jc w:val="center"/>
              <w:rPr>
                <w:b/>
                <w:szCs w:val="18"/>
              </w:rPr>
            </w:pPr>
          </w:p>
        </w:tc>
        <w:tc>
          <w:tcPr>
            <w:tcW w:w="1013" w:type="dxa"/>
            <w:vMerge/>
            <w:tcBorders>
              <w:top w:val="single" w:sz="12" w:space="0" w:color="70AD47"/>
              <w:left w:val="nil"/>
              <w:bottom w:val="single" w:sz="12" w:space="0" w:color="70AD47"/>
              <w:right w:val="nil"/>
            </w:tcBorders>
            <w:tcMar>
              <w:top w:w="0" w:type="dxa"/>
              <w:left w:w="0" w:type="dxa"/>
              <w:bottom w:w="0" w:type="dxa"/>
              <w:right w:w="0" w:type="dxa"/>
            </w:tcMar>
            <w:vAlign w:val="center"/>
          </w:tcPr>
          <w:p w14:paraId="176E6730" w14:textId="77777777" w:rsidR="00981A04" w:rsidRDefault="00981A04" w:rsidP="00981A04">
            <w:pPr>
              <w:keepLines/>
              <w:widowControl w:val="0"/>
              <w:spacing w:line="240" w:lineRule="auto"/>
              <w:jc w:val="center"/>
              <w:rPr>
                <w:b/>
                <w:szCs w:val="18"/>
              </w:rPr>
            </w:pPr>
          </w:p>
        </w:tc>
      </w:tr>
      <w:tr w:rsidR="00981A04" w14:paraId="51BC9338" w14:textId="77777777" w:rsidTr="00B13162">
        <w:trPr>
          <w:trHeight w:val="564"/>
        </w:trPr>
        <w:tc>
          <w:tcPr>
            <w:tcW w:w="1236"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24E7A219" w14:textId="77777777" w:rsidR="00981A04" w:rsidRDefault="00981A04" w:rsidP="00981A04">
            <w:pPr>
              <w:keepLines/>
              <w:spacing w:line="240" w:lineRule="auto"/>
              <w:jc w:val="center"/>
              <w:rPr>
                <w:szCs w:val="18"/>
              </w:rPr>
            </w:pPr>
            <w:r>
              <w:rPr>
                <w:b/>
                <w:szCs w:val="18"/>
              </w:rPr>
              <w:t>PM</w:t>
            </w:r>
            <w:r w:rsidRPr="007F5A94">
              <w:rPr>
                <w:b/>
                <w:szCs w:val="18"/>
              </w:rPr>
              <w:t>2.5</w:t>
            </w:r>
          </w:p>
        </w:tc>
        <w:tc>
          <w:tcPr>
            <w:tcW w:w="1157"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5425819" w14:textId="783D8156" w:rsidR="00981A04" w:rsidRDefault="00981A04" w:rsidP="00981A04">
            <w:pPr>
              <w:keepLines/>
              <w:spacing w:line="240" w:lineRule="auto"/>
              <w:jc w:val="center"/>
              <w:rPr>
                <w:szCs w:val="18"/>
              </w:rPr>
            </w:pPr>
            <w:r>
              <w:rPr>
                <w:szCs w:val="18"/>
              </w:rPr>
              <w:t>June</w:t>
            </w:r>
          </w:p>
        </w:tc>
        <w:tc>
          <w:tcPr>
            <w:tcW w:w="988"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D3A9335" w14:textId="77777777" w:rsidR="00981A04" w:rsidRDefault="00981A04" w:rsidP="00981A04">
            <w:pPr>
              <w:keepLines/>
              <w:spacing w:line="240" w:lineRule="auto"/>
              <w:jc w:val="center"/>
              <w:rPr>
                <w:szCs w:val="18"/>
              </w:rPr>
            </w:pPr>
            <w:r>
              <w:rPr>
                <w:szCs w:val="18"/>
              </w:rPr>
              <w:t>26</w:t>
            </w:r>
          </w:p>
        </w:tc>
        <w:tc>
          <w:tcPr>
            <w:tcW w:w="1325"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B2E2B6E" w14:textId="638153DE" w:rsidR="00981A04" w:rsidRDefault="00981A04" w:rsidP="00981A04">
            <w:pPr>
              <w:keepLines/>
              <w:spacing w:line="240" w:lineRule="auto"/>
              <w:jc w:val="center"/>
              <w:rPr>
                <w:szCs w:val="18"/>
              </w:rPr>
            </w:pPr>
            <w:r>
              <w:rPr>
                <w:szCs w:val="18"/>
              </w:rPr>
              <w:t>34.44</w:t>
            </w:r>
          </w:p>
        </w:tc>
        <w:tc>
          <w:tcPr>
            <w:tcW w:w="908"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0544BFE8" w14:textId="77777777" w:rsidR="00981A04" w:rsidRDefault="00981A04" w:rsidP="00981A04">
            <w:pPr>
              <w:keepLines/>
              <w:spacing w:line="240" w:lineRule="auto"/>
              <w:jc w:val="center"/>
              <w:rPr>
                <w:szCs w:val="18"/>
              </w:rPr>
            </w:pPr>
            <w:r>
              <w:rPr>
                <w:szCs w:val="18"/>
              </w:rPr>
              <w:t>7</w:t>
            </w:r>
          </w:p>
        </w:tc>
        <w:tc>
          <w:tcPr>
            <w:tcW w:w="953" w:type="dxa"/>
            <w:tcBorders>
              <w:top w:val="single" w:sz="12"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3982C973" w14:textId="269F8F54" w:rsidR="00981A04" w:rsidRDefault="00981A04" w:rsidP="00981A04">
            <w:pPr>
              <w:keepLines/>
              <w:spacing w:line="240" w:lineRule="auto"/>
              <w:jc w:val="center"/>
              <w:rPr>
                <w:szCs w:val="18"/>
              </w:rPr>
            </w:pPr>
            <w:r>
              <w:rPr>
                <w:szCs w:val="18"/>
              </w:rPr>
              <w:t>3.74</w:t>
            </w:r>
          </w:p>
        </w:tc>
        <w:tc>
          <w:tcPr>
            <w:tcW w:w="1147"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1847FC74" w14:textId="77777777" w:rsidR="00981A04" w:rsidRDefault="00981A04" w:rsidP="00981A04">
            <w:pPr>
              <w:keepLines/>
              <w:spacing w:line="240" w:lineRule="auto"/>
              <w:jc w:val="center"/>
              <w:rPr>
                <w:szCs w:val="18"/>
              </w:rPr>
            </w:pPr>
            <w:r>
              <w:rPr>
                <w:szCs w:val="18"/>
              </w:rPr>
              <w:t>&lt; 50</w:t>
            </w:r>
          </w:p>
        </w:tc>
        <w:tc>
          <w:tcPr>
            <w:tcW w:w="1013" w:type="dxa"/>
            <w:vMerge w:val="restart"/>
            <w:tcBorders>
              <w:top w:val="single" w:sz="12"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1CACB28D" w14:textId="4BD6941F" w:rsidR="00981A04" w:rsidRDefault="00981A04" w:rsidP="00981A04">
            <w:pPr>
              <w:keepLines/>
              <w:spacing w:line="240" w:lineRule="auto"/>
              <w:jc w:val="center"/>
              <w:rPr>
                <w:szCs w:val="18"/>
              </w:rPr>
            </w:pPr>
            <w:r>
              <w:rPr>
                <w:szCs w:val="18"/>
              </w:rPr>
              <w:t>12.6 - 25 (Moderate)</w:t>
            </w:r>
          </w:p>
          <w:p w14:paraId="284A9ED8" w14:textId="66B8A17A" w:rsidR="00981A04" w:rsidRDefault="00981A04" w:rsidP="00981A04">
            <w:pPr>
              <w:keepLines/>
              <w:spacing w:line="240" w:lineRule="auto"/>
              <w:jc w:val="center"/>
              <w:rPr>
                <w:szCs w:val="18"/>
              </w:rPr>
            </w:pPr>
            <w:r>
              <w:rPr>
                <w:szCs w:val="18"/>
              </w:rPr>
              <w:t>25.1 - 125 (Poor)</w:t>
            </w:r>
          </w:p>
        </w:tc>
      </w:tr>
      <w:tr w:rsidR="00981A04" w14:paraId="79C952E3" w14:textId="77777777" w:rsidTr="00B13162">
        <w:trPr>
          <w:trHeight w:val="353"/>
        </w:trPr>
        <w:tc>
          <w:tcPr>
            <w:tcW w:w="1236"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4A68A183" w14:textId="77777777" w:rsidR="00981A04" w:rsidRDefault="00981A04" w:rsidP="00981A04">
            <w:pPr>
              <w:widowControl w:val="0"/>
              <w:spacing w:line="240" w:lineRule="auto"/>
              <w:jc w:val="center"/>
            </w:pPr>
          </w:p>
        </w:tc>
        <w:tc>
          <w:tcPr>
            <w:tcW w:w="1157"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B08F416" w14:textId="043C6DB9" w:rsidR="00981A04" w:rsidRDefault="00981A04" w:rsidP="00981A04">
            <w:pPr>
              <w:keepLines/>
              <w:spacing w:line="240" w:lineRule="auto"/>
              <w:jc w:val="center"/>
              <w:rPr>
                <w:szCs w:val="18"/>
              </w:rPr>
            </w:pPr>
            <w:r>
              <w:rPr>
                <w:szCs w:val="18"/>
              </w:rPr>
              <w:t>July</w:t>
            </w:r>
          </w:p>
        </w:tc>
        <w:tc>
          <w:tcPr>
            <w:tcW w:w="98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1188AD23" w14:textId="77777777" w:rsidR="00981A04" w:rsidRDefault="00981A04" w:rsidP="00981A04">
            <w:pPr>
              <w:keepLines/>
              <w:spacing w:line="240" w:lineRule="auto"/>
              <w:jc w:val="center"/>
              <w:rPr>
                <w:szCs w:val="18"/>
              </w:rPr>
            </w:pPr>
            <w:r>
              <w:rPr>
                <w:szCs w:val="18"/>
              </w:rPr>
              <w:t>14</w:t>
            </w:r>
          </w:p>
        </w:tc>
        <w:tc>
          <w:tcPr>
            <w:tcW w:w="1325"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4366D395" w14:textId="411FBDDD" w:rsidR="00981A04" w:rsidRDefault="00981A04" w:rsidP="00981A04">
            <w:pPr>
              <w:keepLines/>
              <w:spacing w:line="240" w:lineRule="auto"/>
              <w:jc w:val="center"/>
              <w:rPr>
                <w:szCs w:val="18"/>
              </w:rPr>
            </w:pPr>
            <w:r>
              <w:rPr>
                <w:szCs w:val="18"/>
              </w:rPr>
              <w:t>53.44</w:t>
            </w:r>
          </w:p>
        </w:tc>
        <w:tc>
          <w:tcPr>
            <w:tcW w:w="908"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5ACFD9FD" w14:textId="77777777" w:rsidR="00981A04" w:rsidRDefault="00981A04" w:rsidP="00981A04">
            <w:pPr>
              <w:keepLines/>
              <w:spacing w:line="240" w:lineRule="auto"/>
              <w:jc w:val="center"/>
              <w:rPr>
                <w:szCs w:val="18"/>
              </w:rPr>
            </w:pPr>
            <w:r>
              <w:rPr>
                <w:szCs w:val="18"/>
              </w:rPr>
              <w:t>11</w:t>
            </w:r>
          </w:p>
        </w:tc>
        <w:tc>
          <w:tcPr>
            <w:tcW w:w="953" w:type="dxa"/>
            <w:tcBorders>
              <w:top w:val="single" w:sz="8" w:space="0" w:color="FFFFFF"/>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72EA9719" w14:textId="2021AE0B" w:rsidR="00981A04" w:rsidRDefault="00981A04" w:rsidP="00981A04">
            <w:pPr>
              <w:keepLines/>
              <w:spacing w:line="240" w:lineRule="auto"/>
              <w:jc w:val="center"/>
              <w:rPr>
                <w:szCs w:val="18"/>
              </w:rPr>
            </w:pPr>
            <w:r>
              <w:rPr>
                <w:szCs w:val="18"/>
              </w:rPr>
              <w:t>17.17</w:t>
            </w:r>
          </w:p>
        </w:tc>
        <w:tc>
          <w:tcPr>
            <w:tcW w:w="1147"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2CB39245" w14:textId="77777777" w:rsidR="00981A04" w:rsidRDefault="00981A04" w:rsidP="00981A04">
            <w:pPr>
              <w:widowControl w:val="0"/>
              <w:spacing w:line="240" w:lineRule="auto"/>
              <w:jc w:val="center"/>
            </w:pPr>
          </w:p>
        </w:tc>
        <w:tc>
          <w:tcPr>
            <w:tcW w:w="1013" w:type="dxa"/>
            <w:vMerge/>
            <w:tcBorders>
              <w:left w:val="single" w:sz="8" w:space="0" w:color="FFFFFF"/>
              <w:bottom w:val="single" w:sz="4" w:space="0" w:color="70AD47"/>
              <w:right w:val="single" w:sz="8" w:space="0" w:color="FFFFFF"/>
            </w:tcBorders>
            <w:shd w:val="clear" w:color="auto" w:fill="auto"/>
            <w:tcMar>
              <w:top w:w="0" w:type="dxa"/>
              <w:left w:w="0" w:type="dxa"/>
              <w:bottom w:w="0" w:type="dxa"/>
              <w:right w:w="0" w:type="dxa"/>
            </w:tcMar>
            <w:vAlign w:val="center"/>
          </w:tcPr>
          <w:p w14:paraId="7FFF2207" w14:textId="77777777" w:rsidR="00981A04" w:rsidRDefault="00981A04" w:rsidP="00981A04">
            <w:pPr>
              <w:widowControl w:val="0"/>
              <w:spacing w:line="240" w:lineRule="auto"/>
              <w:jc w:val="center"/>
            </w:pPr>
          </w:p>
        </w:tc>
      </w:tr>
      <w:tr w:rsidR="00981A04" w14:paraId="477E5A64" w14:textId="77777777" w:rsidTr="00B13162">
        <w:trPr>
          <w:trHeight w:val="353"/>
        </w:trPr>
        <w:tc>
          <w:tcPr>
            <w:tcW w:w="1236"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3B7DC17B" w14:textId="77777777" w:rsidR="00981A04" w:rsidRDefault="00981A04" w:rsidP="00981A04">
            <w:pPr>
              <w:keepLines/>
              <w:spacing w:line="240" w:lineRule="auto"/>
              <w:jc w:val="center"/>
              <w:rPr>
                <w:szCs w:val="18"/>
              </w:rPr>
            </w:pPr>
            <w:r>
              <w:rPr>
                <w:b/>
                <w:szCs w:val="18"/>
              </w:rPr>
              <w:t>O</w:t>
            </w:r>
            <w:r>
              <w:rPr>
                <w:b/>
                <w:szCs w:val="18"/>
                <w:vertAlign w:val="subscript"/>
              </w:rPr>
              <w:t>3</w:t>
            </w:r>
          </w:p>
        </w:tc>
        <w:tc>
          <w:tcPr>
            <w:tcW w:w="1157"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62745EA1" w14:textId="781915AD" w:rsidR="00981A04" w:rsidRDefault="00981A04" w:rsidP="00981A04">
            <w:pPr>
              <w:keepLines/>
              <w:spacing w:line="240" w:lineRule="auto"/>
              <w:jc w:val="center"/>
              <w:rPr>
                <w:szCs w:val="18"/>
              </w:rPr>
            </w:pPr>
            <w:r>
              <w:rPr>
                <w:szCs w:val="18"/>
              </w:rPr>
              <w:t>June</w:t>
            </w:r>
          </w:p>
        </w:tc>
        <w:tc>
          <w:tcPr>
            <w:tcW w:w="98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255F2340" w14:textId="77777777" w:rsidR="00981A04" w:rsidRDefault="00981A04" w:rsidP="00981A04">
            <w:pPr>
              <w:keepLines/>
              <w:spacing w:line="240" w:lineRule="auto"/>
              <w:jc w:val="center"/>
              <w:rPr>
                <w:szCs w:val="18"/>
              </w:rPr>
            </w:pPr>
            <w:r>
              <w:rPr>
                <w:szCs w:val="18"/>
              </w:rPr>
              <w:t>21</w:t>
            </w:r>
          </w:p>
        </w:tc>
        <w:tc>
          <w:tcPr>
            <w:tcW w:w="1325"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4DD82325" w14:textId="198A3038" w:rsidR="00981A04" w:rsidRDefault="00981A04" w:rsidP="00981A04">
            <w:pPr>
              <w:keepLines/>
              <w:spacing w:line="240" w:lineRule="auto"/>
              <w:jc w:val="center"/>
              <w:rPr>
                <w:szCs w:val="18"/>
              </w:rPr>
            </w:pPr>
            <w:r>
              <w:rPr>
                <w:szCs w:val="18"/>
              </w:rPr>
              <w:t>31.78</w:t>
            </w:r>
          </w:p>
        </w:tc>
        <w:tc>
          <w:tcPr>
            <w:tcW w:w="908"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7C9148F" w14:textId="77777777" w:rsidR="00981A04" w:rsidRDefault="00981A04" w:rsidP="00981A04">
            <w:pPr>
              <w:keepLines/>
              <w:spacing w:line="240" w:lineRule="auto"/>
              <w:jc w:val="center"/>
              <w:rPr>
                <w:szCs w:val="18"/>
              </w:rPr>
            </w:pPr>
            <w:r>
              <w:rPr>
                <w:szCs w:val="18"/>
              </w:rPr>
              <w:t>2</w:t>
            </w:r>
          </w:p>
        </w:tc>
        <w:tc>
          <w:tcPr>
            <w:tcW w:w="953" w:type="dxa"/>
            <w:tcBorders>
              <w:top w:val="single" w:sz="4" w:space="0" w:color="70AD47"/>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826B525" w14:textId="3275E16F" w:rsidR="00981A04" w:rsidRDefault="00981A04" w:rsidP="00981A04">
            <w:pPr>
              <w:keepLines/>
              <w:spacing w:line="240" w:lineRule="auto"/>
              <w:jc w:val="center"/>
              <w:rPr>
                <w:szCs w:val="18"/>
              </w:rPr>
            </w:pPr>
            <w:r>
              <w:rPr>
                <w:szCs w:val="18"/>
              </w:rPr>
              <w:t>8.37</w:t>
            </w:r>
          </w:p>
        </w:tc>
        <w:tc>
          <w:tcPr>
            <w:tcW w:w="1147"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26D9A412" w14:textId="77777777" w:rsidR="00981A04" w:rsidRDefault="00981A04" w:rsidP="00981A04">
            <w:pPr>
              <w:keepLines/>
              <w:spacing w:line="240" w:lineRule="auto"/>
              <w:jc w:val="center"/>
              <w:rPr>
                <w:szCs w:val="18"/>
              </w:rPr>
            </w:pPr>
            <w:r>
              <w:rPr>
                <w:szCs w:val="18"/>
              </w:rPr>
              <w:t>&lt; 100</w:t>
            </w:r>
          </w:p>
        </w:tc>
        <w:tc>
          <w:tcPr>
            <w:tcW w:w="1013" w:type="dxa"/>
            <w:vMerge w:val="restart"/>
            <w:tcBorders>
              <w:top w:val="single" w:sz="4" w:space="0" w:color="70AD47"/>
              <w:left w:val="single" w:sz="8" w:space="0" w:color="FFFFFF"/>
              <w:right w:val="single" w:sz="8" w:space="0" w:color="FFFFFF"/>
            </w:tcBorders>
            <w:shd w:val="clear" w:color="auto" w:fill="auto"/>
            <w:tcMar>
              <w:top w:w="0" w:type="dxa"/>
              <w:left w:w="0" w:type="dxa"/>
              <w:bottom w:w="0" w:type="dxa"/>
              <w:right w:w="0" w:type="dxa"/>
            </w:tcMar>
            <w:vAlign w:val="center"/>
          </w:tcPr>
          <w:p w14:paraId="0678003D" w14:textId="77777777" w:rsidR="00981A04" w:rsidRDefault="00981A04" w:rsidP="00981A04">
            <w:pPr>
              <w:keepLines/>
              <w:spacing w:line="240" w:lineRule="auto"/>
              <w:jc w:val="center"/>
              <w:rPr>
                <w:szCs w:val="18"/>
              </w:rPr>
            </w:pPr>
            <w:r>
              <w:rPr>
                <w:szCs w:val="18"/>
              </w:rPr>
              <w:t>0 - 60</w:t>
            </w:r>
          </w:p>
          <w:p w14:paraId="5D7E0B24" w14:textId="40BC60E4" w:rsidR="00981A04" w:rsidRDefault="00981A04" w:rsidP="00981A04">
            <w:pPr>
              <w:keepLines/>
              <w:spacing w:line="240" w:lineRule="auto"/>
              <w:jc w:val="center"/>
              <w:rPr>
                <w:szCs w:val="18"/>
              </w:rPr>
            </w:pPr>
            <w:r>
              <w:rPr>
                <w:szCs w:val="18"/>
              </w:rPr>
              <w:t>(Good)</w:t>
            </w:r>
          </w:p>
        </w:tc>
      </w:tr>
      <w:tr w:rsidR="00981A04" w14:paraId="206906F9" w14:textId="77777777" w:rsidTr="00B13162">
        <w:trPr>
          <w:trHeight w:val="499"/>
        </w:trPr>
        <w:tc>
          <w:tcPr>
            <w:tcW w:w="1236"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555E80E6" w14:textId="77777777" w:rsidR="00981A04" w:rsidRDefault="00981A04" w:rsidP="00981A04">
            <w:pPr>
              <w:widowControl w:val="0"/>
              <w:spacing w:line="240" w:lineRule="auto"/>
              <w:jc w:val="center"/>
            </w:pPr>
          </w:p>
        </w:tc>
        <w:tc>
          <w:tcPr>
            <w:tcW w:w="1157"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2583D7D7" w14:textId="5513F51B" w:rsidR="00981A04" w:rsidRDefault="00981A04" w:rsidP="00981A04">
            <w:pPr>
              <w:widowControl w:val="0"/>
              <w:spacing w:line="240" w:lineRule="auto"/>
              <w:jc w:val="center"/>
              <w:rPr>
                <w:szCs w:val="18"/>
              </w:rPr>
            </w:pPr>
            <w:r>
              <w:rPr>
                <w:szCs w:val="18"/>
              </w:rPr>
              <w:t>September</w:t>
            </w:r>
          </w:p>
        </w:tc>
        <w:tc>
          <w:tcPr>
            <w:tcW w:w="988"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4DFC163E" w14:textId="77777777" w:rsidR="00981A04" w:rsidRDefault="00981A04" w:rsidP="00981A04">
            <w:pPr>
              <w:widowControl w:val="0"/>
              <w:spacing w:line="240" w:lineRule="auto"/>
              <w:jc w:val="center"/>
              <w:rPr>
                <w:szCs w:val="18"/>
              </w:rPr>
            </w:pPr>
            <w:r>
              <w:rPr>
                <w:szCs w:val="18"/>
              </w:rPr>
              <w:t>19</w:t>
            </w:r>
          </w:p>
        </w:tc>
        <w:tc>
          <w:tcPr>
            <w:tcW w:w="1325"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5AEE18C5" w14:textId="51331B41" w:rsidR="00981A04" w:rsidRDefault="00981A04" w:rsidP="00981A04">
            <w:pPr>
              <w:widowControl w:val="0"/>
              <w:spacing w:line="240" w:lineRule="auto"/>
              <w:jc w:val="center"/>
              <w:rPr>
                <w:szCs w:val="18"/>
              </w:rPr>
            </w:pPr>
            <w:r>
              <w:rPr>
                <w:szCs w:val="18"/>
              </w:rPr>
              <w:t>19.13</w:t>
            </w:r>
          </w:p>
        </w:tc>
        <w:tc>
          <w:tcPr>
            <w:tcW w:w="908"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7B392C02" w14:textId="77777777" w:rsidR="00981A04" w:rsidRDefault="00981A04" w:rsidP="00981A04">
            <w:pPr>
              <w:widowControl w:val="0"/>
              <w:spacing w:line="240" w:lineRule="auto"/>
              <w:jc w:val="center"/>
              <w:rPr>
                <w:szCs w:val="18"/>
              </w:rPr>
            </w:pPr>
            <w:r>
              <w:rPr>
                <w:szCs w:val="18"/>
              </w:rPr>
              <w:t>1</w:t>
            </w:r>
          </w:p>
        </w:tc>
        <w:tc>
          <w:tcPr>
            <w:tcW w:w="953" w:type="dxa"/>
            <w:tcBorders>
              <w:top w:val="single" w:sz="8" w:space="0" w:color="FFFFFF"/>
              <w:left w:val="single" w:sz="8" w:space="0" w:color="FFFFFF"/>
              <w:bottom w:val="single" w:sz="12" w:space="0" w:color="70AD47"/>
              <w:right w:val="single" w:sz="8" w:space="0" w:color="FFFFFF"/>
            </w:tcBorders>
            <w:shd w:val="clear" w:color="auto" w:fill="auto"/>
            <w:tcMar>
              <w:top w:w="100" w:type="dxa"/>
              <w:left w:w="100" w:type="dxa"/>
              <w:bottom w:w="100" w:type="dxa"/>
              <w:right w:w="100" w:type="dxa"/>
            </w:tcMar>
            <w:vAlign w:val="center"/>
          </w:tcPr>
          <w:p w14:paraId="5B5A3EE3" w14:textId="45F483AE" w:rsidR="00981A04" w:rsidRDefault="00981A04" w:rsidP="00981A04">
            <w:pPr>
              <w:widowControl w:val="0"/>
              <w:spacing w:line="240" w:lineRule="auto"/>
              <w:jc w:val="center"/>
              <w:rPr>
                <w:szCs w:val="18"/>
              </w:rPr>
            </w:pPr>
            <w:r>
              <w:rPr>
                <w:szCs w:val="18"/>
              </w:rPr>
              <w:t>3.92</w:t>
            </w:r>
          </w:p>
        </w:tc>
        <w:tc>
          <w:tcPr>
            <w:tcW w:w="1147"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302B758A" w14:textId="77777777" w:rsidR="00981A04" w:rsidRDefault="00981A04" w:rsidP="00981A04">
            <w:pPr>
              <w:widowControl w:val="0"/>
              <w:spacing w:line="240" w:lineRule="auto"/>
              <w:jc w:val="center"/>
            </w:pPr>
          </w:p>
        </w:tc>
        <w:tc>
          <w:tcPr>
            <w:tcW w:w="1013" w:type="dxa"/>
            <w:vMerge/>
            <w:tcBorders>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0E48F844" w14:textId="77777777" w:rsidR="00981A04" w:rsidRDefault="00981A04" w:rsidP="00981A04">
            <w:pPr>
              <w:widowControl w:val="0"/>
              <w:spacing w:line="240" w:lineRule="auto"/>
              <w:jc w:val="center"/>
            </w:pPr>
          </w:p>
        </w:tc>
      </w:tr>
    </w:tbl>
    <w:p w14:paraId="1FDE59BA" w14:textId="25843F60" w:rsidR="00A324A3" w:rsidRPr="00A324A3" w:rsidRDefault="00A324A3" w:rsidP="00A324A3">
      <w:pPr>
        <w:pStyle w:val="CETHeading1"/>
        <w:tabs>
          <w:tab w:val="right" w:pos="7100"/>
        </w:tabs>
        <w:spacing w:before="0"/>
        <w:jc w:val="both"/>
        <w:rPr>
          <w:b w:val="0"/>
          <w:sz w:val="18"/>
          <w:szCs w:val="18"/>
        </w:rPr>
      </w:pPr>
      <w:r w:rsidRPr="00A324A3">
        <w:rPr>
          <w:b w:val="0"/>
          <w:sz w:val="18"/>
          <w:szCs w:val="18"/>
        </w:rPr>
        <w:t>*SO</w:t>
      </w:r>
      <w:r w:rsidRPr="0091690C">
        <w:rPr>
          <w:b w:val="0"/>
          <w:sz w:val="18"/>
          <w:szCs w:val="18"/>
          <w:vertAlign w:val="subscript"/>
        </w:rPr>
        <w:t xml:space="preserve">2 </w:t>
      </w:r>
      <w:r w:rsidRPr="00A324A3">
        <w:rPr>
          <w:b w:val="0"/>
          <w:sz w:val="18"/>
          <w:szCs w:val="18"/>
        </w:rPr>
        <w:t>does not have sufficient data for the analysis due to the maintenance of the SJL station</w:t>
      </w:r>
    </w:p>
    <w:p w14:paraId="5F2D38A3" w14:textId="53C2ED79" w:rsidR="00296279" w:rsidRPr="007F5A94" w:rsidRDefault="00296279" w:rsidP="00C14646">
      <w:pPr>
        <w:pStyle w:val="CETHeading1"/>
        <w:tabs>
          <w:tab w:val="right" w:pos="7100"/>
        </w:tabs>
        <w:jc w:val="both"/>
        <w:rPr>
          <w:sz w:val="18"/>
          <w:szCs w:val="18"/>
          <w:lang w:val="en-GB"/>
        </w:rPr>
      </w:pPr>
      <w:r w:rsidRPr="007F5A94">
        <w:rPr>
          <w:sz w:val="18"/>
          <w:szCs w:val="18"/>
          <w:lang w:val="en-GB"/>
        </w:rPr>
        <w:t>3.4 Statistical analysis</w:t>
      </w:r>
    </w:p>
    <w:p w14:paraId="02DC7B02" w14:textId="579247D3" w:rsidR="00296279" w:rsidRDefault="00296279" w:rsidP="00296279">
      <w:pPr>
        <w:pStyle w:val="CETBodytext"/>
        <w:rPr>
          <w:lang w:val="en-GB"/>
        </w:rPr>
      </w:pPr>
      <w:r w:rsidRPr="00296279">
        <w:rPr>
          <w:lang w:val="en-GB"/>
        </w:rPr>
        <w:t>Table 4 shows the results of the Kolmogorov-Smirnov normality test for each contaminant.</w:t>
      </w:r>
    </w:p>
    <w:p w14:paraId="21DA55C7" w14:textId="0E2CFD47" w:rsidR="00296279" w:rsidRDefault="00296279" w:rsidP="00296279">
      <w:pPr>
        <w:pStyle w:val="CETTabletitle"/>
        <w:rPr>
          <w:lang w:val="en-US"/>
        </w:rPr>
      </w:pPr>
      <w:r w:rsidRPr="001B26CB">
        <w:rPr>
          <w:lang w:val="en-US"/>
        </w:rPr>
        <w:t>T</w:t>
      </w:r>
      <w:r>
        <w:rPr>
          <w:lang w:val="en-US"/>
        </w:rPr>
        <w:t>able 4</w:t>
      </w:r>
      <w:r w:rsidRPr="001B26CB">
        <w:rPr>
          <w:lang w:val="en-US"/>
        </w:rPr>
        <w:t xml:space="preserve">: </w:t>
      </w:r>
      <w:r w:rsidRPr="00296279">
        <w:rPr>
          <w:lang w:val="en-US"/>
        </w:rPr>
        <w:t>Kolmogórov-Smirnov normality test</w:t>
      </w:r>
    </w:p>
    <w:tbl>
      <w:tblPr>
        <w:tblW w:w="6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3"/>
        <w:gridCol w:w="2639"/>
        <w:gridCol w:w="2199"/>
      </w:tblGrid>
      <w:tr w:rsidR="00296279" w14:paraId="1394E02B" w14:textId="77777777" w:rsidTr="009E4859">
        <w:trPr>
          <w:trHeight w:val="622"/>
        </w:trPr>
        <w:tc>
          <w:tcPr>
            <w:tcW w:w="1613" w:type="dxa"/>
            <w:tcBorders>
              <w:top w:val="single" w:sz="12" w:space="0" w:color="70AD47"/>
              <w:left w:val="nil"/>
              <w:bottom w:val="single" w:sz="12" w:space="0" w:color="70AD47"/>
              <w:right w:val="nil"/>
            </w:tcBorders>
            <w:tcMar>
              <w:top w:w="0" w:type="dxa"/>
              <w:left w:w="0" w:type="dxa"/>
              <w:bottom w:w="0" w:type="dxa"/>
              <w:right w:w="0" w:type="dxa"/>
            </w:tcMar>
            <w:vAlign w:val="center"/>
          </w:tcPr>
          <w:p w14:paraId="2031C3D9" w14:textId="77777777" w:rsidR="00296279" w:rsidRDefault="00296279" w:rsidP="00750242">
            <w:pPr>
              <w:keepLines/>
              <w:spacing w:line="240" w:lineRule="auto"/>
              <w:jc w:val="center"/>
              <w:rPr>
                <w:b/>
                <w:szCs w:val="18"/>
              </w:rPr>
            </w:pPr>
            <w:r>
              <w:rPr>
                <w:b/>
                <w:szCs w:val="18"/>
              </w:rPr>
              <w:t>Pollutants</w:t>
            </w:r>
          </w:p>
        </w:tc>
        <w:tc>
          <w:tcPr>
            <w:tcW w:w="2639" w:type="dxa"/>
            <w:tcBorders>
              <w:top w:val="single" w:sz="12" w:space="0" w:color="70AD47"/>
              <w:left w:val="nil"/>
              <w:bottom w:val="single" w:sz="12" w:space="0" w:color="70AD47"/>
              <w:right w:val="nil"/>
            </w:tcBorders>
            <w:tcMar>
              <w:top w:w="0" w:type="dxa"/>
              <w:left w:w="0" w:type="dxa"/>
              <w:bottom w:w="0" w:type="dxa"/>
              <w:right w:w="0" w:type="dxa"/>
            </w:tcMar>
            <w:vAlign w:val="center"/>
          </w:tcPr>
          <w:p w14:paraId="3033287C" w14:textId="77777777" w:rsidR="00296279" w:rsidRPr="00D23F03" w:rsidRDefault="00296279" w:rsidP="00750242">
            <w:pPr>
              <w:keepLines/>
              <w:spacing w:line="240" w:lineRule="auto"/>
              <w:jc w:val="center"/>
              <w:rPr>
                <w:b/>
                <w:sz w:val="4"/>
                <w:szCs w:val="4"/>
                <w:lang w:val="en-US"/>
              </w:rPr>
            </w:pPr>
            <w:r w:rsidRPr="00D23F03">
              <w:rPr>
                <w:b/>
                <w:szCs w:val="18"/>
                <w:lang w:val="en-US"/>
              </w:rPr>
              <w:t>Influence of social confinement by COVID-19</w:t>
            </w:r>
          </w:p>
        </w:tc>
        <w:tc>
          <w:tcPr>
            <w:tcW w:w="2199" w:type="dxa"/>
            <w:tcBorders>
              <w:top w:val="single" w:sz="12" w:space="0" w:color="70AD47"/>
              <w:left w:val="nil"/>
              <w:bottom w:val="single" w:sz="12" w:space="0" w:color="70AD47"/>
              <w:right w:val="nil"/>
            </w:tcBorders>
            <w:tcMar>
              <w:top w:w="0" w:type="dxa"/>
              <w:left w:w="0" w:type="dxa"/>
              <w:bottom w:w="0" w:type="dxa"/>
              <w:right w:w="0" w:type="dxa"/>
            </w:tcMar>
            <w:vAlign w:val="center"/>
          </w:tcPr>
          <w:p w14:paraId="35A4EFEB" w14:textId="77777777" w:rsidR="00296279" w:rsidRDefault="00296279" w:rsidP="00750242">
            <w:pPr>
              <w:keepLines/>
              <w:spacing w:line="240" w:lineRule="auto"/>
              <w:jc w:val="center"/>
              <w:rPr>
                <w:b/>
                <w:szCs w:val="18"/>
              </w:rPr>
            </w:pPr>
            <w:r>
              <w:rPr>
                <w:b/>
                <w:szCs w:val="18"/>
              </w:rPr>
              <w:t>Significance</w:t>
            </w:r>
          </w:p>
        </w:tc>
      </w:tr>
      <w:tr w:rsidR="00750242" w14:paraId="1BE709ED" w14:textId="77777777" w:rsidTr="00C34AB1">
        <w:trPr>
          <w:trHeight w:val="105"/>
        </w:trPr>
        <w:tc>
          <w:tcPr>
            <w:tcW w:w="1613" w:type="dxa"/>
            <w:vMerge w:val="restart"/>
            <w:tcBorders>
              <w:top w:val="single" w:sz="4" w:space="0" w:color="70AD47"/>
              <w:left w:val="single" w:sz="8" w:space="0" w:color="FFFFFF"/>
              <w:bottom w:val="single" w:sz="12" w:space="0" w:color="70AD47"/>
              <w:right w:val="nil"/>
            </w:tcBorders>
            <w:shd w:val="clear" w:color="auto" w:fill="auto"/>
            <w:tcMar>
              <w:top w:w="0" w:type="dxa"/>
              <w:left w:w="0" w:type="dxa"/>
              <w:bottom w:w="0" w:type="dxa"/>
              <w:right w:w="0" w:type="dxa"/>
            </w:tcMar>
            <w:vAlign w:val="center"/>
          </w:tcPr>
          <w:p w14:paraId="49EF4BCB" w14:textId="70C54F32" w:rsidR="00750242" w:rsidRDefault="00750242" w:rsidP="00750242">
            <w:pPr>
              <w:keepLines/>
              <w:spacing w:line="240" w:lineRule="auto"/>
              <w:jc w:val="center"/>
              <w:rPr>
                <w:b/>
                <w:szCs w:val="18"/>
              </w:rPr>
            </w:pPr>
            <w:r>
              <w:rPr>
                <w:b/>
                <w:szCs w:val="18"/>
              </w:rPr>
              <w:t>PM2.5</w:t>
            </w:r>
          </w:p>
        </w:tc>
        <w:tc>
          <w:tcPr>
            <w:tcW w:w="2639" w:type="dxa"/>
            <w:tcBorders>
              <w:top w:val="single" w:sz="4" w:space="0" w:color="70AD47"/>
              <w:left w:val="nil"/>
              <w:bottom w:val="nil"/>
              <w:right w:val="nil"/>
            </w:tcBorders>
            <w:shd w:val="clear" w:color="auto" w:fill="auto"/>
            <w:tcMar>
              <w:top w:w="0" w:type="dxa"/>
              <w:left w:w="0" w:type="dxa"/>
              <w:bottom w:w="0" w:type="dxa"/>
              <w:right w:w="0" w:type="dxa"/>
            </w:tcMar>
            <w:vAlign w:val="center"/>
          </w:tcPr>
          <w:p w14:paraId="7C3B78BE" w14:textId="0E08342C" w:rsidR="00750242" w:rsidRDefault="00750242" w:rsidP="00750242">
            <w:pPr>
              <w:keepLines/>
              <w:spacing w:line="240" w:lineRule="auto"/>
              <w:jc w:val="center"/>
              <w:rPr>
                <w:szCs w:val="18"/>
              </w:rPr>
            </w:pPr>
            <w:r>
              <w:rPr>
                <w:szCs w:val="18"/>
              </w:rPr>
              <w:t>Before</w:t>
            </w:r>
          </w:p>
        </w:tc>
        <w:tc>
          <w:tcPr>
            <w:tcW w:w="2199" w:type="dxa"/>
            <w:tcBorders>
              <w:top w:val="single" w:sz="4" w:space="0" w:color="70AD47"/>
              <w:left w:val="nil"/>
              <w:bottom w:val="nil"/>
              <w:right w:val="single" w:sz="8" w:space="0" w:color="FFFFFF"/>
            </w:tcBorders>
            <w:shd w:val="clear" w:color="auto" w:fill="auto"/>
            <w:tcMar>
              <w:top w:w="0" w:type="dxa"/>
              <w:left w:w="0" w:type="dxa"/>
              <w:bottom w:w="0" w:type="dxa"/>
              <w:right w:w="0" w:type="dxa"/>
            </w:tcMar>
            <w:vAlign w:val="center"/>
          </w:tcPr>
          <w:p w14:paraId="1094149A" w14:textId="58A8BFF3" w:rsidR="00750242" w:rsidRDefault="00750242" w:rsidP="00750242">
            <w:pPr>
              <w:keepLines/>
              <w:spacing w:line="240" w:lineRule="auto"/>
              <w:jc w:val="center"/>
              <w:rPr>
                <w:szCs w:val="18"/>
              </w:rPr>
            </w:pPr>
            <w:r>
              <w:rPr>
                <w:szCs w:val="18"/>
              </w:rPr>
              <w:t>0.200</w:t>
            </w:r>
          </w:p>
        </w:tc>
      </w:tr>
      <w:tr w:rsidR="00296279" w14:paraId="4C11C966" w14:textId="77777777" w:rsidTr="00C34AB1">
        <w:trPr>
          <w:trHeight w:val="105"/>
        </w:trPr>
        <w:tc>
          <w:tcPr>
            <w:tcW w:w="1613" w:type="dxa"/>
            <w:vMerge/>
            <w:tcBorders>
              <w:top w:val="single" w:sz="4" w:space="0" w:color="70AD47"/>
              <w:left w:val="single" w:sz="8" w:space="0" w:color="FFFFFF"/>
              <w:bottom w:val="single" w:sz="12" w:space="0" w:color="70AD47"/>
              <w:right w:val="nil"/>
            </w:tcBorders>
            <w:shd w:val="clear" w:color="auto" w:fill="auto"/>
            <w:tcMar>
              <w:top w:w="0" w:type="dxa"/>
              <w:left w:w="0" w:type="dxa"/>
              <w:bottom w:w="0" w:type="dxa"/>
              <w:right w:w="0" w:type="dxa"/>
            </w:tcMar>
            <w:vAlign w:val="center"/>
          </w:tcPr>
          <w:p w14:paraId="186788BE" w14:textId="77777777" w:rsidR="00296279" w:rsidRDefault="00296279" w:rsidP="00750242">
            <w:pPr>
              <w:keepLines/>
              <w:spacing w:line="240" w:lineRule="auto"/>
              <w:jc w:val="center"/>
              <w:rPr>
                <w:b/>
                <w:szCs w:val="18"/>
              </w:rPr>
            </w:pPr>
          </w:p>
        </w:tc>
        <w:tc>
          <w:tcPr>
            <w:tcW w:w="2639" w:type="dxa"/>
            <w:tcBorders>
              <w:top w:val="nil"/>
              <w:left w:val="nil"/>
              <w:bottom w:val="nil"/>
              <w:right w:val="nil"/>
            </w:tcBorders>
            <w:shd w:val="clear" w:color="auto" w:fill="auto"/>
            <w:tcMar>
              <w:top w:w="0" w:type="dxa"/>
              <w:left w:w="0" w:type="dxa"/>
              <w:bottom w:w="0" w:type="dxa"/>
              <w:right w:w="0" w:type="dxa"/>
            </w:tcMar>
            <w:vAlign w:val="center"/>
          </w:tcPr>
          <w:p w14:paraId="56F5A38F" w14:textId="67BAAF7B" w:rsidR="00296279" w:rsidRDefault="00296279" w:rsidP="00750242">
            <w:pPr>
              <w:keepLines/>
              <w:spacing w:line="240" w:lineRule="auto"/>
              <w:jc w:val="center"/>
              <w:rPr>
                <w:szCs w:val="18"/>
              </w:rPr>
            </w:pPr>
            <w:r>
              <w:rPr>
                <w:szCs w:val="18"/>
              </w:rPr>
              <w:t>During</w:t>
            </w:r>
          </w:p>
        </w:tc>
        <w:tc>
          <w:tcPr>
            <w:tcW w:w="2199" w:type="dxa"/>
            <w:tcBorders>
              <w:top w:val="nil"/>
              <w:left w:val="nil"/>
              <w:bottom w:val="nil"/>
              <w:right w:val="single" w:sz="8" w:space="0" w:color="FFFFFF"/>
            </w:tcBorders>
            <w:shd w:val="clear" w:color="auto" w:fill="auto"/>
            <w:tcMar>
              <w:top w:w="0" w:type="dxa"/>
              <w:left w:w="0" w:type="dxa"/>
              <w:bottom w:w="0" w:type="dxa"/>
              <w:right w:w="0" w:type="dxa"/>
            </w:tcMar>
            <w:vAlign w:val="center"/>
          </w:tcPr>
          <w:p w14:paraId="28908A2E" w14:textId="5338A72A" w:rsidR="00296279" w:rsidRDefault="00750242" w:rsidP="00750242">
            <w:pPr>
              <w:keepLines/>
              <w:spacing w:line="240" w:lineRule="auto"/>
              <w:jc w:val="center"/>
              <w:rPr>
                <w:b/>
                <w:szCs w:val="18"/>
              </w:rPr>
            </w:pPr>
            <w:r>
              <w:rPr>
                <w:szCs w:val="18"/>
              </w:rPr>
              <w:t>0.</w:t>
            </w:r>
            <w:r w:rsidR="00296279">
              <w:rPr>
                <w:szCs w:val="18"/>
              </w:rPr>
              <w:t>200</w:t>
            </w:r>
          </w:p>
        </w:tc>
      </w:tr>
      <w:tr w:rsidR="00296279" w14:paraId="7C4167DD" w14:textId="77777777" w:rsidTr="00C34AB1">
        <w:trPr>
          <w:trHeight w:val="153"/>
        </w:trPr>
        <w:tc>
          <w:tcPr>
            <w:tcW w:w="1613" w:type="dxa"/>
            <w:vMerge/>
            <w:tcBorders>
              <w:top w:val="single" w:sz="4" w:space="0" w:color="70AD47"/>
              <w:left w:val="single" w:sz="8" w:space="0" w:color="FFFFFF"/>
              <w:bottom w:val="single" w:sz="4" w:space="0" w:color="70AD47"/>
              <w:right w:val="nil"/>
            </w:tcBorders>
            <w:shd w:val="clear" w:color="auto" w:fill="auto"/>
            <w:tcMar>
              <w:top w:w="0" w:type="dxa"/>
              <w:left w:w="0" w:type="dxa"/>
              <w:bottom w:w="0" w:type="dxa"/>
              <w:right w:w="0" w:type="dxa"/>
            </w:tcMar>
            <w:vAlign w:val="center"/>
          </w:tcPr>
          <w:p w14:paraId="61681ADB" w14:textId="77777777" w:rsidR="00296279" w:rsidRDefault="00296279" w:rsidP="00750242">
            <w:pPr>
              <w:keepLines/>
              <w:spacing w:line="240" w:lineRule="auto"/>
              <w:jc w:val="center"/>
              <w:rPr>
                <w:b/>
                <w:szCs w:val="18"/>
              </w:rPr>
            </w:pPr>
          </w:p>
        </w:tc>
        <w:tc>
          <w:tcPr>
            <w:tcW w:w="2639" w:type="dxa"/>
            <w:tcBorders>
              <w:top w:val="nil"/>
              <w:left w:val="nil"/>
              <w:bottom w:val="single" w:sz="4" w:space="0" w:color="70AD47"/>
              <w:right w:val="nil"/>
            </w:tcBorders>
            <w:shd w:val="clear" w:color="auto" w:fill="auto"/>
            <w:tcMar>
              <w:top w:w="0" w:type="dxa"/>
              <w:left w:w="0" w:type="dxa"/>
              <w:bottom w:w="0" w:type="dxa"/>
              <w:right w:w="0" w:type="dxa"/>
            </w:tcMar>
            <w:vAlign w:val="center"/>
          </w:tcPr>
          <w:p w14:paraId="71DB245D" w14:textId="5965AD19" w:rsidR="00296279" w:rsidRDefault="00750242" w:rsidP="00750242">
            <w:pPr>
              <w:keepLines/>
              <w:spacing w:line="240" w:lineRule="auto"/>
              <w:jc w:val="center"/>
              <w:rPr>
                <w:szCs w:val="18"/>
              </w:rPr>
            </w:pPr>
            <w:r>
              <w:rPr>
                <w:szCs w:val="18"/>
              </w:rPr>
              <w:t>After</w:t>
            </w:r>
          </w:p>
        </w:tc>
        <w:tc>
          <w:tcPr>
            <w:tcW w:w="2199" w:type="dxa"/>
            <w:tcBorders>
              <w:top w:val="nil"/>
              <w:left w:val="nil"/>
              <w:bottom w:val="single" w:sz="4" w:space="0" w:color="70AD47"/>
              <w:right w:val="single" w:sz="8" w:space="0" w:color="FFFFFF"/>
            </w:tcBorders>
            <w:shd w:val="clear" w:color="auto" w:fill="auto"/>
            <w:tcMar>
              <w:top w:w="0" w:type="dxa"/>
              <w:left w:w="0" w:type="dxa"/>
              <w:bottom w:w="0" w:type="dxa"/>
              <w:right w:w="0" w:type="dxa"/>
            </w:tcMar>
            <w:vAlign w:val="center"/>
          </w:tcPr>
          <w:p w14:paraId="7F0EF7B2" w14:textId="28E560C4" w:rsidR="00296279" w:rsidRDefault="00750242" w:rsidP="00750242">
            <w:pPr>
              <w:keepLines/>
              <w:spacing w:line="240" w:lineRule="auto"/>
              <w:jc w:val="center"/>
              <w:rPr>
                <w:b/>
                <w:szCs w:val="18"/>
              </w:rPr>
            </w:pPr>
            <w:r>
              <w:rPr>
                <w:szCs w:val="18"/>
              </w:rPr>
              <w:t>0.</w:t>
            </w:r>
            <w:r w:rsidR="00296279">
              <w:rPr>
                <w:szCs w:val="18"/>
              </w:rPr>
              <w:t>200</w:t>
            </w:r>
          </w:p>
        </w:tc>
      </w:tr>
      <w:tr w:rsidR="00296279" w14:paraId="0EDA06E8" w14:textId="77777777" w:rsidTr="00C34AB1">
        <w:trPr>
          <w:trHeight w:val="272"/>
        </w:trPr>
        <w:tc>
          <w:tcPr>
            <w:tcW w:w="1613" w:type="dxa"/>
            <w:vMerge w:val="restart"/>
            <w:tcBorders>
              <w:top w:val="single" w:sz="4" w:space="0" w:color="70AD47"/>
              <w:left w:val="single" w:sz="8" w:space="0" w:color="FFFFFF"/>
              <w:bottom w:val="single" w:sz="4" w:space="0" w:color="70AD47"/>
              <w:right w:val="nil"/>
            </w:tcBorders>
            <w:shd w:val="clear" w:color="auto" w:fill="auto"/>
            <w:tcMar>
              <w:top w:w="0" w:type="dxa"/>
              <w:left w:w="0" w:type="dxa"/>
              <w:bottom w:w="0" w:type="dxa"/>
              <w:right w:w="0" w:type="dxa"/>
            </w:tcMar>
            <w:vAlign w:val="center"/>
          </w:tcPr>
          <w:p w14:paraId="743A8164" w14:textId="77777777" w:rsidR="00296279" w:rsidRDefault="00296279" w:rsidP="00750242">
            <w:pPr>
              <w:keepLines/>
              <w:spacing w:line="240" w:lineRule="auto"/>
              <w:jc w:val="center"/>
              <w:rPr>
                <w:b/>
                <w:szCs w:val="18"/>
              </w:rPr>
            </w:pPr>
            <w:r>
              <w:rPr>
                <w:b/>
                <w:szCs w:val="18"/>
              </w:rPr>
              <w:t>SO</w:t>
            </w:r>
            <w:r w:rsidRPr="00296279">
              <w:rPr>
                <w:b/>
                <w:szCs w:val="18"/>
                <w:vertAlign w:val="subscript"/>
              </w:rPr>
              <w:t>2</w:t>
            </w:r>
          </w:p>
        </w:tc>
        <w:tc>
          <w:tcPr>
            <w:tcW w:w="2639" w:type="dxa"/>
            <w:tcBorders>
              <w:top w:val="single" w:sz="4" w:space="0" w:color="70AD47"/>
              <w:left w:val="nil"/>
              <w:bottom w:val="nil"/>
              <w:right w:val="nil"/>
            </w:tcBorders>
            <w:shd w:val="clear" w:color="auto" w:fill="auto"/>
            <w:tcMar>
              <w:top w:w="0" w:type="dxa"/>
              <w:left w:w="0" w:type="dxa"/>
              <w:bottom w:w="0" w:type="dxa"/>
              <w:right w:w="0" w:type="dxa"/>
            </w:tcMar>
            <w:vAlign w:val="center"/>
          </w:tcPr>
          <w:p w14:paraId="0382E021" w14:textId="32C4BD86" w:rsidR="00296279" w:rsidRDefault="00296279" w:rsidP="00750242">
            <w:pPr>
              <w:keepLines/>
              <w:spacing w:line="240" w:lineRule="auto"/>
              <w:jc w:val="center"/>
              <w:rPr>
                <w:szCs w:val="18"/>
              </w:rPr>
            </w:pPr>
            <w:r>
              <w:rPr>
                <w:szCs w:val="18"/>
              </w:rPr>
              <w:t>Before</w:t>
            </w:r>
          </w:p>
        </w:tc>
        <w:tc>
          <w:tcPr>
            <w:tcW w:w="2199" w:type="dxa"/>
            <w:tcBorders>
              <w:top w:val="single" w:sz="4" w:space="0" w:color="70AD47"/>
              <w:left w:val="nil"/>
              <w:bottom w:val="nil"/>
              <w:right w:val="single" w:sz="8" w:space="0" w:color="FFFFFF"/>
            </w:tcBorders>
            <w:shd w:val="clear" w:color="auto" w:fill="auto"/>
            <w:tcMar>
              <w:top w:w="0" w:type="dxa"/>
              <w:left w:w="0" w:type="dxa"/>
              <w:bottom w:w="0" w:type="dxa"/>
              <w:right w:w="0" w:type="dxa"/>
            </w:tcMar>
            <w:vAlign w:val="center"/>
          </w:tcPr>
          <w:p w14:paraId="4EDCFCC6" w14:textId="7EC1C8B6" w:rsidR="00296279" w:rsidRDefault="00750242" w:rsidP="00750242">
            <w:pPr>
              <w:keepLines/>
              <w:spacing w:line="240" w:lineRule="auto"/>
              <w:jc w:val="center"/>
              <w:rPr>
                <w:b/>
                <w:szCs w:val="18"/>
              </w:rPr>
            </w:pPr>
            <w:r>
              <w:rPr>
                <w:szCs w:val="18"/>
              </w:rPr>
              <w:t>0.</w:t>
            </w:r>
            <w:r w:rsidR="00296279">
              <w:rPr>
                <w:szCs w:val="18"/>
              </w:rPr>
              <w:t>200</w:t>
            </w:r>
          </w:p>
        </w:tc>
      </w:tr>
      <w:tr w:rsidR="00296279" w14:paraId="4F891706" w14:textId="77777777" w:rsidTr="00C34AB1">
        <w:trPr>
          <w:trHeight w:val="150"/>
        </w:trPr>
        <w:tc>
          <w:tcPr>
            <w:tcW w:w="1613" w:type="dxa"/>
            <w:vMerge/>
            <w:tcBorders>
              <w:top w:val="single" w:sz="4" w:space="0" w:color="70AD47"/>
              <w:left w:val="single" w:sz="8" w:space="0" w:color="FFFFFF"/>
              <w:bottom w:val="single" w:sz="4" w:space="0" w:color="70AD47"/>
              <w:right w:val="nil"/>
            </w:tcBorders>
            <w:shd w:val="clear" w:color="auto" w:fill="auto"/>
            <w:tcMar>
              <w:top w:w="0" w:type="dxa"/>
              <w:left w:w="0" w:type="dxa"/>
              <w:bottom w:w="0" w:type="dxa"/>
              <w:right w:w="0" w:type="dxa"/>
            </w:tcMar>
            <w:vAlign w:val="center"/>
          </w:tcPr>
          <w:p w14:paraId="5D47B6FD" w14:textId="77777777" w:rsidR="00296279" w:rsidRDefault="00296279" w:rsidP="00750242">
            <w:pPr>
              <w:keepLines/>
              <w:spacing w:line="240" w:lineRule="auto"/>
              <w:jc w:val="center"/>
              <w:rPr>
                <w:b/>
                <w:szCs w:val="18"/>
              </w:rPr>
            </w:pPr>
          </w:p>
        </w:tc>
        <w:tc>
          <w:tcPr>
            <w:tcW w:w="2639" w:type="dxa"/>
            <w:tcBorders>
              <w:top w:val="nil"/>
              <w:left w:val="nil"/>
              <w:bottom w:val="nil"/>
              <w:right w:val="nil"/>
            </w:tcBorders>
            <w:shd w:val="clear" w:color="auto" w:fill="auto"/>
            <w:tcMar>
              <w:top w:w="0" w:type="dxa"/>
              <w:left w:w="0" w:type="dxa"/>
              <w:bottom w:w="0" w:type="dxa"/>
              <w:right w:w="0" w:type="dxa"/>
            </w:tcMar>
            <w:vAlign w:val="center"/>
          </w:tcPr>
          <w:p w14:paraId="2343F768" w14:textId="14818D5E" w:rsidR="00296279" w:rsidRDefault="00296279" w:rsidP="00750242">
            <w:pPr>
              <w:keepLines/>
              <w:spacing w:line="240" w:lineRule="auto"/>
              <w:jc w:val="center"/>
              <w:rPr>
                <w:szCs w:val="18"/>
              </w:rPr>
            </w:pPr>
            <w:r>
              <w:rPr>
                <w:szCs w:val="18"/>
              </w:rPr>
              <w:t>During</w:t>
            </w:r>
          </w:p>
        </w:tc>
        <w:tc>
          <w:tcPr>
            <w:tcW w:w="2199" w:type="dxa"/>
            <w:tcBorders>
              <w:top w:val="nil"/>
              <w:left w:val="nil"/>
              <w:bottom w:val="nil"/>
              <w:right w:val="single" w:sz="8" w:space="0" w:color="FFFFFF"/>
            </w:tcBorders>
            <w:shd w:val="clear" w:color="auto" w:fill="auto"/>
            <w:tcMar>
              <w:top w:w="0" w:type="dxa"/>
              <w:left w:w="0" w:type="dxa"/>
              <w:bottom w:w="0" w:type="dxa"/>
              <w:right w:w="0" w:type="dxa"/>
            </w:tcMar>
            <w:vAlign w:val="center"/>
          </w:tcPr>
          <w:p w14:paraId="01770F0D" w14:textId="744354B9" w:rsidR="00296279" w:rsidRDefault="00750242" w:rsidP="00750242">
            <w:pPr>
              <w:keepLines/>
              <w:spacing w:line="240" w:lineRule="auto"/>
              <w:jc w:val="center"/>
              <w:rPr>
                <w:szCs w:val="18"/>
              </w:rPr>
            </w:pPr>
            <w:r>
              <w:rPr>
                <w:szCs w:val="18"/>
              </w:rPr>
              <w:t>0.</w:t>
            </w:r>
            <w:r w:rsidR="00296279">
              <w:rPr>
                <w:szCs w:val="18"/>
              </w:rPr>
              <w:t>000</w:t>
            </w:r>
          </w:p>
        </w:tc>
      </w:tr>
      <w:tr w:rsidR="00296279" w14:paraId="28C64BA5" w14:textId="77777777" w:rsidTr="00C34AB1">
        <w:trPr>
          <w:trHeight w:val="138"/>
        </w:trPr>
        <w:tc>
          <w:tcPr>
            <w:tcW w:w="1613" w:type="dxa"/>
            <w:vMerge w:val="restart"/>
            <w:tcBorders>
              <w:top w:val="single" w:sz="4" w:space="0" w:color="70AD47"/>
              <w:left w:val="single" w:sz="8" w:space="0" w:color="FFFFFF"/>
              <w:bottom w:val="single" w:sz="12" w:space="0" w:color="70AD47"/>
              <w:right w:val="nil"/>
            </w:tcBorders>
            <w:shd w:val="clear" w:color="auto" w:fill="auto"/>
            <w:tcMar>
              <w:top w:w="0" w:type="dxa"/>
              <w:left w:w="0" w:type="dxa"/>
              <w:bottom w:w="0" w:type="dxa"/>
              <w:right w:w="0" w:type="dxa"/>
            </w:tcMar>
            <w:vAlign w:val="center"/>
          </w:tcPr>
          <w:p w14:paraId="067A17F6" w14:textId="77777777" w:rsidR="00296279" w:rsidRDefault="00296279" w:rsidP="00750242">
            <w:pPr>
              <w:keepLines/>
              <w:spacing w:line="240" w:lineRule="auto"/>
              <w:jc w:val="center"/>
              <w:rPr>
                <w:b/>
                <w:szCs w:val="18"/>
              </w:rPr>
            </w:pPr>
          </w:p>
          <w:p w14:paraId="14F5E135" w14:textId="77777777" w:rsidR="00296279" w:rsidRDefault="00296279" w:rsidP="00750242">
            <w:pPr>
              <w:keepLines/>
              <w:spacing w:line="240" w:lineRule="auto"/>
              <w:jc w:val="center"/>
              <w:rPr>
                <w:szCs w:val="18"/>
              </w:rPr>
            </w:pPr>
            <w:r>
              <w:rPr>
                <w:b/>
                <w:szCs w:val="18"/>
              </w:rPr>
              <w:t>O</w:t>
            </w:r>
            <w:r>
              <w:rPr>
                <w:b/>
                <w:szCs w:val="18"/>
                <w:vertAlign w:val="subscript"/>
              </w:rPr>
              <w:t>3</w:t>
            </w:r>
          </w:p>
        </w:tc>
        <w:tc>
          <w:tcPr>
            <w:tcW w:w="2639" w:type="dxa"/>
            <w:tcBorders>
              <w:top w:val="single" w:sz="4" w:space="0" w:color="70AD47"/>
              <w:left w:val="nil"/>
              <w:bottom w:val="nil"/>
              <w:right w:val="nil"/>
            </w:tcBorders>
            <w:shd w:val="clear" w:color="auto" w:fill="auto"/>
            <w:tcMar>
              <w:top w:w="0" w:type="dxa"/>
              <w:left w:w="0" w:type="dxa"/>
              <w:bottom w:w="0" w:type="dxa"/>
              <w:right w:w="0" w:type="dxa"/>
            </w:tcMar>
            <w:vAlign w:val="center"/>
          </w:tcPr>
          <w:p w14:paraId="5D2274FE" w14:textId="0024425C" w:rsidR="00296279" w:rsidRDefault="00296279" w:rsidP="00750242">
            <w:pPr>
              <w:keepLines/>
              <w:spacing w:line="240" w:lineRule="auto"/>
              <w:jc w:val="center"/>
              <w:rPr>
                <w:szCs w:val="18"/>
              </w:rPr>
            </w:pPr>
            <w:r>
              <w:rPr>
                <w:szCs w:val="18"/>
              </w:rPr>
              <w:t>Before</w:t>
            </w:r>
          </w:p>
        </w:tc>
        <w:tc>
          <w:tcPr>
            <w:tcW w:w="2199" w:type="dxa"/>
            <w:tcBorders>
              <w:top w:val="single" w:sz="4" w:space="0" w:color="70AD47"/>
              <w:left w:val="nil"/>
              <w:bottom w:val="nil"/>
              <w:right w:val="single" w:sz="8" w:space="0" w:color="FFFFFF"/>
            </w:tcBorders>
            <w:shd w:val="clear" w:color="auto" w:fill="auto"/>
            <w:tcMar>
              <w:top w:w="0" w:type="dxa"/>
              <w:left w:w="0" w:type="dxa"/>
              <w:bottom w:w="0" w:type="dxa"/>
              <w:right w:w="0" w:type="dxa"/>
            </w:tcMar>
            <w:vAlign w:val="center"/>
          </w:tcPr>
          <w:p w14:paraId="0DEF1A08" w14:textId="594814EE" w:rsidR="00296279" w:rsidRDefault="00750242" w:rsidP="00750242">
            <w:pPr>
              <w:keepLines/>
              <w:spacing w:line="240" w:lineRule="auto"/>
              <w:jc w:val="center"/>
              <w:rPr>
                <w:szCs w:val="18"/>
              </w:rPr>
            </w:pPr>
            <w:r>
              <w:rPr>
                <w:szCs w:val="18"/>
              </w:rPr>
              <w:t>0.</w:t>
            </w:r>
            <w:r w:rsidR="00E51E8B">
              <w:rPr>
                <w:szCs w:val="18"/>
              </w:rPr>
              <w:t>175</w:t>
            </w:r>
            <w:bookmarkStart w:id="0" w:name="_GoBack"/>
            <w:bookmarkEnd w:id="0"/>
          </w:p>
        </w:tc>
      </w:tr>
      <w:tr w:rsidR="00296279" w14:paraId="3E42DFFA" w14:textId="77777777" w:rsidTr="00C34AB1">
        <w:trPr>
          <w:trHeight w:val="57"/>
        </w:trPr>
        <w:tc>
          <w:tcPr>
            <w:tcW w:w="1613" w:type="dxa"/>
            <w:vMerge/>
            <w:tcBorders>
              <w:top w:val="single" w:sz="4" w:space="0" w:color="70AD47"/>
              <w:left w:val="single" w:sz="8" w:space="0" w:color="FFFFFF"/>
              <w:bottom w:val="single" w:sz="12" w:space="0" w:color="70AD47"/>
              <w:right w:val="nil"/>
            </w:tcBorders>
            <w:shd w:val="clear" w:color="auto" w:fill="auto"/>
            <w:tcMar>
              <w:top w:w="0" w:type="dxa"/>
              <w:left w:w="0" w:type="dxa"/>
              <w:bottom w:w="0" w:type="dxa"/>
              <w:right w:w="0" w:type="dxa"/>
            </w:tcMar>
            <w:vAlign w:val="center"/>
          </w:tcPr>
          <w:p w14:paraId="5A50CF42" w14:textId="77777777" w:rsidR="00296279" w:rsidRDefault="00296279" w:rsidP="00750242">
            <w:pPr>
              <w:keepLines/>
              <w:spacing w:line="240" w:lineRule="auto"/>
              <w:jc w:val="center"/>
              <w:rPr>
                <w:b/>
                <w:szCs w:val="18"/>
              </w:rPr>
            </w:pPr>
          </w:p>
        </w:tc>
        <w:tc>
          <w:tcPr>
            <w:tcW w:w="2639" w:type="dxa"/>
            <w:tcBorders>
              <w:top w:val="nil"/>
              <w:left w:val="nil"/>
              <w:bottom w:val="nil"/>
              <w:right w:val="nil"/>
            </w:tcBorders>
            <w:shd w:val="clear" w:color="auto" w:fill="auto"/>
            <w:tcMar>
              <w:top w:w="0" w:type="dxa"/>
              <w:left w:w="0" w:type="dxa"/>
              <w:bottom w:w="0" w:type="dxa"/>
              <w:right w:w="0" w:type="dxa"/>
            </w:tcMar>
            <w:vAlign w:val="center"/>
          </w:tcPr>
          <w:p w14:paraId="692BFA67" w14:textId="62E1FF20" w:rsidR="00296279" w:rsidRDefault="00296279" w:rsidP="00750242">
            <w:pPr>
              <w:keepLines/>
              <w:spacing w:line="240" w:lineRule="auto"/>
              <w:jc w:val="center"/>
              <w:rPr>
                <w:szCs w:val="18"/>
              </w:rPr>
            </w:pPr>
            <w:r>
              <w:rPr>
                <w:szCs w:val="18"/>
              </w:rPr>
              <w:t>During</w:t>
            </w:r>
          </w:p>
        </w:tc>
        <w:tc>
          <w:tcPr>
            <w:tcW w:w="2199" w:type="dxa"/>
            <w:tcBorders>
              <w:top w:val="nil"/>
              <w:left w:val="nil"/>
              <w:bottom w:val="nil"/>
              <w:right w:val="single" w:sz="8" w:space="0" w:color="FFFFFF"/>
            </w:tcBorders>
            <w:shd w:val="clear" w:color="auto" w:fill="auto"/>
            <w:tcMar>
              <w:top w:w="0" w:type="dxa"/>
              <w:left w:w="0" w:type="dxa"/>
              <w:bottom w:w="0" w:type="dxa"/>
              <w:right w:w="0" w:type="dxa"/>
            </w:tcMar>
            <w:vAlign w:val="center"/>
          </w:tcPr>
          <w:p w14:paraId="5732430B" w14:textId="042C714E" w:rsidR="00296279" w:rsidRDefault="00750242" w:rsidP="00750242">
            <w:pPr>
              <w:keepLines/>
              <w:spacing w:line="240" w:lineRule="auto"/>
              <w:jc w:val="center"/>
              <w:rPr>
                <w:szCs w:val="18"/>
              </w:rPr>
            </w:pPr>
            <w:r>
              <w:rPr>
                <w:szCs w:val="18"/>
              </w:rPr>
              <w:t>0.</w:t>
            </w:r>
            <w:r w:rsidR="00296279">
              <w:rPr>
                <w:szCs w:val="18"/>
              </w:rPr>
              <w:t>047</w:t>
            </w:r>
          </w:p>
        </w:tc>
      </w:tr>
      <w:tr w:rsidR="00750242" w14:paraId="3D76007E" w14:textId="77777777" w:rsidTr="00C34AB1">
        <w:trPr>
          <w:trHeight w:val="57"/>
        </w:trPr>
        <w:tc>
          <w:tcPr>
            <w:tcW w:w="1613" w:type="dxa"/>
            <w:vMerge/>
            <w:tcBorders>
              <w:top w:val="single" w:sz="4" w:space="0" w:color="70AD47"/>
              <w:left w:val="single" w:sz="8" w:space="0" w:color="FFFFFF"/>
              <w:bottom w:val="single" w:sz="12" w:space="0" w:color="70AD47"/>
              <w:right w:val="nil"/>
            </w:tcBorders>
            <w:shd w:val="clear" w:color="auto" w:fill="auto"/>
            <w:tcMar>
              <w:top w:w="0" w:type="dxa"/>
              <w:left w:w="0" w:type="dxa"/>
              <w:bottom w:w="0" w:type="dxa"/>
              <w:right w:w="0" w:type="dxa"/>
            </w:tcMar>
            <w:vAlign w:val="center"/>
          </w:tcPr>
          <w:p w14:paraId="3B9DE249" w14:textId="77777777" w:rsidR="00750242" w:rsidRDefault="00750242" w:rsidP="00750242">
            <w:pPr>
              <w:keepLines/>
              <w:spacing w:line="240" w:lineRule="auto"/>
              <w:jc w:val="center"/>
              <w:rPr>
                <w:b/>
                <w:szCs w:val="18"/>
              </w:rPr>
            </w:pPr>
          </w:p>
        </w:tc>
        <w:tc>
          <w:tcPr>
            <w:tcW w:w="2639" w:type="dxa"/>
            <w:tcBorders>
              <w:top w:val="nil"/>
              <w:left w:val="nil"/>
              <w:bottom w:val="single" w:sz="12" w:space="0" w:color="70AD47"/>
              <w:right w:val="nil"/>
            </w:tcBorders>
            <w:shd w:val="clear" w:color="auto" w:fill="auto"/>
            <w:tcMar>
              <w:top w:w="0" w:type="dxa"/>
              <w:left w:w="0" w:type="dxa"/>
              <w:bottom w:w="0" w:type="dxa"/>
              <w:right w:w="0" w:type="dxa"/>
            </w:tcMar>
            <w:vAlign w:val="center"/>
          </w:tcPr>
          <w:p w14:paraId="32FED872" w14:textId="666368B2" w:rsidR="00750242" w:rsidRDefault="00750242" w:rsidP="00750242">
            <w:pPr>
              <w:keepLines/>
              <w:spacing w:line="240" w:lineRule="auto"/>
              <w:jc w:val="center"/>
              <w:rPr>
                <w:szCs w:val="18"/>
              </w:rPr>
            </w:pPr>
            <w:r>
              <w:rPr>
                <w:szCs w:val="18"/>
              </w:rPr>
              <w:t>After</w:t>
            </w:r>
          </w:p>
        </w:tc>
        <w:tc>
          <w:tcPr>
            <w:tcW w:w="2199" w:type="dxa"/>
            <w:tcBorders>
              <w:top w:val="nil"/>
              <w:left w:val="nil"/>
              <w:bottom w:val="single" w:sz="12" w:space="0" w:color="70AD47"/>
              <w:right w:val="single" w:sz="8" w:space="0" w:color="FFFFFF"/>
            </w:tcBorders>
            <w:shd w:val="clear" w:color="auto" w:fill="auto"/>
            <w:tcMar>
              <w:top w:w="0" w:type="dxa"/>
              <w:left w:w="0" w:type="dxa"/>
              <w:bottom w:w="0" w:type="dxa"/>
              <w:right w:w="0" w:type="dxa"/>
            </w:tcMar>
            <w:vAlign w:val="center"/>
          </w:tcPr>
          <w:p w14:paraId="75C263A7" w14:textId="3086F974" w:rsidR="00750242" w:rsidRDefault="00E51E8B" w:rsidP="00750242">
            <w:pPr>
              <w:keepLines/>
              <w:spacing w:line="240" w:lineRule="auto"/>
              <w:jc w:val="center"/>
              <w:rPr>
                <w:szCs w:val="18"/>
              </w:rPr>
            </w:pPr>
            <w:r>
              <w:rPr>
                <w:szCs w:val="18"/>
              </w:rPr>
              <w:t>0.035</w:t>
            </w:r>
          </w:p>
        </w:tc>
      </w:tr>
    </w:tbl>
    <w:p w14:paraId="24603D6D" w14:textId="77777777" w:rsidR="009E4859" w:rsidRPr="009E4859" w:rsidRDefault="009E4859" w:rsidP="009E4859">
      <w:pPr>
        <w:pStyle w:val="CETTabletitle"/>
        <w:spacing w:after="0"/>
        <w:jc w:val="both"/>
        <w:rPr>
          <w:i w:val="0"/>
          <w:lang w:val="en-US"/>
        </w:rPr>
      </w:pPr>
      <w:r w:rsidRPr="009E4859">
        <w:rPr>
          <w:i w:val="0"/>
          <w:lang w:val="en-US"/>
        </w:rPr>
        <w:t>From Table 4 it is observed that PM2.5 has a significance level greater than 0.05 and follows a normal distribution, therefore the ANOVA parametric test was used. The rest of the pollutants such as SO2 and O3 do not have a normal distribution, therefore the non-parametric U-Mann Whitney test was used.</w:t>
      </w:r>
    </w:p>
    <w:p w14:paraId="6EFD48E2" w14:textId="1B214EB3" w:rsidR="00296279" w:rsidRPr="009E4859" w:rsidRDefault="009E4859" w:rsidP="009E4859">
      <w:pPr>
        <w:pStyle w:val="CETTabletitle"/>
        <w:spacing w:before="0"/>
        <w:jc w:val="both"/>
        <w:rPr>
          <w:i w:val="0"/>
          <w:lang w:val="en-US"/>
        </w:rPr>
      </w:pPr>
      <w:r w:rsidRPr="009E4859">
        <w:rPr>
          <w:i w:val="0"/>
          <w:lang w:val="en-US"/>
        </w:rPr>
        <w:t>Table 5 shows the hypothesis test applied to each pollutant to determine if social confinement by COVID-19 significantly influences the improvement of air quality in the District of San Juan de Lurigancho.</w:t>
      </w:r>
    </w:p>
    <w:p w14:paraId="7EEC4EC5" w14:textId="77777777" w:rsidR="009E4859" w:rsidRDefault="009E4859" w:rsidP="00F24822">
      <w:pPr>
        <w:pStyle w:val="CETBodytext"/>
      </w:pPr>
    </w:p>
    <w:p w14:paraId="172C7551" w14:textId="77777777" w:rsidR="009E4859" w:rsidRDefault="009E4859" w:rsidP="00F24822">
      <w:pPr>
        <w:pStyle w:val="CETBodytext"/>
      </w:pPr>
    </w:p>
    <w:p w14:paraId="75E280D1" w14:textId="77777777" w:rsidR="009E4859" w:rsidRDefault="009E4859" w:rsidP="00F24822">
      <w:pPr>
        <w:pStyle w:val="CETBodytext"/>
      </w:pPr>
    </w:p>
    <w:p w14:paraId="3CEE3CAC" w14:textId="373EA9A7" w:rsidR="009E4859" w:rsidRPr="009E4859" w:rsidRDefault="009E4859" w:rsidP="009E4859">
      <w:pPr>
        <w:pStyle w:val="CETTabletitle"/>
        <w:rPr>
          <w:lang w:val="en-US"/>
        </w:rPr>
      </w:pPr>
      <w:r w:rsidRPr="001B26CB">
        <w:rPr>
          <w:lang w:val="en-US"/>
        </w:rPr>
        <w:lastRenderedPageBreak/>
        <w:t>T</w:t>
      </w:r>
      <w:r>
        <w:rPr>
          <w:lang w:val="en-US"/>
        </w:rPr>
        <w:t>able 5</w:t>
      </w:r>
      <w:r w:rsidRPr="001B26CB">
        <w:rPr>
          <w:lang w:val="en-US"/>
        </w:rPr>
        <w:t xml:space="preserve">: </w:t>
      </w:r>
      <w:r w:rsidRPr="009E4859">
        <w:rPr>
          <w:lang w:val="en-US"/>
        </w:rPr>
        <w:t>Hypothesis testing using the ANOVA parametric test and the non-parametric U-Mann Whitney test</w:t>
      </w:r>
    </w:p>
    <w:tbl>
      <w:tblPr>
        <w:tblW w:w="6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2"/>
        <w:gridCol w:w="1793"/>
        <w:gridCol w:w="2656"/>
      </w:tblGrid>
      <w:tr w:rsidR="009E4859" w14:paraId="17242A8D" w14:textId="77777777" w:rsidTr="00C34AB1">
        <w:trPr>
          <w:trHeight w:val="362"/>
        </w:trPr>
        <w:tc>
          <w:tcPr>
            <w:tcW w:w="2072" w:type="dxa"/>
            <w:tcBorders>
              <w:top w:val="single" w:sz="12" w:space="0" w:color="70AD47"/>
              <w:left w:val="nil"/>
              <w:bottom w:val="single" w:sz="12" w:space="0" w:color="70AD47"/>
              <w:right w:val="nil"/>
            </w:tcBorders>
            <w:tcMar>
              <w:top w:w="0" w:type="dxa"/>
              <w:left w:w="0" w:type="dxa"/>
              <w:bottom w:w="0" w:type="dxa"/>
              <w:right w:w="0" w:type="dxa"/>
            </w:tcMar>
            <w:vAlign w:val="center"/>
          </w:tcPr>
          <w:p w14:paraId="66553B1E" w14:textId="6210EAD3" w:rsidR="009E4859" w:rsidRDefault="00A8156F" w:rsidP="00F701DD">
            <w:pPr>
              <w:keepLines/>
              <w:spacing w:line="240" w:lineRule="auto"/>
              <w:jc w:val="center"/>
              <w:rPr>
                <w:b/>
                <w:szCs w:val="18"/>
              </w:rPr>
            </w:pPr>
            <w:r>
              <w:rPr>
                <w:b/>
                <w:szCs w:val="18"/>
              </w:rPr>
              <w:t>Pollutants</w:t>
            </w:r>
          </w:p>
        </w:tc>
        <w:tc>
          <w:tcPr>
            <w:tcW w:w="1793" w:type="dxa"/>
            <w:tcBorders>
              <w:top w:val="single" w:sz="12" w:space="0" w:color="70AD47"/>
              <w:left w:val="nil"/>
              <w:bottom w:val="single" w:sz="12" w:space="0" w:color="70AD47"/>
              <w:right w:val="nil"/>
            </w:tcBorders>
            <w:tcMar>
              <w:top w:w="0" w:type="dxa"/>
              <w:left w:w="0" w:type="dxa"/>
              <w:bottom w:w="0" w:type="dxa"/>
              <w:right w:w="0" w:type="dxa"/>
            </w:tcMar>
            <w:vAlign w:val="center"/>
          </w:tcPr>
          <w:p w14:paraId="6EC9D1ED" w14:textId="168E48E0" w:rsidR="009E4859" w:rsidRDefault="00A8156F" w:rsidP="00F701DD">
            <w:pPr>
              <w:keepLines/>
              <w:spacing w:line="240" w:lineRule="auto"/>
              <w:jc w:val="center"/>
              <w:rPr>
                <w:b/>
                <w:szCs w:val="18"/>
              </w:rPr>
            </w:pPr>
            <w:r>
              <w:rPr>
                <w:b/>
                <w:szCs w:val="18"/>
              </w:rPr>
              <w:t>Significance</w:t>
            </w:r>
          </w:p>
        </w:tc>
        <w:tc>
          <w:tcPr>
            <w:tcW w:w="2656" w:type="dxa"/>
            <w:tcBorders>
              <w:top w:val="single" w:sz="12" w:space="0" w:color="70AD47"/>
              <w:left w:val="nil"/>
              <w:bottom w:val="single" w:sz="12" w:space="0" w:color="70AD47"/>
              <w:right w:val="nil"/>
            </w:tcBorders>
            <w:tcMar>
              <w:top w:w="0" w:type="dxa"/>
              <w:left w:w="0" w:type="dxa"/>
              <w:bottom w:w="0" w:type="dxa"/>
              <w:right w:w="0" w:type="dxa"/>
            </w:tcMar>
            <w:vAlign w:val="center"/>
          </w:tcPr>
          <w:p w14:paraId="4F875DBE" w14:textId="65E5952D" w:rsidR="009E4859" w:rsidRPr="00BC7777" w:rsidRDefault="00C34AB1" w:rsidP="00F701DD">
            <w:pPr>
              <w:keepLines/>
              <w:spacing w:line="240" w:lineRule="auto"/>
              <w:jc w:val="center"/>
              <w:rPr>
                <w:b/>
                <w:szCs w:val="18"/>
              </w:rPr>
            </w:pPr>
            <w:r w:rsidRPr="00BC7777">
              <w:rPr>
                <w:b/>
              </w:rPr>
              <w:t>Null hypothesis</w:t>
            </w:r>
          </w:p>
        </w:tc>
      </w:tr>
      <w:tr w:rsidR="00F701DD" w14:paraId="3B2B3770" w14:textId="77777777" w:rsidTr="00C34AB1">
        <w:trPr>
          <w:trHeight w:val="538"/>
        </w:trPr>
        <w:tc>
          <w:tcPr>
            <w:tcW w:w="2072" w:type="dxa"/>
            <w:tcBorders>
              <w:top w:val="single" w:sz="12" w:space="0" w:color="70AD47"/>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F5F71BA" w14:textId="46F60C68" w:rsidR="00F701DD" w:rsidRDefault="00F701DD" w:rsidP="00F701DD">
            <w:pPr>
              <w:keepLines/>
              <w:spacing w:line="240" w:lineRule="auto"/>
              <w:jc w:val="center"/>
              <w:rPr>
                <w:b/>
                <w:szCs w:val="18"/>
              </w:rPr>
            </w:pPr>
            <w:r>
              <w:rPr>
                <w:b/>
                <w:szCs w:val="18"/>
              </w:rPr>
              <w:t>PM</w:t>
            </w:r>
            <w:r w:rsidRPr="00A8156F">
              <w:rPr>
                <w:b/>
                <w:szCs w:val="18"/>
              </w:rPr>
              <w:t>2.5</w:t>
            </w:r>
          </w:p>
        </w:tc>
        <w:tc>
          <w:tcPr>
            <w:tcW w:w="1793" w:type="dxa"/>
            <w:tcBorders>
              <w:top w:val="single" w:sz="12" w:space="0" w:color="70AD47"/>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B9ABD6B" w14:textId="142E37CE" w:rsidR="00F701DD" w:rsidRDefault="00BC7777" w:rsidP="00F701DD">
            <w:pPr>
              <w:keepLines/>
              <w:spacing w:line="240" w:lineRule="auto"/>
              <w:jc w:val="center"/>
              <w:rPr>
                <w:szCs w:val="18"/>
              </w:rPr>
            </w:pPr>
            <w:r>
              <w:rPr>
                <w:szCs w:val="18"/>
              </w:rPr>
              <w:t>0.</w:t>
            </w:r>
            <w:r w:rsidR="00F701DD">
              <w:rPr>
                <w:szCs w:val="18"/>
              </w:rPr>
              <w:t>000</w:t>
            </w:r>
          </w:p>
        </w:tc>
        <w:tc>
          <w:tcPr>
            <w:tcW w:w="2656" w:type="dxa"/>
            <w:tcBorders>
              <w:top w:val="single" w:sz="12" w:space="0" w:color="70AD47"/>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A618B55" w14:textId="295EF1F2" w:rsidR="00F701DD" w:rsidRDefault="00C34AB1" w:rsidP="00F701DD">
            <w:pPr>
              <w:keepLines/>
              <w:spacing w:line="240" w:lineRule="auto"/>
              <w:jc w:val="center"/>
              <w:rPr>
                <w:szCs w:val="18"/>
              </w:rPr>
            </w:pPr>
            <w:r w:rsidRPr="00C34AB1">
              <w:rPr>
                <w:szCs w:val="18"/>
              </w:rPr>
              <w:t>Reject the null hypothesis</w:t>
            </w:r>
          </w:p>
        </w:tc>
      </w:tr>
      <w:tr w:rsidR="00F701DD" w14:paraId="65192A5B" w14:textId="77777777" w:rsidTr="00C34AB1">
        <w:trPr>
          <w:trHeight w:val="392"/>
        </w:trPr>
        <w:tc>
          <w:tcPr>
            <w:tcW w:w="2072"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CD2B4C5" w14:textId="77777777" w:rsidR="00F701DD" w:rsidRDefault="00F701DD" w:rsidP="00F701DD">
            <w:pPr>
              <w:keepLines/>
              <w:spacing w:line="240" w:lineRule="auto"/>
              <w:jc w:val="center"/>
              <w:rPr>
                <w:b/>
                <w:szCs w:val="18"/>
              </w:rPr>
            </w:pPr>
            <w:r>
              <w:rPr>
                <w:b/>
                <w:szCs w:val="18"/>
              </w:rPr>
              <w:t>SO</w:t>
            </w:r>
            <w:r w:rsidRPr="00A8156F">
              <w:rPr>
                <w:b/>
                <w:szCs w:val="18"/>
                <w:vertAlign w:val="subscript"/>
              </w:rPr>
              <w:t>2</w:t>
            </w:r>
          </w:p>
        </w:tc>
        <w:tc>
          <w:tcPr>
            <w:tcW w:w="1793"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A6DA4B0" w14:textId="54EAFBBF" w:rsidR="00F701DD" w:rsidRDefault="00BC7777" w:rsidP="00F701DD">
            <w:pPr>
              <w:keepLines/>
              <w:spacing w:line="240" w:lineRule="auto"/>
              <w:jc w:val="center"/>
              <w:rPr>
                <w:szCs w:val="18"/>
              </w:rPr>
            </w:pPr>
            <w:r>
              <w:rPr>
                <w:szCs w:val="18"/>
              </w:rPr>
              <w:t>0.</w:t>
            </w:r>
            <w:r w:rsidR="00F701DD">
              <w:rPr>
                <w:szCs w:val="18"/>
              </w:rPr>
              <w:t>000</w:t>
            </w:r>
          </w:p>
        </w:tc>
        <w:tc>
          <w:tcPr>
            <w:tcW w:w="2656"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B53B37A" w14:textId="554FB0D1" w:rsidR="00F701DD" w:rsidRDefault="00C34AB1" w:rsidP="00F701DD">
            <w:pPr>
              <w:keepLines/>
              <w:spacing w:line="240" w:lineRule="auto"/>
              <w:jc w:val="center"/>
              <w:rPr>
                <w:szCs w:val="18"/>
              </w:rPr>
            </w:pPr>
            <w:r w:rsidRPr="00C34AB1">
              <w:rPr>
                <w:szCs w:val="18"/>
              </w:rPr>
              <w:t>Reject the null hypothesis</w:t>
            </w:r>
          </w:p>
        </w:tc>
      </w:tr>
      <w:tr w:rsidR="00F701DD" w14:paraId="451BDE13" w14:textId="77777777" w:rsidTr="00C34AB1">
        <w:trPr>
          <w:trHeight w:val="454"/>
        </w:trPr>
        <w:tc>
          <w:tcPr>
            <w:tcW w:w="2072" w:type="dxa"/>
            <w:tcBorders>
              <w:top w:val="nil"/>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117AD980" w14:textId="77777777" w:rsidR="00F701DD" w:rsidRDefault="00F701DD" w:rsidP="00F701DD">
            <w:pPr>
              <w:keepLines/>
              <w:spacing w:line="240" w:lineRule="auto"/>
              <w:jc w:val="center"/>
              <w:rPr>
                <w:b/>
                <w:szCs w:val="18"/>
              </w:rPr>
            </w:pPr>
            <w:r>
              <w:rPr>
                <w:b/>
                <w:szCs w:val="18"/>
              </w:rPr>
              <w:t>O</w:t>
            </w:r>
            <w:r>
              <w:rPr>
                <w:b/>
                <w:szCs w:val="18"/>
                <w:vertAlign w:val="subscript"/>
              </w:rPr>
              <w:t>3</w:t>
            </w:r>
          </w:p>
        </w:tc>
        <w:tc>
          <w:tcPr>
            <w:tcW w:w="1793" w:type="dxa"/>
            <w:tcBorders>
              <w:top w:val="nil"/>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30F6C151" w14:textId="61CFA093" w:rsidR="00F701DD" w:rsidRDefault="00BC7777" w:rsidP="00F701DD">
            <w:pPr>
              <w:keepLines/>
              <w:spacing w:line="240" w:lineRule="auto"/>
              <w:jc w:val="center"/>
              <w:rPr>
                <w:szCs w:val="18"/>
              </w:rPr>
            </w:pPr>
            <w:r>
              <w:rPr>
                <w:szCs w:val="18"/>
              </w:rPr>
              <w:t>0.</w:t>
            </w:r>
            <w:r w:rsidR="00F701DD">
              <w:rPr>
                <w:szCs w:val="18"/>
              </w:rPr>
              <w:t>000</w:t>
            </w:r>
          </w:p>
        </w:tc>
        <w:tc>
          <w:tcPr>
            <w:tcW w:w="2656" w:type="dxa"/>
            <w:tcBorders>
              <w:top w:val="nil"/>
              <w:left w:val="single" w:sz="8" w:space="0" w:color="FFFFFF"/>
              <w:bottom w:val="single" w:sz="12" w:space="0" w:color="70AD47"/>
              <w:right w:val="single" w:sz="8" w:space="0" w:color="FFFFFF"/>
            </w:tcBorders>
            <w:shd w:val="clear" w:color="auto" w:fill="auto"/>
            <w:tcMar>
              <w:top w:w="0" w:type="dxa"/>
              <w:left w:w="0" w:type="dxa"/>
              <w:bottom w:w="0" w:type="dxa"/>
              <w:right w:w="0" w:type="dxa"/>
            </w:tcMar>
            <w:vAlign w:val="center"/>
          </w:tcPr>
          <w:p w14:paraId="056314A6" w14:textId="4B7A655C" w:rsidR="00F701DD" w:rsidRDefault="00C34AB1" w:rsidP="00F701DD">
            <w:pPr>
              <w:keepLines/>
              <w:spacing w:line="240" w:lineRule="auto"/>
              <w:jc w:val="center"/>
              <w:rPr>
                <w:szCs w:val="18"/>
              </w:rPr>
            </w:pPr>
            <w:r w:rsidRPr="00C34AB1">
              <w:rPr>
                <w:szCs w:val="18"/>
              </w:rPr>
              <w:t>Reject the null hypothesis</w:t>
            </w:r>
          </w:p>
        </w:tc>
      </w:tr>
    </w:tbl>
    <w:p w14:paraId="519A9C9B" w14:textId="77777777" w:rsidR="009E4859" w:rsidRDefault="009E4859" w:rsidP="00F24822">
      <w:pPr>
        <w:pStyle w:val="CETBodytext"/>
      </w:pPr>
    </w:p>
    <w:p w14:paraId="6D9C64A3" w14:textId="7DCC4C91" w:rsidR="009E4859" w:rsidRDefault="00BC7777" w:rsidP="00F24822">
      <w:pPr>
        <w:pStyle w:val="CETBodytext"/>
      </w:pPr>
      <w:r w:rsidRPr="00BC7777">
        <w:t>Table 5 showed statistically significant values (&lt;0.05) for PM2.5, SO</w:t>
      </w:r>
      <w:r w:rsidRPr="00BC7777">
        <w:rPr>
          <w:vertAlign w:val="subscript"/>
        </w:rPr>
        <w:t>2</w:t>
      </w:r>
      <w:r w:rsidRPr="00BC7777">
        <w:t xml:space="preserve"> and O</w:t>
      </w:r>
      <w:r w:rsidRPr="00BC7777">
        <w:rPr>
          <w:vertAlign w:val="subscript"/>
        </w:rPr>
        <w:t>3</w:t>
      </w:r>
      <w:r w:rsidRPr="00BC7777">
        <w:t xml:space="preserve"> pollutants, indicating the rejection of the null hypothesis and accepting the researcher's hypothesis, which indicates that social confinement by COVID-19 significantly influences the improvement of air quality in the Dis</w:t>
      </w:r>
      <w:r>
        <w:t>trict of San Juan de Lurigancho</w:t>
      </w:r>
      <w:r w:rsidR="009E4859" w:rsidRPr="009E4859">
        <w:t>.</w:t>
      </w:r>
    </w:p>
    <w:p w14:paraId="768DEA90" w14:textId="77777777" w:rsidR="009E4859" w:rsidRPr="00C14646" w:rsidRDefault="009E4859" w:rsidP="009E4859">
      <w:pPr>
        <w:pStyle w:val="CETHeading1"/>
        <w:tabs>
          <w:tab w:val="right" w:pos="7100"/>
        </w:tabs>
        <w:jc w:val="both"/>
      </w:pPr>
      <w:r w:rsidRPr="00C14646">
        <w:t>4. Conclusions</w:t>
      </w:r>
    </w:p>
    <w:p w14:paraId="774F58ED" w14:textId="70A0BF9E" w:rsidR="00F956B6" w:rsidRPr="00D82616" w:rsidRDefault="00F24822" w:rsidP="00F24822">
      <w:pPr>
        <w:pStyle w:val="CETBodytext"/>
      </w:pPr>
      <w:r>
        <w:t>Social confinement by COVID-19 improved air quality in the district of San Juan de Lurigancho (SJL), demonstrating that urban control measures should be taken to reduce the concentration of air pollutants. The pollutant that obtained the greatest reduction was PM2.5, reaching values of 14.09, 17.21 and 30.89 μg/m</w:t>
      </w:r>
      <w:r w:rsidRPr="00A92C2C">
        <w:rPr>
          <w:vertAlign w:val="superscript"/>
        </w:rPr>
        <w:t>3</w:t>
      </w:r>
      <w:r>
        <w:t xml:space="preserve"> in the months of March, April and May 2020, respectively. While, in 2019 (before social confinement), the values were 30.69, 46.20 and 55.80 μg/m</w:t>
      </w:r>
      <w:r w:rsidRPr="00A92C2C">
        <w:rPr>
          <w:vertAlign w:val="superscript"/>
        </w:rPr>
        <w:t>3</w:t>
      </w:r>
      <w:r>
        <w:t xml:space="preserve"> in the months of March, April and May, respectively. SO</w:t>
      </w:r>
      <w:r w:rsidRPr="00A92C2C">
        <w:rPr>
          <w:vertAlign w:val="subscript"/>
        </w:rPr>
        <w:t>2</w:t>
      </w:r>
      <w:r>
        <w:t xml:space="preserve"> gas had a significant reduction with average minimum values of 11.26 μg/m</w:t>
      </w:r>
      <w:r w:rsidRPr="00A92C2C">
        <w:rPr>
          <w:vertAlign w:val="superscript"/>
        </w:rPr>
        <w:t>3</w:t>
      </w:r>
      <w:r>
        <w:t>, and O</w:t>
      </w:r>
      <w:r w:rsidRPr="00A92C2C">
        <w:rPr>
          <w:vertAlign w:val="subscript"/>
        </w:rPr>
        <w:t>3</w:t>
      </w:r>
      <w:r>
        <w:t xml:space="preserve"> gas increased to the value of 17.35 µg/m3. After the quarantine, in the months of June through December 2020, a progressive increase in the concentration of pollutants was seen as industrial activities and vehicular transport were reestablished</w:t>
      </w:r>
      <w:r w:rsidR="00D82616" w:rsidRPr="00AA0D1E">
        <w:t>.</w:t>
      </w:r>
      <w:r w:rsidR="00F7250D">
        <w:t xml:space="preserve"> </w:t>
      </w:r>
      <w:r w:rsidR="00F7250D" w:rsidRPr="00F7250D">
        <w:t>Statistical analysis showed significant values (&lt;0.05) for PM2.5, SO</w:t>
      </w:r>
      <w:r w:rsidR="00F7250D" w:rsidRPr="00F7250D">
        <w:rPr>
          <w:vertAlign w:val="subscript"/>
        </w:rPr>
        <w:t xml:space="preserve">2 </w:t>
      </w:r>
      <w:r w:rsidR="00F7250D" w:rsidRPr="00F7250D">
        <w:t>and O</w:t>
      </w:r>
      <w:r w:rsidR="00F7250D" w:rsidRPr="00F7250D">
        <w:rPr>
          <w:vertAlign w:val="subscript"/>
        </w:rPr>
        <w:t>3</w:t>
      </w:r>
      <w:r w:rsidR="00F7250D" w:rsidRPr="00F7250D">
        <w:t xml:space="preserve"> pollutants, indicating that social confinement by COVID-19 significantly influenced the improvement of air quality.</w:t>
      </w:r>
    </w:p>
    <w:p w14:paraId="459D05E6" w14:textId="77777777" w:rsidR="00600535" w:rsidRPr="00C14646" w:rsidRDefault="00600535" w:rsidP="00600535">
      <w:pPr>
        <w:pStyle w:val="CETAcknowledgementstitle"/>
        <w:rPr>
          <w:lang w:val="en-US"/>
        </w:rPr>
      </w:pPr>
      <w:r w:rsidRPr="00C14646">
        <w:rPr>
          <w:lang w:val="en-US"/>
        </w:rPr>
        <w:t>Acknowledgments</w:t>
      </w:r>
    </w:p>
    <w:p w14:paraId="4F1F7825" w14:textId="160F713E" w:rsidR="00D82616" w:rsidRPr="00D82616" w:rsidRDefault="00D73A74" w:rsidP="00600535">
      <w:pPr>
        <w:pStyle w:val="CETBodytext"/>
      </w:pPr>
      <w:r w:rsidRPr="00D73A74">
        <w:t>The authors would like to thank SENAMHI for their support in the development of the research, and "Investiga UCV" of the Universidad César Vallejo for their financial support for t</w:t>
      </w:r>
      <w:r>
        <w:t>he publication of this research</w:t>
      </w:r>
      <w:r w:rsidR="00D82616">
        <w:t>.</w:t>
      </w:r>
    </w:p>
    <w:p w14:paraId="4F1327F8" w14:textId="77777777" w:rsidR="00600535" w:rsidRPr="00B57B36" w:rsidRDefault="00600535" w:rsidP="00600535">
      <w:pPr>
        <w:pStyle w:val="CETReference"/>
      </w:pPr>
      <w:r w:rsidRPr="00B57B36">
        <w:t>References</w:t>
      </w:r>
    </w:p>
    <w:p w14:paraId="4B7DC31E" w14:textId="77777777" w:rsidR="00F24822" w:rsidRPr="00C34AB1" w:rsidRDefault="00B911EE" w:rsidP="008B3E81">
      <w:pPr>
        <w:tabs>
          <w:tab w:val="clear" w:pos="7100"/>
        </w:tabs>
        <w:spacing w:line="240" w:lineRule="auto"/>
        <w:ind w:left="284" w:right="18" w:hanging="283"/>
        <w:rPr>
          <w:rFonts w:ascii="Times New Roman" w:hAnsi="Times New Roman"/>
          <w:sz w:val="24"/>
          <w:szCs w:val="24"/>
          <w:lang w:val="en-US" w:eastAsia="es-PE"/>
        </w:rPr>
      </w:pPr>
      <w:r w:rsidRPr="00B911EE">
        <w:rPr>
          <w:lang w:val="pt-BR"/>
        </w:rPr>
        <w:fldChar w:fldCharType="begin" w:fldLock="1"/>
      </w:r>
      <w:r w:rsidRPr="00B911EE">
        <w:instrText xml:space="preserve">ADDIN Mendeley Bibliography CSL_BIBLIOGRAPHY </w:instrText>
      </w:r>
      <w:r w:rsidRPr="00B911EE">
        <w:rPr>
          <w:lang w:val="pt-BR"/>
        </w:rPr>
        <w:fldChar w:fldCharType="separate"/>
      </w:r>
      <w:r w:rsidR="00F24822" w:rsidRPr="00C34AB1">
        <w:rPr>
          <w:rFonts w:cs="Arial"/>
          <w:color w:val="000000"/>
          <w:szCs w:val="18"/>
          <w:lang w:val="en-US" w:eastAsia="es-PE"/>
        </w:rPr>
        <w:t>Abdullah S., Abu Mansor A., Mohd Napi N. N. L., Wan Mansor W. N., Najah Ahmed A., Marzuki I., 2020, Air quality status during 2020 Malaysia Movement Control Order (MCO) due to 2019 novel coronavirus (2019-nCoV) pandemic. Science of the Total Environment, 729, 139-222.</w:t>
      </w:r>
    </w:p>
    <w:p w14:paraId="32B33CDA"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Anas O., Abdelfettah B., Mounia T., Moussa B., El Mahjoub C., Mohammed B., 2020, Impact of Covid-19 lockdown on PM10, SO2 and NO2 concentrations in Salé City (Morocco). Science of the Total Environment, 735, 139-541.</w:t>
      </w:r>
    </w:p>
    <w:p w14:paraId="213240B4"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Barbulescu A., Nazzal Y., Bou Orm N., Howari F., Sharma M., Badawi A. E., 2021,</w:t>
      </w:r>
      <w:r w:rsidRPr="00C34AB1">
        <w:rPr>
          <w:rFonts w:cs="Arial"/>
          <w:i/>
          <w:iCs/>
          <w:color w:val="000000"/>
          <w:szCs w:val="18"/>
          <w:lang w:val="en-US" w:eastAsia="es-PE"/>
        </w:rPr>
        <w:t xml:space="preserve"> </w:t>
      </w:r>
      <w:r w:rsidRPr="00C34AB1">
        <w:rPr>
          <w:rFonts w:cs="Arial"/>
          <w:color w:val="000000"/>
          <w:szCs w:val="18"/>
          <w:lang w:val="en-US" w:eastAsia="es-PE"/>
        </w:rPr>
        <w:t>Study of Atmospheric Pollution and Health Risk Assessment: A Case Study for the Sharjah and Ajman Emirates (UAE). Atmosphere, 12, 1-17.</w:t>
      </w:r>
    </w:p>
    <w:p w14:paraId="1FE8F423" w14:textId="4571FCD5" w:rsidR="00F24822" w:rsidRPr="00C34AB1" w:rsidRDefault="00F24822" w:rsidP="008B3E81">
      <w:pPr>
        <w:tabs>
          <w:tab w:val="clear" w:pos="7100"/>
        </w:tabs>
        <w:spacing w:line="240" w:lineRule="auto"/>
        <w:ind w:left="284" w:right="18" w:hanging="283"/>
        <w:rPr>
          <w:rFonts w:cs="Arial"/>
          <w:color w:val="000000"/>
          <w:szCs w:val="18"/>
          <w:lang w:val="es-PE" w:eastAsia="es-PE"/>
        </w:rPr>
      </w:pPr>
      <w:r w:rsidRPr="00C34AB1">
        <w:rPr>
          <w:rFonts w:cs="Arial"/>
          <w:color w:val="000000"/>
          <w:szCs w:val="18"/>
          <w:lang w:val="en-US" w:eastAsia="es-PE"/>
        </w:rPr>
        <w:t xml:space="preserve">Bayulken B., Huisingh D. y Fisher P., 2021, How are nature based solutions helping in the greening of cities in the context of crises such as climate change and pandemics? </w:t>
      </w:r>
      <w:r w:rsidRPr="00C34AB1">
        <w:rPr>
          <w:rFonts w:cs="Arial"/>
          <w:color w:val="000000"/>
          <w:szCs w:val="18"/>
          <w:lang w:val="es-PE" w:eastAsia="es-PE"/>
        </w:rPr>
        <w:t>A comprehensive review. Journal of Cleaner Production, 288, 125-569.</w:t>
      </w:r>
    </w:p>
    <w:p w14:paraId="40FD5304" w14:textId="5B4EAC81" w:rsidR="00567BB3" w:rsidRPr="00E51E8B" w:rsidRDefault="00567BB3" w:rsidP="008B3E81">
      <w:pPr>
        <w:tabs>
          <w:tab w:val="clear" w:pos="7100"/>
        </w:tabs>
        <w:spacing w:line="240" w:lineRule="auto"/>
        <w:ind w:left="284" w:right="18" w:hanging="283"/>
        <w:rPr>
          <w:rFonts w:cs="Arial"/>
          <w:color w:val="000000"/>
          <w:szCs w:val="18"/>
          <w:lang w:val="es-PE" w:eastAsia="es-PE"/>
        </w:rPr>
      </w:pPr>
      <w:r w:rsidRPr="00E51E8B">
        <w:rPr>
          <w:rFonts w:cs="Arial"/>
          <w:color w:val="000000"/>
          <w:szCs w:val="18"/>
          <w:lang w:val="es-PE" w:eastAsia="es-PE"/>
        </w:rPr>
        <w:t>Centurión, J y Fababa, E., 2020, Análisis de la concentración de material particulado 2.5 y gases de efecto invernadero de Lima Metropolitana antes y durante d</w:t>
      </w:r>
      <w:r w:rsidR="00C34AB1" w:rsidRPr="00E51E8B">
        <w:rPr>
          <w:rFonts w:cs="Arial"/>
          <w:color w:val="000000"/>
          <w:szCs w:val="18"/>
          <w:lang w:val="es-PE" w:eastAsia="es-PE"/>
        </w:rPr>
        <w:t>e la cuarentena por SAR´S COV-2,</w:t>
      </w:r>
      <w:r w:rsidRPr="00E51E8B">
        <w:rPr>
          <w:rFonts w:cs="Arial"/>
          <w:color w:val="000000"/>
          <w:szCs w:val="18"/>
          <w:lang w:val="es-PE" w:eastAsia="es-PE"/>
        </w:rPr>
        <w:t xml:space="preserve"> Tesis, Universidad Peruana de la Unión, Lima, Perú.</w:t>
      </w:r>
    </w:p>
    <w:p w14:paraId="46EAA5C7"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Cerrato M., Miró C. y Pinilla E., 2021, Effect of covid-19 lockdown on air quality in urban and suburban areas of extremadura, southwest spain: A case study in usually low polluted areas. Revista Internacional de Contaminación Ambiental, 37, 237-247.</w:t>
      </w:r>
    </w:p>
    <w:p w14:paraId="32E68C93"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Chu Z., Chen B., Yang J., 2021, Joint prevention and control mechanism for air pollution regulations in China: A policy simulation approach with evolutionary game. Environmental Impact Assessment Review, 91, 106-668.</w:t>
      </w:r>
    </w:p>
    <w:p w14:paraId="51ABAF9B"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Collivignarelli M. C., Abba A., Bertanza G., Pedrazzani R., Ricciardi P., Carnevale Miino M., 2020, Lockdown for CoViD-2019 in Milan: What are the effects on air quality?. Science of the Total Environment, 732, 139-280.</w:t>
      </w:r>
    </w:p>
    <w:p w14:paraId="427C9CBC"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Coskun, H., Yildirim, N., Gunduz, S. 2021. The spread of COVID-19 virus through population density and wind in Turkey cities. Science of the Total Environment, 751, 141- 663.</w:t>
      </w:r>
    </w:p>
    <w:p w14:paraId="4195A074"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Dong, F., Wang, Y. Zheng,L., Li J.,2020, Can industrial agglomeration promote pollution agglomeration? Evidence from China, Journal of Cleaner Production, 246, 118-960.</w:t>
      </w:r>
    </w:p>
    <w:p w14:paraId="243958E9"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lastRenderedPageBreak/>
        <w:t>García, A., Cuéllar, I. 2020. Psychological impact of lockdown (confinement) on young children and how to mitigate its effects: Rapid review of the evidence. Anuales de Pediatría, 93, 57-58.</w:t>
      </w:r>
    </w:p>
    <w:p w14:paraId="4714A328"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Gaurav M., Kunal G., Anubhav Khumar D., Manish K., Sidyant K., Sudheer C., 2021, An application of probability density function for the analysis of PM2.5 concentration during the COVID-19 lockdown period. Science of the Total Environment, 782, 146-681.</w:t>
      </w:r>
    </w:p>
    <w:p w14:paraId="7DC41E6D"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Gómez, L., Santos, J., Toledo, T., Costa, N., Costa, N., Lemker,W., 2020, Air quality status and trends over large cities in South America. Environmental Science and Policy, 114, 422-435.</w:t>
      </w:r>
    </w:p>
    <w:p w14:paraId="67D04730" w14:textId="036045FE" w:rsidR="00F24822" w:rsidRPr="00C34AB1" w:rsidRDefault="00F24822" w:rsidP="008B3E81">
      <w:pPr>
        <w:tabs>
          <w:tab w:val="clear" w:pos="7100"/>
        </w:tabs>
        <w:spacing w:line="240" w:lineRule="auto"/>
        <w:ind w:left="284" w:right="18" w:hanging="283"/>
        <w:rPr>
          <w:rFonts w:cs="Arial"/>
          <w:color w:val="000000"/>
          <w:szCs w:val="18"/>
          <w:lang w:val="en-US" w:eastAsia="es-PE"/>
        </w:rPr>
      </w:pPr>
      <w:r w:rsidRPr="00C34AB1">
        <w:rPr>
          <w:rFonts w:cs="Arial"/>
          <w:color w:val="000000"/>
          <w:szCs w:val="18"/>
          <w:lang w:val="en-US" w:eastAsia="es-PE"/>
        </w:rPr>
        <w:t>Guevara, J.  2017. Índice de calidad de aire en el Distrito de Morales debido a la presencia de material particulado 2.5 microgramos. Tesis de Licenciatura, Universidad</w:t>
      </w:r>
      <w:r w:rsidR="00D942B6" w:rsidRPr="00C34AB1">
        <w:rPr>
          <w:rFonts w:cs="Arial"/>
          <w:color w:val="000000"/>
          <w:szCs w:val="18"/>
          <w:lang w:val="en-US" w:eastAsia="es-PE"/>
        </w:rPr>
        <w:t xml:space="preserve"> Privada de la Unión, Tarapoto.</w:t>
      </w:r>
    </w:p>
    <w:p w14:paraId="1F69E529" w14:textId="3283A0C4" w:rsidR="00D942B6" w:rsidRPr="00C34AB1" w:rsidRDefault="00D942B6" w:rsidP="008B3E81">
      <w:pPr>
        <w:tabs>
          <w:tab w:val="clear" w:pos="7100"/>
        </w:tabs>
        <w:spacing w:line="240" w:lineRule="auto"/>
        <w:ind w:left="284" w:right="18" w:hanging="283"/>
        <w:rPr>
          <w:rFonts w:cs="Arial"/>
          <w:color w:val="000000"/>
          <w:szCs w:val="18"/>
          <w:lang w:val="en-US" w:eastAsia="es-PE"/>
        </w:rPr>
      </w:pPr>
      <w:r w:rsidRPr="00C34AB1">
        <w:rPr>
          <w:rFonts w:cs="Arial"/>
          <w:color w:val="000000"/>
          <w:szCs w:val="18"/>
          <w:lang w:val="en-US" w:eastAsia="es-PE"/>
        </w:rPr>
        <w:t>Guillot, J., 2021, Adaptations of Olfactometry and Odour Measurement with COVID-19 Crisis.Chemical Engineering Transactions, 85, 97-102.</w:t>
      </w:r>
    </w:p>
    <w:p w14:paraId="3C47E590" w14:textId="70976418"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s-PE" w:eastAsia="es-PE"/>
        </w:rPr>
        <w:t xml:space="preserve">Guzmán J., 2019, Evaluación de la calidad del aire de la central térmica de Ventanilla. </w:t>
      </w:r>
      <w:r w:rsidRPr="00C34AB1">
        <w:rPr>
          <w:rFonts w:cs="Arial"/>
          <w:color w:val="000000"/>
          <w:szCs w:val="18"/>
          <w:lang w:val="en-US" w:eastAsia="es-PE"/>
        </w:rPr>
        <w:t>Tesis de Licenciatura. Universidad Nacional Federico Villarreal, Lima. </w:t>
      </w:r>
    </w:p>
    <w:p w14:paraId="2D3E9915"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n-US" w:eastAsia="es-PE"/>
        </w:rPr>
        <w:t xml:space="preserve">HE J., Gong S., Yu Y., Yu L., Wu L., Mao H., 2017, Air pollution characteristics and their relation to meteorological conditions during 2014–2015 in major Chinese cities. </w:t>
      </w:r>
      <w:r w:rsidRPr="00C34AB1">
        <w:rPr>
          <w:rFonts w:cs="Arial"/>
          <w:color w:val="000000"/>
          <w:szCs w:val="18"/>
          <w:lang w:val="es-PE" w:eastAsia="es-PE"/>
        </w:rPr>
        <w:t>Environmental Pollution, 223, 484-496.</w:t>
      </w:r>
    </w:p>
    <w:p w14:paraId="55839750"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Huarancca, A. 2018. Manejo y gestión de la calidad del aire monitoreado constantemente la Carretera Central Tesis de licenciatura, Universidad Nacional de Educación Enrique Guzmán y Valle, Lima.</w:t>
      </w:r>
    </w:p>
    <w:p w14:paraId="3450CC5A" w14:textId="2E1A0FD3"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Jurado, J., Valentín,L, 2021, Efectos del aislamiento social obligatorio por COVID-19 en la calidad del aire (NO2, PM 2.5) en San Juan de Lurigancho, Lima – Perú. Tesis de Licenciatura, Universidad Peruana Unión, Chosica.</w:t>
      </w:r>
    </w:p>
    <w:p w14:paraId="1ABC6EF1"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Lanchipa, T., Moreno, K., Luque, B. 2020. Perspectiva del COVID-19 sobre la contaminación del aire. Rev. Soc. cient. Parag, 25, 155-182.</w:t>
      </w:r>
    </w:p>
    <w:p w14:paraId="49F8C9A6"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Ministerio del Ambiente (MINAM). D.S. N° 003- 2017-  Aprueban Estándares de Calidad Ambiental (ECA) para aire y establecen disposiciones complementarias. &lt;inia.minam.gob.pe/normas/aprueban-estandares-calidad-ambiental-eca-aire-establecen-disposiciones&gt;</w:t>
      </w:r>
    </w:p>
    <w:p w14:paraId="685CC4B0"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Mukherjee S., Boral S., Siddiqi H., Mishra A., Charan Meikap B., 2021, Present cum future of SARS-CoV-2 virus and its associated control of virus-laden air pollutants leading to potential environmental threat-A global review. Journal of Cleaner Production, 9, 104-973.</w:t>
      </w:r>
    </w:p>
    <w:p w14:paraId="49F2768B"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n-US" w:eastAsia="es-PE"/>
        </w:rPr>
        <w:t xml:space="preserve">Nakada L. y Urban R., 2020, COVID-19 pandemic: Impacts on the air quality during the partial lockdown in São Paulo state, Brazil. </w:t>
      </w:r>
      <w:r w:rsidRPr="00C34AB1">
        <w:rPr>
          <w:rFonts w:cs="Arial"/>
          <w:color w:val="000000"/>
          <w:szCs w:val="18"/>
          <w:lang w:val="es-PE" w:eastAsia="es-PE"/>
        </w:rPr>
        <w:t>Science of the Total Environment, 730, 1-139.</w:t>
      </w:r>
    </w:p>
    <w:p w14:paraId="75BA8DD5"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Organización Mundial de la Salud (OMS). 2020. Efectos de las cuarentenas y restricciones de actividad relacionadas con el COVID- 19 sobre la calidad del aire en las ciudades de América Latina. Abril 2020. &lt;www.cepal.org/sites/default/files/publication/files/45839/S2000476_es.pdf&gt;</w:t>
      </w:r>
    </w:p>
    <w:p w14:paraId="10E00E55"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s-PE" w:eastAsia="es-PE"/>
        </w:rPr>
      </w:pPr>
      <w:r w:rsidRPr="00C34AB1">
        <w:rPr>
          <w:rFonts w:cs="Arial"/>
          <w:color w:val="000000"/>
          <w:szCs w:val="18"/>
          <w:lang w:val="es-PE" w:eastAsia="es-PE"/>
        </w:rPr>
        <w:t>Pacsi, S., 2016, Análisis temporal y espacial de la calidad del aire determinado por material particulado PM10 y PM2.5 en Lima Metropolitana. Anales Científicos, 77, 1-273.</w:t>
      </w:r>
    </w:p>
    <w:p w14:paraId="7E92805B"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s-PE" w:eastAsia="es-PE"/>
        </w:rPr>
        <w:t xml:space="preserve">Pérez, E., 2018, Plan de Ordenamiento Territorial, como instrumento de Planificación y Gestión de San Juan de Lurigancho 2018. </w:t>
      </w:r>
      <w:r w:rsidRPr="00C34AB1">
        <w:rPr>
          <w:rFonts w:cs="Arial"/>
          <w:color w:val="000000"/>
          <w:szCs w:val="18"/>
          <w:lang w:val="en-US" w:eastAsia="es-PE"/>
        </w:rPr>
        <w:t>Tesis de Licenciatura, Universidad Nacional Federico Villarreal, Lima.</w:t>
      </w:r>
    </w:p>
    <w:p w14:paraId="55532D13"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PNUD, 2021, Air quality monitoring data for analysis of the pace and intensity of the coronavirus (COVID-19) spread in Central and Eastern Europe and the Balkans &lt;www.undp.org/sites/g/files/zskgke326/files/2021-10/UNDP-DFS-Air-Quality-Monitoring-Data-COVID-19-Spread-in-Central-and-Eastern-Europe-and-the-Balkans-V2.pdf&gt; accessed 31.10.2021.</w:t>
      </w:r>
    </w:p>
    <w:p w14:paraId="72F52238"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Represa N., Della Ceca L. S., Abril G., García Ferreyra M. F., Scavuzzo C. M, 2021, Atmospheric pollutants assessment during the covid-19 lockdown using remote sensing and ground-based measurements in Buenos Aires, Argentina. Aerosol and Air Quality Research, 21, 1-12. </w:t>
      </w:r>
    </w:p>
    <w:p w14:paraId="412EA2E6"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Sunyer, J. et al., 2021. Environment and the COVID-19 pandemic. Environmental Research, 195, 110-189.</w:t>
      </w:r>
    </w:p>
    <w:p w14:paraId="352C2267"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Tobías A., Carnerero C., Reche C., Massagué J. Via M., Cruz Minguillón M., 2020, Changes in air quality during the lockdown in Barcelona (Spain) one month into the SARS-CoV-2 epidemic. Science of the Total Environment, 726, 1-138.</w:t>
      </w:r>
    </w:p>
    <w:p w14:paraId="7930A2E1" w14:textId="5E0F9F06" w:rsidR="00F24822" w:rsidRPr="00C34AB1" w:rsidRDefault="00F24822" w:rsidP="008B3E81">
      <w:pPr>
        <w:tabs>
          <w:tab w:val="clear" w:pos="7100"/>
        </w:tabs>
        <w:spacing w:line="240" w:lineRule="auto"/>
        <w:ind w:left="284" w:right="18" w:hanging="283"/>
        <w:rPr>
          <w:rFonts w:cs="Arial"/>
          <w:color w:val="000000"/>
          <w:szCs w:val="18"/>
          <w:lang w:val="en-US" w:eastAsia="es-PE"/>
        </w:rPr>
      </w:pPr>
      <w:r w:rsidRPr="00C34AB1">
        <w:rPr>
          <w:rFonts w:cs="Arial"/>
          <w:color w:val="000000"/>
          <w:szCs w:val="18"/>
          <w:lang w:val="en-US" w:eastAsia="es-PE"/>
        </w:rPr>
        <w:t>Skiriené, A. y Stasiskiené, Z., 2021, COVID-19 and Air Pollution: Measuring Pandemic Impact to Air Quality in Five European Countries. Institute of Environmental Engineering, 12, 200-290.</w:t>
      </w:r>
    </w:p>
    <w:p w14:paraId="1854A198" w14:textId="19EA8914" w:rsidR="00D942B6" w:rsidRPr="00C34AB1" w:rsidRDefault="00D942B6" w:rsidP="008B3E81">
      <w:pPr>
        <w:tabs>
          <w:tab w:val="clear" w:pos="7100"/>
        </w:tabs>
        <w:spacing w:line="240" w:lineRule="auto"/>
        <w:ind w:left="284" w:right="18" w:hanging="283"/>
        <w:rPr>
          <w:rFonts w:cs="Arial"/>
          <w:color w:val="000000"/>
          <w:szCs w:val="18"/>
          <w:lang w:val="en-US" w:eastAsia="es-PE"/>
        </w:rPr>
      </w:pPr>
      <w:r w:rsidRPr="00C34AB1">
        <w:rPr>
          <w:rFonts w:cs="Arial"/>
          <w:color w:val="000000"/>
          <w:szCs w:val="18"/>
          <w:lang w:val="en-US" w:eastAsia="es-PE"/>
        </w:rPr>
        <w:t>Suriya, R. y Shreeshidavasan, C., 2021, The Impact of Movement Control Order (MCO) during COVID-19 Pandemic on Air and Water Quality in Malaysia: A Mini Review. Chemical Engineering transaction, 89, 1-6.</w:t>
      </w:r>
    </w:p>
    <w:p w14:paraId="59E58D4B" w14:textId="340A992C" w:rsidR="00F24822" w:rsidRPr="00C34AB1" w:rsidRDefault="00F24822" w:rsidP="008B3E81">
      <w:pPr>
        <w:tabs>
          <w:tab w:val="clear" w:pos="7100"/>
        </w:tabs>
        <w:spacing w:line="240" w:lineRule="auto"/>
        <w:ind w:left="284" w:right="18" w:hanging="283"/>
        <w:rPr>
          <w:rFonts w:cs="Arial"/>
          <w:color w:val="000000"/>
          <w:szCs w:val="18"/>
          <w:lang w:val="en-US" w:eastAsia="es-PE"/>
        </w:rPr>
      </w:pPr>
      <w:r w:rsidRPr="00C34AB1">
        <w:rPr>
          <w:rFonts w:cs="Arial"/>
          <w:color w:val="000000"/>
          <w:szCs w:val="18"/>
          <w:lang w:val="en-US" w:eastAsia="es-PE"/>
        </w:rPr>
        <w:t>WORLD HEALTH ORGANIZATION. 2016. Ambient air pollution: a global assessment of exposure and burden of disease. Clean Air Journal. 26, 1-6 &lt;doi.org/10.17159/2410-972X/2016/v26n2a4.&gt;</w:t>
      </w:r>
    </w:p>
    <w:p w14:paraId="566A6451" w14:textId="77777777" w:rsidR="00F24822" w:rsidRPr="00C34AB1"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Yin, H., Liu,C., Hu, Q., Liu, T., Wang, S., Gao, M. 2021, Opposite impact of emission reduction during the COVID-19 lockdown period on the surface concentrations of PM2.5 and O3 in Wuhan, China. Environmental Pollution, 289, 31- 119.</w:t>
      </w:r>
    </w:p>
    <w:p w14:paraId="4A974ABF" w14:textId="6D3A1934" w:rsidR="00F24822" w:rsidRPr="000836A4" w:rsidRDefault="00F24822" w:rsidP="008B3E81">
      <w:pPr>
        <w:tabs>
          <w:tab w:val="clear" w:pos="7100"/>
        </w:tabs>
        <w:spacing w:line="240" w:lineRule="auto"/>
        <w:ind w:left="284" w:right="18" w:hanging="283"/>
        <w:rPr>
          <w:rFonts w:ascii="Times New Roman" w:hAnsi="Times New Roman"/>
          <w:sz w:val="24"/>
          <w:szCs w:val="24"/>
          <w:lang w:val="en-US" w:eastAsia="es-PE"/>
        </w:rPr>
      </w:pPr>
      <w:r w:rsidRPr="00C34AB1">
        <w:rPr>
          <w:rFonts w:cs="Arial"/>
          <w:color w:val="000000"/>
          <w:szCs w:val="18"/>
          <w:lang w:val="en-US" w:eastAsia="es-PE"/>
        </w:rPr>
        <w:t xml:space="preserve">Zhang, X., Chen, </w:t>
      </w:r>
      <w:r w:rsidR="000836A4" w:rsidRPr="00C34AB1">
        <w:rPr>
          <w:rFonts w:cs="Arial"/>
          <w:color w:val="000000"/>
          <w:szCs w:val="18"/>
          <w:lang w:val="en-US" w:eastAsia="es-PE"/>
        </w:rPr>
        <w:t>L.,</w:t>
      </w:r>
      <w:r w:rsidRPr="00C34AB1">
        <w:rPr>
          <w:rFonts w:cs="Arial"/>
          <w:color w:val="000000"/>
          <w:szCs w:val="18"/>
          <w:lang w:val="en-US" w:eastAsia="es-PE"/>
        </w:rPr>
        <w:t xml:space="preserve"> Yuan, R., 2020, Effect of natural and anthropic factors on the spatiotemporal pattern of haze pollution control of China. Journal of Cleaner Production, 251, 119- 531.</w:t>
      </w:r>
    </w:p>
    <w:p w14:paraId="3657C47F" w14:textId="26572C39" w:rsidR="00B911EE" w:rsidRPr="00B911EE" w:rsidRDefault="00B911EE" w:rsidP="008B3E81">
      <w:pPr>
        <w:pStyle w:val="CETReferencetext"/>
        <w:rPr>
          <w:lang w:val="en-US"/>
        </w:rPr>
      </w:pPr>
      <w:r w:rsidRPr="00B911EE">
        <w:fldChar w:fldCharType="end"/>
      </w:r>
    </w:p>
    <w:p w14:paraId="5E3140FA" w14:textId="77777777" w:rsidR="004628D2" w:rsidRPr="005D64B3" w:rsidRDefault="004628D2" w:rsidP="008B3E81">
      <w:pPr>
        <w:pStyle w:val="CETBodytext"/>
        <w:ind w:left="284"/>
        <w:jc w:val="center"/>
      </w:pPr>
    </w:p>
    <w:sectPr w:rsidR="004628D2" w:rsidRPr="005D64B3"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A5DFB" w14:textId="77777777" w:rsidR="00270FC7" w:rsidRDefault="00270FC7" w:rsidP="004F5E36">
      <w:r>
        <w:separator/>
      </w:r>
    </w:p>
  </w:endnote>
  <w:endnote w:type="continuationSeparator" w:id="0">
    <w:p w14:paraId="5BD93A11" w14:textId="77777777" w:rsidR="00270FC7" w:rsidRDefault="00270FC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6A3D5" w14:textId="77777777" w:rsidR="00270FC7" w:rsidRDefault="00270FC7" w:rsidP="004F5E36">
      <w:r>
        <w:separator/>
      </w:r>
    </w:p>
  </w:footnote>
  <w:footnote w:type="continuationSeparator" w:id="0">
    <w:p w14:paraId="587AE66A" w14:textId="77777777" w:rsidR="00270FC7" w:rsidRDefault="00270FC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03097F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284"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71EEE"/>
    <w:multiLevelType w:val="multilevel"/>
    <w:tmpl w:val="A31CDD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5E80BBE"/>
    <w:multiLevelType w:val="hybridMultilevel"/>
    <w:tmpl w:val="3126DF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26C"/>
    <w:rsid w:val="0000090B"/>
    <w:rsid w:val="000027C0"/>
    <w:rsid w:val="000052FB"/>
    <w:rsid w:val="000117CB"/>
    <w:rsid w:val="0003148D"/>
    <w:rsid w:val="00051566"/>
    <w:rsid w:val="00062A9A"/>
    <w:rsid w:val="00065058"/>
    <w:rsid w:val="00080A16"/>
    <w:rsid w:val="000836A4"/>
    <w:rsid w:val="00086C39"/>
    <w:rsid w:val="00086E6C"/>
    <w:rsid w:val="000A03B2"/>
    <w:rsid w:val="000A53A2"/>
    <w:rsid w:val="000A5A85"/>
    <w:rsid w:val="000C6178"/>
    <w:rsid w:val="000D0268"/>
    <w:rsid w:val="000D34BE"/>
    <w:rsid w:val="000E102F"/>
    <w:rsid w:val="000E36F1"/>
    <w:rsid w:val="000E3A73"/>
    <w:rsid w:val="000E414A"/>
    <w:rsid w:val="000F093C"/>
    <w:rsid w:val="000F787B"/>
    <w:rsid w:val="0011455D"/>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26CB"/>
    <w:rsid w:val="001B2860"/>
    <w:rsid w:val="001B65C1"/>
    <w:rsid w:val="001C684B"/>
    <w:rsid w:val="001C74E4"/>
    <w:rsid w:val="001D53FC"/>
    <w:rsid w:val="001E5B19"/>
    <w:rsid w:val="001F2E24"/>
    <w:rsid w:val="001F30CD"/>
    <w:rsid w:val="001F42A5"/>
    <w:rsid w:val="001F54FE"/>
    <w:rsid w:val="001F67BF"/>
    <w:rsid w:val="001F7B9D"/>
    <w:rsid w:val="00210A1D"/>
    <w:rsid w:val="00212627"/>
    <w:rsid w:val="002224B4"/>
    <w:rsid w:val="002447EF"/>
    <w:rsid w:val="00251550"/>
    <w:rsid w:val="0025375A"/>
    <w:rsid w:val="002618C9"/>
    <w:rsid w:val="00263B05"/>
    <w:rsid w:val="00266A4B"/>
    <w:rsid w:val="00270FC7"/>
    <w:rsid w:val="0027221A"/>
    <w:rsid w:val="00275B61"/>
    <w:rsid w:val="00282656"/>
    <w:rsid w:val="002833E5"/>
    <w:rsid w:val="00296279"/>
    <w:rsid w:val="00296B83"/>
    <w:rsid w:val="002B2956"/>
    <w:rsid w:val="002B78CE"/>
    <w:rsid w:val="002C2FB6"/>
    <w:rsid w:val="002F3309"/>
    <w:rsid w:val="003009B7"/>
    <w:rsid w:val="00300E56"/>
    <w:rsid w:val="00303F79"/>
    <w:rsid w:val="0030469C"/>
    <w:rsid w:val="00305BB2"/>
    <w:rsid w:val="00321CA6"/>
    <w:rsid w:val="00323763"/>
    <w:rsid w:val="003253BA"/>
    <w:rsid w:val="00334C09"/>
    <w:rsid w:val="003723D4"/>
    <w:rsid w:val="00381905"/>
    <w:rsid w:val="00384CC8"/>
    <w:rsid w:val="003871FD"/>
    <w:rsid w:val="003A1E30"/>
    <w:rsid w:val="003A6561"/>
    <w:rsid w:val="003A7D1C"/>
    <w:rsid w:val="003B304B"/>
    <w:rsid w:val="003B3146"/>
    <w:rsid w:val="003B4D1C"/>
    <w:rsid w:val="003E40A3"/>
    <w:rsid w:val="003F015E"/>
    <w:rsid w:val="003F1137"/>
    <w:rsid w:val="003F5544"/>
    <w:rsid w:val="00400414"/>
    <w:rsid w:val="00403780"/>
    <w:rsid w:val="00412957"/>
    <w:rsid w:val="0041446B"/>
    <w:rsid w:val="004268B5"/>
    <w:rsid w:val="0044329C"/>
    <w:rsid w:val="00457780"/>
    <w:rsid w:val="004577FE"/>
    <w:rsid w:val="00457B9C"/>
    <w:rsid w:val="0046164A"/>
    <w:rsid w:val="004628D2"/>
    <w:rsid w:val="00462DCD"/>
    <w:rsid w:val="004648AD"/>
    <w:rsid w:val="004703A9"/>
    <w:rsid w:val="00475927"/>
    <w:rsid w:val="004760DE"/>
    <w:rsid w:val="004763D7"/>
    <w:rsid w:val="004A004E"/>
    <w:rsid w:val="004A24CF"/>
    <w:rsid w:val="004B38F8"/>
    <w:rsid w:val="004C3D1D"/>
    <w:rsid w:val="004C7913"/>
    <w:rsid w:val="004E4DD6"/>
    <w:rsid w:val="004F558C"/>
    <w:rsid w:val="004F5E36"/>
    <w:rsid w:val="00500A1A"/>
    <w:rsid w:val="00507A22"/>
    <w:rsid w:val="00507B47"/>
    <w:rsid w:val="00507BEF"/>
    <w:rsid w:val="00507CC9"/>
    <w:rsid w:val="005119A5"/>
    <w:rsid w:val="00525ADF"/>
    <w:rsid w:val="005278B7"/>
    <w:rsid w:val="00532016"/>
    <w:rsid w:val="005346C8"/>
    <w:rsid w:val="00543E7D"/>
    <w:rsid w:val="00547A68"/>
    <w:rsid w:val="005531C9"/>
    <w:rsid w:val="00567BB3"/>
    <w:rsid w:val="00570C43"/>
    <w:rsid w:val="00582C63"/>
    <w:rsid w:val="0059481B"/>
    <w:rsid w:val="005958FC"/>
    <w:rsid w:val="005977CA"/>
    <w:rsid w:val="005B2110"/>
    <w:rsid w:val="005B61E6"/>
    <w:rsid w:val="005C77E1"/>
    <w:rsid w:val="005D64B3"/>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45369"/>
    <w:rsid w:val="00660E3E"/>
    <w:rsid w:val="00662E74"/>
    <w:rsid w:val="006644D6"/>
    <w:rsid w:val="00674B35"/>
    <w:rsid w:val="00680C23"/>
    <w:rsid w:val="00693766"/>
    <w:rsid w:val="006A3281"/>
    <w:rsid w:val="006B4888"/>
    <w:rsid w:val="006C2E45"/>
    <w:rsid w:val="006C359C"/>
    <w:rsid w:val="006C5579"/>
    <w:rsid w:val="006D108B"/>
    <w:rsid w:val="006D6E8B"/>
    <w:rsid w:val="006E737D"/>
    <w:rsid w:val="006F2D3A"/>
    <w:rsid w:val="00701C6C"/>
    <w:rsid w:val="00720A24"/>
    <w:rsid w:val="00732386"/>
    <w:rsid w:val="0073514D"/>
    <w:rsid w:val="007447F3"/>
    <w:rsid w:val="00750242"/>
    <w:rsid w:val="0075499F"/>
    <w:rsid w:val="007661C8"/>
    <w:rsid w:val="007705EF"/>
    <w:rsid w:val="0077098D"/>
    <w:rsid w:val="00775A55"/>
    <w:rsid w:val="007931FA"/>
    <w:rsid w:val="007A4861"/>
    <w:rsid w:val="007A7BBA"/>
    <w:rsid w:val="007B0C50"/>
    <w:rsid w:val="007B265D"/>
    <w:rsid w:val="007B34D1"/>
    <w:rsid w:val="007C1A43"/>
    <w:rsid w:val="007D4C19"/>
    <w:rsid w:val="007E5687"/>
    <w:rsid w:val="007F4033"/>
    <w:rsid w:val="007F5A94"/>
    <w:rsid w:val="0080013E"/>
    <w:rsid w:val="00813288"/>
    <w:rsid w:val="00815A19"/>
    <w:rsid w:val="008168FC"/>
    <w:rsid w:val="00830996"/>
    <w:rsid w:val="008345F1"/>
    <w:rsid w:val="00865B07"/>
    <w:rsid w:val="008667EA"/>
    <w:rsid w:val="0087637F"/>
    <w:rsid w:val="00881CEC"/>
    <w:rsid w:val="00892AD5"/>
    <w:rsid w:val="008A1512"/>
    <w:rsid w:val="008A46E5"/>
    <w:rsid w:val="008B156C"/>
    <w:rsid w:val="008B3E81"/>
    <w:rsid w:val="008D32B9"/>
    <w:rsid w:val="008D433B"/>
    <w:rsid w:val="008E566E"/>
    <w:rsid w:val="008E6B71"/>
    <w:rsid w:val="0090161A"/>
    <w:rsid w:val="00901EB6"/>
    <w:rsid w:val="00904C62"/>
    <w:rsid w:val="0091690C"/>
    <w:rsid w:val="00922BA8"/>
    <w:rsid w:val="00924DAC"/>
    <w:rsid w:val="00927058"/>
    <w:rsid w:val="00942750"/>
    <w:rsid w:val="009450CE"/>
    <w:rsid w:val="009454CD"/>
    <w:rsid w:val="00947179"/>
    <w:rsid w:val="0095164B"/>
    <w:rsid w:val="00954090"/>
    <w:rsid w:val="009573E7"/>
    <w:rsid w:val="00963E05"/>
    <w:rsid w:val="00964AE6"/>
    <w:rsid w:val="00967843"/>
    <w:rsid w:val="00967D54"/>
    <w:rsid w:val="00971028"/>
    <w:rsid w:val="00981A04"/>
    <w:rsid w:val="0099418D"/>
    <w:rsid w:val="00996483"/>
    <w:rsid w:val="00996F5A"/>
    <w:rsid w:val="009B041A"/>
    <w:rsid w:val="009C37C3"/>
    <w:rsid w:val="009C7C86"/>
    <w:rsid w:val="009D2FF7"/>
    <w:rsid w:val="009E4859"/>
    <w:rsid w:val="009E7884"/>
    <w:rsid w:val="009E788A"/>
    <w:rsid w:val="009F0E08"/>
    <w:rsid w:val="009F1258"/>
    <w:rsid w:val="00A1763D"/>
    <w:rsid w:val="00A17CEC"/>
    <w:rsid w:val="00A278E9"/>
    <w:rsid w:val="00A27EF0"/>
    <w:rsid w:val="00A324A3"/>
    <w:rsid w:val="00A37A75"/>
    <w:rsid w:val="00A42361"/>
    <w:rsid w:val="00A42589"/>
    <w:rsid w:val="00A44AD2"/>
    <w:rsid w:val="00A50B20"/>
    <w:rsid w:val="00A51390"/>
    <w:rsid w:val="00A5292A"/>
    <w:rsid w:val="00A60D13"/>
    <w:rsid w:val="00A72745"/>
    <w:rsid w:val="00A76EFC"/>
    <w:rsid w:val="00A8156F"/>
    <w:rsid w:val="00A91010"/>
    <w:rsid w:val="00A91531"/>
    <w:rsid w:val="00A92C2C"/>
    <w:rsid w:val="00A9741F"/>
    <w:rsid w:val="00A97F29"/>
    <w:rsid w:val="00AA0D1E"/>
    <w:rsid w:val="00AA702E"/>
    <w:rsid w:val="00AB0964"/>
    <w:rsid w:val="00AB5011"/>
    <w:rsid w:val="00AB6233"/>
    <w:rsid w:val="00AB6B3C"/>
    <w:rsid w:val="00AC7368"/>
    <w:rsid w:val="00AC756E"/>
    <w:rsid w:val="00AD16B9"/>
    <w:rsid w:val="00AE377D"/>
    <w:rsid w:val="00AF0EBA"/>
    <w:rsid w:val="00B02C8A"/>
    <w:rsid w:val="00B07A08"/>
    <w:rsid w:val="00B13162"/>
    <w:rsid w:val="00B17FBD"/>
    <w:rsid w:val="00B24754"/>
    <w:rsid w:val="00B315A6"/>
    <w:rsid w:val="00B31813"/>
    <w:rsid w:val="00B33365"/>
    <w:rsid w:val="00B5767D"/>
    <w:rsid w:val="00B57B36"/>
    <w:rsid w:val="00B671E5"/>
    <w:rsid w:val="00B70DD8"/>
    <w:rsid w:val="00B8686D"/>
    <w:rsid w:val="00B911EE"/>
    <w:rsid w:val="00BA7EF5"/>
    <w:rsid w:val="00BB1DDC"/>
    <w:rsid w:val="00BC30C9"/>
    <w:rsid w:val="00BC7777"/>
    <w:rsid w:val="00BE3E58"/>
    <w:rsid w:val="00C01616"/>
    <w:rsid w:val="00C0162B"/>
    <w:rsid w:val="00C068ED"/>
    <w:rsid w:val="00C14646"/>
    <w:rsid w:val="00C25305"/>
    <w:rsid w:val="00C345B1"/>
    <w:rsid w:val="00C34AB1"/>
    <w:rsid w:val="00C40142"/>
    <w:rsid w:val="00C564EA"/>
    <w:rsid w:val="00C57182"/>
    <w:rsid w:val="00C57863"/>
    <w:rsid w:val="00C655FD"/>
    <w:rsid w:val="00C75407"/>
    <w:rsid w:val="00C81B13"/>
    <w:rsid w:val="00C870A8"/>
    <w:rsid w:val="00C94434"/>
    <w:rsid w:val="00CA0D75"/>
    <w:rsid w:val="00CA1C95"/>
    <w:rsid w:val="00CA5A9C"/>
    <w:rsid w:val="00CB5CCA"/>
    <w:rsid w:val="00CC4C20"/>
    <w:rsid w:val="00CD3517"/>
    <w:rsid w:val="00CD3E46"/>
    <w:rsid w:val="00CD5FE2"/>
    <w:rsid w:val="00CE1618"/>
    <w:rsid w:val="00CE190C"/>
    <w:rsid w:val="00CE7C68"/>
    <w:rsid w:val="00D02B4C"/>
    <w:rsid w:val="00D03E76"/>
    <w:rsid w:val="00D040C4"/>
    <w:rsid w:val="00D3452A"/>
    <w:rsid w:val="00D42761"/>
    <w:rsid w:val="00D5371E"/>
    <w:rsid w:val="00D57C84"/>
    <w:rsid w:val="00D6057D"/>
    <w:rsid w:val="00D73A74"/>
    <w:rsid w:val="00D82616"/>
    <w:rsid w:val="00D836C5"/>
    <w:rsid w:val="00D84576"/>
    <w:rsid w:val="00D8620B"/>
    <w:rsid w:val="00D942B6"/>
    <w:rsid w:val="00DA1399"/>
    <w:rsid w:val="00DA24C6"/>
    <w:rsid w:val="00DA4D7B"/>
    <w:rsid w:val="00DB19AA"/>
    <w:rsid w:val="00DB580B"/>
    <w:rsid w:val="00DE264A"/>
    <w:rsid w:val="00DF5072"/>
    <w:rsid w:val="00E02D18"/>
    <w:rsid w:val="00E041E7"/>
    <w:rsid w:val="00E23CA1"/>
    <w:rsid w:val="00E409A8"/>
    <w:rsid w:val="00E46B51"/>
    <w:rsid w:val="00E50C12"/>
    <w:rsid w:val="00E51E8B"/>
    <w:rsid w:val="00E65B91"/>
    <w:rsid w:val="00E7209D"/>
    <w:rsid w:val="00E77223"/>
    <w:rsid w:val="00E83174"/>
    <w:rsid w:val="00E8528B"/>
    <w:rsid w:val="00E85B94"/>
    <w:rsid w:val="00E86F4A"/>
    <w:rsid w:val="00E978D0"/>
    <w:rsid w:val="00EA4613"/>
    <w:rsid w:val="00EA7F91"/>
    <w:rsid w:val="00EB04A8"/>
    <w:rsid w:val="00EB1523"/>
    <w:rsid w:val="00EC0E49"/>
    <w:rsid w:val="00EC101F"/>
    <w:rsid w:val="00EC1D9F"/>
    <w:rsid w:val="00EE0131"/>
    <w:rsid w:val="00EE033E"/>
    <w:rsid w:val="00EE17B0"/>
    <w:rsid w:val="00EF06D9"/>
    <w:rsid w:val="00F24822"/>
    <w:rsid w:val="00F27845"/>
    <w:rsid w:val="00F30C64"/>
    <w:rsid w:val="00F31BC5"/>
    <w:rsid w:val="00F32CDB"/>
    <w:rsid w:val="00F404BE"/>
    <w:rsid w:val="00F4385D"/>
    <w:rsid w:val="00F512A5"/>
    <w:rsid w:val="00F565FE"/>
    <w:rsid w:val="00F63A70"/>
    <w:rsid w:val="00F701DD"/>
    <w:rsid w:val="00F7250D"/>
    <w:rsid w:val="00F84164"/>
    <w:rsid w:val="00F93DBB"/>
    <w:rsid w:val="00F956B6"/>
    <w:rsid w:val="00FA21D0"/>
    <w:rsid w:val="00FA5F5F"/>
    <w:rsid w:val="00FB730C"/>
    <w:rsid w:val="00FC2695"/>
    <w:rsid w:val="00FC3E03"/>
    <w:rsid w:val="00FC3FC1"/>
    <w:rsid w:val="00FD3E85"/>
    <w:rsid w:val="00FE39B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5375A"/>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5375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2647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294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6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alcaso@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9A22-6119-42CD-9CD1-F3864BE0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6</Pages>
  <Words>3633</Words>
  <Characters>19982</Characters>
  <Application>Microsoft Office Word</Application>
  <DocSecurity>0</DocSecurity>
  <Lines>166</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25</cp:revision>
  <cp:lastPrinted>2015-05-12T18:31:00Z</cp:lastPrinted>
  <dcterms:created xsi:type="dcterms:W3CDTF">2021-12-30T01:50:00Z</dcterms:created>
  <dcterms:modified xsi:type="dcterms:W3CDTF">2022-03-01T05:14:00Z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