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BED1033"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C81B13">
              <w:rPr>
                <w:rFonts w:cs="Arial"/>
                <w:b/>
                <w:bCs/>
                <w:i/>
                <w:iCs/>
                <w:color w:val="000066"/>
                <w:sz w:val="22"/>
                <w:szCs w:val="22"/>
                <w:lang w:eastAsia="it-IT"/>
              </w:rPr>
              <w:t>92</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C81B13">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0152819" w14:textId="77777777" w:rsidR="00C81B13" w:rsidRPr="0044071E" w:rsidRDefault="00C81B13" w:rsidP="00C81B13">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1B0F1814" w14:textId="66AFF84F" w:rsidR="000A03B2" w:rsidRPr="00B57B36" w:rsidRDefault="00C81B13" w:rsidP="00C81B13">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5652B642" w:rsidR="00E978D0" w:rsidRPr="007705EF" w:rsidRDefault="00D37CF9" w:rsidP="007F4033">
      <w:pPr>
        <w:pStyle w:val="CETTitle"/>
        <w:rPr>
          <w:lang w:val="en-US"/>
        </w:rPr>
      </w:pPr>
      <w:r w:rsidRPr="00D37CF9">
        <w:rPr>
          <w:bCs/>
          <w:iCs/>
          <w:lang w:val="en-US"/>
        </w:rPr>
        <w:t>Vulnerability and disaster risk assessment of a cliff: The case of the Costa Verde cliffs in Lima, Peru</w:t>
      </w:r>
    </w:p>
    <w:p w14:paraId="2B3CA35C" w14:textId="00E36774" w:rsidR="00E978D0" w:rsidRPr="00F31BC5" w:rsidRDefault="00D37CF9" w:rsidP="007F4033">
      <w:pPr>
        <w:pStyle w:val="CETAuthors"/>
      </w:pPr>
      <w:r w:rsidRPr="00D37CF9">
        <w:rPr>
          <w:bCs/>
          <w:lang w:val="en-US"/>
        </w:rPr>
        <w:t>Yarixza J. Monge Salinas</w:t>
      </w:r>
      <w:r w:rsidR="007705EF" w:rsidRPr="007705EF">
        <w:rPr>
          <w:bCs/>
          <w:lang w:val="en-US"/>
        </w:rPr>
        <w:t>,</w:t>
      </w:r>
      <w:r w:rsidR="00DB0D4E">
        <w:rPr>
          <w:bCs/>
        </w:rPr>
        <w:t xml:space="preserve"> Carlos A. Castañeda-</w:t>
      </w:r>
      <w:r w:rsidR="007F4033" w:rsidRPr="00C14646">
        <w:rPr>
          <w:bCs/>
        </w:rPr>
        <w:t>Olivera*</w:t>
      </w:r>
    </w:p>
    <w:p w14:paraId="3AE11478" w14:textId="1ED6C82C" w:rsidR="00F84164" w:rsidRPr="00077999" w:rsidRDefault="00412957" w:rsidP="00F84164">
      <w:pPr>
        <w:pStyle w:val="CETAddress"/>
        <w:rPr>
          <w:lang w:val="en-US"/>
        </w:rPr>
      </w:pPr>
      <w:r w:rsidRPr="00077999">
        <w:rPr>
          <w:lang w:val="en-US"/>
        </w:rPr>
        <w:t xml:space="preserve">Universidad </w:t>
      </w:r>
      <w:r w:rsidR="00F31BC5" w:rsidRPr="00077999">
        <w:rPr>
          <w:lang w:val="en-US"/>
        </w:rPr>
        <w:t>César Vallejo</w:t>
      </w:r>
      <w:r w:rsidRPr="00077999">
        <w:rPr>
          <w:lang w:val="en-US"/>
        </w:rPr>
        <w:t xml:space="preserve">, </w:t>
      </w:r>
      <w:r w:rsidR="007705EF" w:rsidRPr="00077999">
        <w:rPr>
          <w:lang w:val="en-US"/>
        </w:rPr>
        <w:t xml:space="preserve">Campus Los Olivos, </w:t>
      </w:r>
      <w:r w:rsidRPr="00077999">
        <w:rPr>
          <w:lang w:val="en-US"/>
        </w:rPr>
        <w:t>Lima</w:t>
      </w:r>
      <w:r w:rsidR="007F4033" w:rsidRPr="00077999">
        <w:rPr>
          <w:lang w:val="en-US"/>
        </w:rPr>
        <w:t>, Perú</w:t>
      </w:r>
    </w:p>
    <w:p w14:paraId="0127A28D" w14:textId="59122D71" w:rsidR="00E978D0" w:rsidRPr="00A42589" w:rsidRDefault="002E3641" w:rsidP="00E978D0">
      <w:pPr>
        <w:pStyle w:val="CETemail"/>
        <w:rPr>
          <w:lang w:val="en-US"/>
        </w:rPr>
      </w:pPr>
      <w:hyperlink r:id="rId10" w:history="1">
        <w:r w:rsidR="00412957" w:rsidRPr="00A42589">
          <w:rPr>
            <w:rStyle w:val="Hyperlink"/>
            <w:vertAlign w:val="superscript"/>
            <w:lang w:val="en-US"/>
          </w:rPr>
          <w:t>*</w:t>
        </w:r>
        <w:r w:rsidR="00412957" w:rsidRPr="00A42589">
          <w:rPr>
            <w:rStyle w:val="Hyperlink"/>
            <w:lang w:val="en-US"/>
          </w:rPr>
          <w:t>caralcaso@gmail.com</w:t>
        </w:r>
      </w:hyperlink>
    </w:p>
    <w:p w14:paraId="6D31D76A" w14:textId="758CF893" w:rsidR="0005487D" w:rsidRPr="0005487D" w:rsidRDefault="0005487D" w:rsidP="0005487D">
      <w:pPr>
        <w:pStyle w:val="CETBodytext"/>
      </w:pPr>
      <w:r w:rsidRPr="0005487D">
        <w:t xml:space="preserve">Currently, the world has undergone structural, geographic and morphological changes that are generated by physical, chemical and biological agents. Thus, this research evaluated the degree of vulnerability and risk in the cliffs of the Costa Verde in Lima - Peru, determining and identifying risk levels and scenarios. For the evaluation, field data was collected using the observation technique at 35 points in the study area comprising the districts of San Miguel (zone 1, Z1), Magdalena del Mar (zone 2, Z2), San Isidro (zone 3, Z3), Miraflores (zone 4, Z4), Barranco (zone 5, Z5) and Chorrillos (zone 6, Z6), and its analysis was carried out according to the manual of the National Institute of Civil Defense (INDECI). The field evaluation identified 6 hazard scenarios such as rock falls, earthquakes, construction, environmental contamination, lack of vegetation and soil quality, which were analyzed according to their causes and consequences. From this, it was obtained that Z1, Z2, Z4 and Z6 present a high level of danger with values of 54.31, 54.17, 51.53 and 59.17%, respectively. Meanwhile, Z3 and Z5 present a medium level of danger with values of 40.28 and 48.61%, respectively. </w:t>
      </w:r>
      <w:r w:rsidR="00FD387D" w:rsidRPr="00FD387D">
        <w:t xml:space="preserve">On the other hand, the vulnerability analysis showed values of 61.69% (high vulnerability), 53.08% (high vulnerability), 33.89% (medium vulnerability), 42.04% (medium vulnerability), 64.57% (high vulnerability) and 68.26% (high vulnerability) for Z1, Z2, Z3, Z4, Z5 and Z6, respectively. </w:t>
      </w:r>
      <w:r w:rsidRPr="0005487D">
        <w:t xml:space="preserve">Therefore, in the absence of an assessment of all the districts that are close to the cliffs of the Costa Verde, the study provided plans and strategies to minimize and prevent the impacts that could be generated by natural and/or anthropogenic disasters. </w:t>
      </w:r>
    </w:p>
    <w:p w14:paraId="476B2F2E" w14:textId="23C2B55A" w:rsidR="00600535" w:rsidRPr="00B57B36" w:rsidRDefault="00C14646" w:rsidP="00600535">
      <w:pPr>
        <w:pStyle w:val="CETHeading1"/>
        <w:rPr>
          <w:lang w:val="en-GB"/>
        </w:rPr>
      </w:pPr>
      <w:r>
        <w:rPr>
          <w:lang w:val="en-GB"/>
        </w:rPr>
        <w:t xml:space="preserve">1. </w:t>
      </w:r>
      <w:r w:rsidR="00600535" w:rsidRPr="00B57B36">
        <w:rPr>
          <w:lang w:val="en-GB"/>
        </w:rPr>
        <w:t>Introduction</w:t>
      </w:r>
    </w:p>
    <w:p w14:paraId="31F84B54" w14:textId="3B4EAC8A" w:rsidR="002057BA" w:rsidRDefault="002057BA" w:rsidP="002057BA">
      <w:pPr>
        <w:pStyle w:val="CETBodytext"/>
      </w:pPr>
      <w:r w:rsidRPr="00C31020">
        <w:t>Human beings have been exposed to natural and anthropogenic hazards, with the potential to cause disasters that generate impacts on various sectors of the population (Omena et al., 2021). Likewise, these disasters have caused modifications in the territory, geographically, structurally and morphologically in the face of exposure to risks from physical, chemical, biological and technological agents (UNDRR, 2017). Economic development and territorial expansion are factors that have generated exposure to disaster events to increase. In Japan, the risk of natural hazards is increasing proportionally to the growth of population density (Choi et al., 2021). For this reason, in the face of urban expansion, large and modern constructions were built, with infrastructures that are located in certain points that, in the short, medium or long term, will be places of potential risk for residents. Therefore, understanding and mitigating disaster risks has become an ess</w:t>
      </w:r>
      <w:r>
        <w:t>ential task (Zhao et al., 2020)</w:t>
      </w:r>
      <w:r w:rsidRPr="00B07A08">
        <w:t>.</w:t>
      </w:r>
    </w:p>
    <w:p w14:paraId="543E0C10" w14:textId="6AF703B3" w:rsidR="00AC726E" w:rsidRDefault="00AC726E" w:rsidP="00AC726E">
      <w:pPr>
        <w:pStyle w:val="CETBodytext"/>
      </w:pPr>
      <w:r w:rsidRPr="00AC726E">
        <w:t xml:space="preserve">Peru has a territory with natural and geological characteristics that are vulnerable to natural disasters (INDECI, 2006). Vulnerability is the degree to which the population, economic and social activities and physical infrastructure are exposed to a threat or hazard that can cause damage (Nguyen et al., 2016). Moreover, vulnerability originates through the interaction of external and internal factors that shape its situation in situ and in </w:t>
      </w:r>
      <w:r w:rsidR="006610AF">
        <w:t>a punctual space (Thomasz and Eriz</w:t>
      </w:r>
      <w:r w:rsidRPr="00AC726E">
        <w:t>, 2018). On the other hand, natural disaster risk is the probability that a community will experience changes that cause loss of human life and property due to hazardous natural events in a specific period (IPCC, 2018). Risk is a process that incorporates mitigation, transmission and prevention, in addition to disaster preparedness, rehabilitation, reconstruction and emergency response to minimize impacts (MTC, 2016).</w:t>
      </w:r>
    </w:p>
    <w:p w14:paraId="750102C3" w14:textId="1DF9F17E" w:rsidR="00AC726E" w:rsidRDefault="00AC726E" w:rsidP="00AC726E">
      <w:pPr>
        <w:pStyle w:val="CETBodytext"/>
      </w:pPr>
      <w:r w:rsidRPr="00AC726E">
        <w:lastRenderedPageBreak/>
        <w:t>The country (Peru) has policies for land use planning; however, urban growth has been developed horizontally, opting to occupy areas with risk and vulnerability levels. Likewise, there has been an increase in the construction of real estate, tourism, clubs, hotels, shopping centers, among others, triggering impacts of different types over the years (IGP, 2019). The city of Lima has a wide coastline that had modifications of the territory due to the need of the citizens to be able to access the seaside resorts. In the 1960s, a coastal road was built that covered a total of 22.5 km from the district of San Miguel to the district of Chorrillos. These events caused the area to lose its original structure; in addition, the combination of anthropogenic effects (construction, tourism activities, pollution) and natural effects (wind erosion, temperature, seismic movements) have affected the Costa Verde, generating various rock falls from the cliffs (SIGRID, 2019).</w:t>
      </w:r>
    </w:p>
    <w:p w14:paraId="18B22C84" w14:textId="66D94E76" w:rsidR="00AC726E" w:rsidRPr="00AC726E" w:rsidRDefault="00AC726E" w:rsidP="00AC726E">
      <w:pPr>
        <w:pStyle w:val="CETBodytext"/>
      </w:pPr>
      <w:r w:rsidRPr="00AC726E">
        <w:t xml:space="preserve">In accordance with the above, this research evaluated </w:t>
      </w:r>
      <w:r w:rsidR="00A70A76" w:rsidRPr="0005487D">
        <w:t>the evaluated the degree of vulnerability and risk</w:t>
      </w:r>
      <w:r w:rsidR="00A70A76">
        <w:t xml:space="preserve"> </w:t>
      </w:r>
      <w:r w:rsidR="00A70A76" w:rsidRPr="00AC726E">
        <w:t>in the different sections</w:t>
      </w:r>
      <w:r w:rsidR="00A70A76" w:rsidRPr="0005487D">
        <w:t xml:space="preserve"> in the cliffs of the Costa Verde in Lima - Peru, determining and identi</w:t>
      </w:r>
      <w:r w:rsidR="00A70A76">
        <w:t>fying risk levels and scenarios.</w:t>
      </w:r>
      <w:r w:rsidRPr="00AC726E">
        <w:t xml:space="preserve"> </w:t>
      </w:r>
      <w:r w:rsidR="00A475A3">
        <w:t xml:space="preserve">This, </w:t>
      </w:r>
      <w:r w:rsidRPr="00AC726E">
        <w:t>due to t</w:t>
      </w:r>
      <w:r w:rsidR="00A475A3">
        <w:t>he misuse of the territory, has</w:t>
      </w:r>
      <w:r w:rsidRPr="00AC726E">
        <w:t xml:space="preserve"> increased the conditions for the development of new risks in the area. The Costa Verde area presents geological-geodynamic conditions, being considered as a critical area with the presence of landslides, rock falls and landslides, before the occurrence of disasters (COEN, 2019).</w:t>
      </w:r>
    </w:p>
    <w:p w14:paraId="6D526EAA" w14:textId="34341936" w:rsidR="00AC756E" w:rsidRPr="00B57B36" w:rsidRDefault="00C14646" w:rsidP="00AC756E">
      <w:pPr>
        <w:pStyle w:val="CETHeading1"/>
        <w:rPr>
          <w:lang w:val="en-GB"/>
        </w:rPr>
      </w:pPr>
      <w:r>
        <w:rPr>
          <w:lang w:val="en-GB"/>
        </w:rPr>
        <w:t xml:space="preserve">2. </w:t>
      </w:r>
      <w:r w:rsidR="00AC756E">
        <w:rPr>
          <w:lang w:val="en-GB"/>
        </w:rPr>
        <w:t>Materials and m</w:t>
      </w:r>
      <w:r w:rsidR="00AC756E" w:rsidRPr="00AC756E">
        <w:rPr>
          <w:lang w:val="en-GB"/>
        </w:rPr>
        <w:t>ethods</w:t>
      </w:r>
    </w:p>
    <w:p w14:paraId="036DAF1A" w14:textId="35D3E796" w:rsidR="0099418D" w:rsidRPr="00C14646" w:rsidRDefault="0099418D" w:rsidP="00C14646">
      <w:pPr>
        <w:pStyle w:val="CETheadingx"/>
        <w:rPr>
          <w:iCs/>
          <w:lang w:val="en-GB"/>
        </w:rPr>
      </w:pPr>
      <w:r w:rsidRPr="00C14646">
        <w:rPr>
          <w:iCs/>
          <w:lang w:val="en-GB"/>
        </w:rPr>
        <w:t xml:space="preserve">2.1 </w:t>
      </w:r>
      <w:r w:rsidR="004C0883" w:rsidRPr="004C0883">
        <w:rPr>
          <w:iCs/>
          <w:lang w:val="en-GB"/>
        </w:rPr>
        <w:t>Study area</w:t>
      </w:r>
    </w:p>
    <w:p w14:paraId="09546196" w14:textId="7A6DB1F8" w:rsidR="0099418D" w:rsidRPr="00B07A08" w:rsidRDefault="004C0883" w:rsidP="0099418D">
      <w:pPr>
        <w:pStyle w:val="CETBodytext"/>
      </w:pPr>
      <w:r w:rsidRPr="004C0883">
        <w:t xml:space="preserve">The study area consisted of the cliffs of the Costa Verde, which has an extension of 22. </w:t>
      </w:r>
      <w:r w:rsidRPr="004C0883">
        <w:rPr>
          <w:lang w:val="pt-BR"/>
        </w:rPr>
        <w:t xml:space="preserve">5 km, covering the districts of San Miguel (272643 E - 8662677 N), Magdalena (274271 E - 8661893 N), San Isidro (276418 E - 8660317 N), Miraflores (279151 E - 8659142 N), Barranco (279629 E - 8656725 N) and Chorrillos (279697 E - 8655354 N) located in Lima, Peru. </w:t>
      </w:r>
      <w:r w:rsidRPr="004C0883">
        <w:t>For the study, each district was zoned with its respective codification, being San Miguel (Z1), Magdalena (Z2), San Isidro (Z3), Miraflores (Z4), Ba</w:t>
      </w:r>
      <w:r>
        <w:t>rranco (Z5) and Chorrillos (Z6)</w:t>
      </w:r>
      <w:r w:rsidR="0099418D" w:rsidRPr="00B07A08">
        <w:t>.</w:t>
      </w:r>
    </w:p>
    <w:p w14:paraId="2435619B" w14:textId="03F2B06E" w:rsidR="0099418D" w:rsidRPr="00C14646" w:rsidRDefault="0099418D" w:rsidP="00C14646">
      <w:pPr>
        <w:pStyle w:val="CETheadingx"/>
        <w:rPr>
          <w:iCs/>
          <w:lang w:val="en-GB"/>
        </w:rPr>
      </w:pPr>
      <w:r w:rsidRPr="00C14646">
        <w:rPr>
          <w:iCs/>
          <w:lang w:val="en-GB"/>
        </w:rPr>
        <w:t xml:space="preserve">2.2 </w:t>
      </w:r>
      <w:r w:rsidR="004C0883" w:rsidRPr="004C0883">
        <w:rPr>
          <w:iCs/>
          <w:lang w:val="en-GB"/>
        </w:rPr>
        <w:t>Data collection and processing</w:t>
      </w:r>
    </w:p>
    <w:p w14:paraId="63DBD455" w14:textId="58D34CFD" w:rsidR="0099418D" w:rsidRPr="00B07A08" w:rsidRDefault="00030070" w:rsidP="00AC756E">
      <w:pPr>
        <w:pStyle w:val="CETBodytext"/>
      </w:pPr>
      <w:r w:rsidRPr="00030070">
        <w:t>Data collection was carried out in situ and was obtained using the observation technique by walking through the study area.</w:t>
      </w:r>
      <w:r w:rsidR="00D95FA1" w:rsidRPr="00D95FA1">
        <w:t xml:space="preserve"> The data obtained through field instruments were processed using Microsoft Excel 2016 software. In addition, thematic maps regarding risk, vulnerability and hazard were produced using Arcgis 10.5 software.</w:t>
      </w:r>
    </w:p>
    <w:p w14:paraId="320E3FF0" w14:textId="7B2A5338" w:rsidR="00AB6233" w:rsidRPr="00C14646" w:rsidRDefault="00C14646" w:rsidP="00C14646">
      <w:pPr>
        <w:pStyle w:val="CETheadingx"/>
        <w:rPr>
          <w:iCs/>
          <w:lang w:val="en-GB"/>
        </w:rPr>
      </w:pPr>
      <w:r>
        <w:rPr>
          <w:iCs/>
          <w:lang w:val="en-GB"/>
        </w:rPr>
        <w:t>2.3</w:t>
      </w:r>
      <w:r w:rsidR="00AB6233" w:rsidRPr="00C14646">
        <w:rPr>
          <w:iCs/>
          <w:lang w:val="en-GB"/>
        </w:rPr>
        <w:t xml:space="preserve"> </w:t>
      </w:r>
      <w:r w:rsidR="004C0883" w:rsidRPr="004C0883">
        <w:rPr>
          <w:iCs/>
          <w:lang w:val="en-GB"/>
        </w:rPr>
        <w:t>Hazard estimation</w:t>
      </w:r>
    </w:p>
    <w:p w14:paraId="301F1591" w14:textId="03036FBD" w:rsidR="00AB6233" w:rsidRPr="00B07A08" w:rsidRDefault="00D95FA1" w:rsidP="00AB6233">
      <w:pPr>
        <w:pStyle w:val="CETBodytext"/>
      </w:pPr>
      <w:r w:rsidRPr="00D95FA1">
        <w:t xml:space="preserve">The estimation of hazard levels was performed on a scale of 4 levels: low, medium, high and very high. The National Institute of Civil Defense Guide (Indeci, 2006) was used for the estimation, in which each scale is detailed with the respective </w:t>
      </w:r>
      <w:r>
        <w:t>characteristics and description</w:t>
      </w:r>
      <w:r w:rsidR="00AB6233" w:rsidRPr="00B07A08">
        <w:t>.</w:t>
      </w:r>
    </w:p>
    <w:p w14:paraId="337D5DBD" w14:textId="476F9C60" w:rsidR="004C0883" w:rsidRPr="00C14646" w:rsidRDefault="004C0883" w:rsidP="004C0883">
      <w:pPr>
        <w:pStyle w:val="CETheadingx"/>
        <w:rPr>
          <w:iCs/>
          <w:lang w:val="en-GB"/>
        </w:rPr>
      </w:pPr>
      <w:r>
        <w:rPr>
          <w:iCs/>
          <w:lang w:val="en-GB"/>
        </w:rPr>
        <w:t>2.4</w:t>
      </w:r>
      <w:r w:rsidRPr="00C14646">
        <w:rPr>
          <w:iCs/>
          <w:lang w:val="en-GB"/>
        </w:rPr>
        <w:t xml:space="preserve"> </w:t>
      </w:r>
      <w:r w:rsidRPr="004C0883">
        <w:rPr>
          <w:iCs/>
          <w:lang w:val="en-GB"/>
        </w:rPr>
        <w:t>Vulnerability estimation</w:t>
      </w:r>
    </w:p>
    <w:p w14:paraId="6B81DAD3" w14:textId="017E2C7A" w:rsidR="004C0883" w:rsidRDefault="00D95FA1" w:rsidP="004C0883">
      <w:pPr>
        <w:pStyle w:val="CETBodytext"/>
      </w:pPr>
      <w:r w:rsidRPr="00D95FA1">
        <w:t xml:space="preserve">The vulnerability estimate was processed in Microsoft Excel 2016 software, </w:t>
      </w:r>
      <w:r w:rsidRPr="00FD387D">
        <w:t>classified by type (environmental</w:t>
      </w:r>
      <w:r w:rsidRPr="00D95FA1">
        <w:t xml:space="preserve"> and ecological, scientific, cultural and ideological, economic, educational, physical, political and social). In order to stratify the vulnerability levels, it was performed on a scale of 4 levels:</w:t>
      </w:r>
      <w:r>
        <w:t xml:space="preserve"> low, medium high and very high</w:t>
      </w:r>
      <w:r w:rsidR="004C0883" w:rsidRPr="00B07A08">
        <w:t>.</w:t>
      </w:r>
      <w:r w:rsidR="002F227D">
        <w:t xml:space="preserve"> </w:t>
      </w:r>
      <w:r w:rsidR="002F227D" w:rsidRPr="002F227D">
        <w:t>The Indeci (2006) guidelines were used to estimate vulnerability.</w:t>
      </w:r>
    </w:p>
    <w:p w14:paraId="77BA32D1" w14:textId="0504CD39" w:rsidR="004C0883" w:rsidRPr="00C14646" w:rsidRDefault="004C0883" w:rsidP="004C0883">
      <w:pPr>
        <w:pStyle w:val="CETheadingx"/>
        <w:rPr>
          <w:iCs/>
          <w:lang w:val="en-GB"/>
        </w:rPr>
      </w:pPr>
      <w:r>
        <w:rPr>
          <w:iCs/>
          <w:lang w:val="en-GB"/>
        </w:rPr>
        <w:t>2.5</w:t>
      </w:r>
      <w:r w:rsidRPr="00C14646">
        <w:rPr>
          <w:iCs/>
          <w:lang w:val="en-GB"/>
        </w:rPr>
        <w:t xml:space="preserve"> </w:t>
      </w:r>
      <w:r w:rsidRPr="004C0883">
        <w:rPr>
          <w:iCs/>
          <w:lang w:val="en-GB"/>
        </w:rPr>
        <w:t>Risk estimation</w:t>
      </w:r>
    </w:p>
    <w:p w14:paraId="173A528B" w14:textId="72D69AE5" w:rsidR="004C0883" w:rsidRPr="00B07A08" w:rsidRDefault="00D95FA1" w:rsidP="00D95FA1">
      <w:pPr>
        <w:pStyle w:val="CETBodytext"/>
      </w:pPr>
      <w:r w:rsidRPr="00D95FA1">
        <w:t>The risk calculation corresponds to an analysis to determine the probabilities of hazard and vulnerability. The criteria used to calculate the risk were analytical and descriptive. In addition, the hazard and vulnerability matrix was used to identify the level of risk.</w:t>
      </w:r>
    </w:p>
    <w:p w14:paraId="38DCBA19" w14:textId="39244C20" w:rsidR="00D8620B" w:rsidRPr="00C14646" w:rsidRDefault="00C14646" w:rsidP="00C14646">
      <w:pPr>
        <w:pStyle w:val="CETHeading1"/>
        <w:rPr>
          <w:lang w:val="en-GB"/>
        </w:rPr>
      </w:pPr>
      <w:r>
        <w:rPr>
          <w:lang w:val="en-GB"/>
        </w:rPr>
        <w:t xml:space="preserve">3. </w:t>
      </w:r>
      <w:r w:rsidR="0025375A" w:rsidRPr="00C14646">
        <w:rPr>
          <w:lang w:val="en-GB"/>
        </w:rPr>
        <w:t xml:space="preserve">Results </w:t>
      </w:r>
      <w:r w:rsidR="00B07A08" w:rsidRPr="00C14646">
        <w:rPr>
          <w:lang w:val="en-GB"/>
        </w:rPr>
        <w:t xml:space="preserve">and </w:t>
      </w:r>
      <w:r w:rsidR="007B34D1" w:rsidRPr="00C14646">
        <w:rPr>
          <w:lang w:val="en-GB"/>
        </w:rPr>
        <w:t>discussion</w:t>
      </w:r>
    </w:p>
    <w:p w14:paraId="335AD439" w14:textId="0B5AEB1B" w:rsidR="00D8620B" w:rsidRPr="00511A7A" w:rsidRDefault="00C14646" w:rsidP="00C14646">
      <w:pPr>
        <w:pStyle w:val="CETheadingx"/>
        <w:rPr>
          <w:b w:val="0"/>
        </w:rPr>
      </w:pPr>
      <w:r w:rsidRPr="00C14646">
        <w:rPr>
          <w:iCs/>
          <w:lang w:val="en-GB"/>
        </w:rPr>
        <w:t>3.1</w:t>
      </w:r>
      <w:r w:rsidR="00D8620B" w:rsidRPr="00C14646">
        <w:rPr>
          <w:iCs/>
          <w:lang w:val="en-GB"/>
        </w:rPr>
        <w:t xml:space="preserve"> </w:t>
      </w:r>
      <w:r w:rsidR="0007746B" w:rsidRPr="0007746B">
        <w:rPr>
          <w:iCs/>
          <w:lang w:val="en-GB"/>
        </w:rPr>
        <w:t>Hazard scenario</w:t>
      </w:r>
    </w:p>
    <w:p w14:paraId="3E8C6939" w14:textId="1C12F16F" w:rsidR="00D8620B" w:rsidRDefault="0007746B" w:rsidP="00D8620B">
      <w:pPr>
        <w:pStyle w:val="CETBodytext"/>
      </w:pPr>
      <w:r w:rsidRPr="0007746B">
        <w:t>The study identified 48 points, which allowed the determination of 06 scenarios. The points identified in the s</w:t>
      </w:r>
      <w:r>
        <w:t>tudy area are shown in Figure 1</w:t>
      </w:r>
      <w:r w:rsidR="00D8620B" w:rsidRPr="00511A7A">
        <w:t>.</w:t>
      </w:r>
    </w:p>
    <w:p w14:paraId="1DC4E8F2" w14:textId="419BE7FE" w:rsidR="0007746B" w:rsidRDefault="0007746B" w:rsidP="00D8620B">
      <w:pPr>
        <w:pStyle w:val="CETBodytext"/>
      </w:pPr>
    </w:p>
    <w:p w14:paraId="151FD304" w14:textId="00EF0ED5" w:rsidR="00942127" w:rsidRPr="00D8620B" w:rsidRDefault="00942127" w:rsidP="00D8620B">
      <w:pPr>
        <w:pStyle w:val="CETBodytext"/>
      </w:pPr>
      <w:r w:rsidRPr="006D18C3">
        <w:rPr>
          <w:rFonts w:eastAsia="Arial" w:cs="Arial"/>
          <w:noProof/>
          <w:color w:val="000000"/>
          <w:szCs w:val="18"/>
          <w:lang w:val="es-PE" w:eastAsia="es-PE"/>
        </w:rPr>
        <w:lastRenderedPageBreak/>
        <w:drawing>
          <wp:inline distT="0" distB="0" distL="0" distR="0" wp14:anchorId="6E18B4B4" wp14:editId="352DC2B3">
            <wp:extent cx="5579110" cy="4937760"/>
            <wp:effectExtent l="0" t="0" r="2540" b="0"/>
            <wp:docPr id="12" name="Imagem 12" descr="C:\Users\USUARIO\Downloads\WhatsApp Image 2021-12-30 at 1.55.3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1-12-30 at 1.55.30 P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6231" cy="4944062"/>
                    </a:xfrm>
                    <a:prstGeom prst="rect">
                      <a:avLst/>
                    </a:prstGeom>
                    <a:noFill/>
                    <a:ln>
                      <a:noFill/>
                    </a:ln>
                  </pic:spPr>
                </pic:pic>
              </a:graphicData>
            </a:graphic>
          </wp:inline>
        </w:drawing>
      </w:r>
    </w:p>
    <w:p w14:paraId="44B59072" w14:textId="7C5BE449" w:rsidR="00D8620B" w:rsidRDefault="0007746B" w:rsidP="00A14554">
      <w:pPr>
        <w:pStyle w:val="CETCaption"/>
        <w:rPr>
          <w:rStyle w:val="CETCaptionCarattere"/>
          <w:i/>
        </w:rPr>
      </w:pPr>
      <w:r w:rsidRPr="00A14554">
        <w:rPr>
          <w:rStyle w:val="CETCaptionCarattere"/>
          <w:i/>
        </w:rPr>
        <w:t>Figure 1</w:t>
      </w:r>
      <w:r w:rsidR="00D8620B" w:rsidRPr="00A14554">
        <w:rPr>
          <w:rStyle w:val="CETCaptionCarattere"/>
          <w:i/>
        </w:rPr>
        <w:t xml:space="preserve">: </w:t>
      </w:r>
      <w:r w:rsidR="00A14554" w:rsidRPr="00A14554">
        <w:rPr>
          <w:rStyle w:val="CETCaptionCarattere"/>
          <w:i/>
        </w:rPr>
        <w:t>Drawings of the identified points</w:t>
      </w:r>
    </w:p>
    <w:p w14:paraId="6C51C0C0" w14:textId="53B4B41E" w:rsidR="00F404DE" w:rsidRPr="00F404DE" w:rsidRDefault="00F404DE" w:rsidP="00942127">
      <w:pPr>
        <w:pStyle w:val="CETCaption"/>
        <w:spacing w:after="0"/>
        <w:rPr>
          <w:rStyle w:val="CETCaptionCarattere"/>
        </w:rPr>
      </w:pPr>
      <w:r w:rsidRPr="00F404DE">
        <w:rPr>
          <w:rStyle w:val="CETCaptionCarattere"/>
        </w:rPr>
        <w:t>The 06 thematic maps represent the hazard points by zone according to the analysis performed. Similarly, Xu et al. (2021) evaluated the risk exposure zone by analyzing data in order to create thematic maps showing the location of risk points that can be used as a method of prevention and effective planning for decision making in the face of risk events.</w:t>
      </w:r>
    </w:p>
    <w:p w14:paraId="6DA3EDDE" w14:textId="5EA0F9F1" w:rsidR="00A14554" w:rsidRDefault="00FD387D" w:rsidP="00A14554">
      <w:pPr>
        <w:pStyle w:val="CETBodytext"/>
      </w:pPr>
      <w:r>
        <w:t xml:space="preserve">The 06 hazard scenarios evaluated </w:t>
      </w:r>
      <w:r w:rsidR="00A14554">
        <w:t>coi</w:t>
      </w:r>
      <w:r>
        <w:t>ncide</w:t>
      </w:r>
      <w:r w:rsidR="00A14554">
        <w:t xml:space="preserve"> with the study conducted by Garcia (2020), who identified 05 hazard scenarios based on typology. On the other hand, the most frequent scenario in the cliffs of Costa Verde is rockfall and landslides. To this, Ya et al. (2021) states that landslides and rock slides are generated by meteorological factors. </w:t>
      </w:r>
    </w:p>
    <w:p w14:paraId="722B08DD" w14:textId="37932226" w:rsidR="001F54FE" w:rsidRDefault="00A14554" w:rsidP="00A14554">
      <w:pPr>
        <w:pStyle w:val="CETBodytext"/>
      </w:pPr>
      <w:r>
        <w:t>It should be noted that the study area was divided into zones for better identification of hazard scenarios, allowing the critical points to be located in order to generate thematic maps that can show the location of the exposed zone. Similarly, Thiery et al. (2020) identified the hazard scenarios through quantitative analysis and produced thematic maps of the identified points. Table 1 shows the hazard scenarios identified in the Costa Verde cliffs, the causes and possible consequences.</w:t>
      </w:r>
    </w:p>
    <w:p w14:paraId="2291CC78" w14:textId="4E5DE811" w:rsidR="00942127" w:rsidRDefault="00942127" w:rsidP="00A14554">
      <w:pPr>
        <w:pStyle w:val="CETBodytext"/>
      </w:pPr>
    </w:p>
    <w:p w14:paraId="039CB12A" w14:textId="2D455BB2" w:rsidR="00942127" w:rsidRDefault="00942127" w:rsidP="00A14554">
      <w:pPr>
        <w:pStyle w:val="CETBodytext"/>
      </w:pPr>
    </w:p>
    <w:p w14:paraId="58DB816C" w14:textId="7800EA31" w:rsidR="00942127" w:rsidRDefault="00942127" w:rsidP="00A14554">
      <w:pPr>
        <w:pStyle w:val="CETBodytext"/>
      </w:pPr>
    </w:p>
    <w:p w14:paraId="56255176" w14:textId="70B2F8DA" w:rsidR="00942127" w:rsidRDefault="00942127" w:rsidP="00A14554">
      <w:pPr>
        <w:pStyle w:val="CETBodytext"/>
      </w:pPr>
    </w:p>
    <w:p w14:paraId="1D01ACFF" w14:textId="64567865" w:rsidR="00942127" w:rsidRDefault="00942127" w:rsidP="00A14554">
      <w:pPr>
        <w:pStyle w:val="CETBodytext"/>
      </w:pPr>
    </w:p>
    <w:p w14:paraId="645598A6" w14:textId="77777777" w:rsidR="00942127" w:rsidRDefault="00942127" w:rsidP="00A14554">
      <w:pPr>
        <w:pStyle w:val="CETBodytext"/>
      </w:pPr>
    </w:p>
    <w:p w14:paraId="38667FEA" w14:textId="36D4FF56" w:rsidR="00A14554" w:rsidRPr="00A14554" w:rsidRDefault="00A14554" w:rsidP="00A14554">
      <w:pPr>
        <w:pStyle w:val="CETTabletitle"/>
        <w:rPr>
          <w:lang w:val="en-US"/>
        </w:rPr>
      </w:pPr>
      <w:r w:rsidRPr="00A14554">
        <w:rPr>
          <w:lang w:val="en-US"/>
        </w:rPr>
        <w:lastRenderedPageBreak/>
        <w:t xml:space="preserve">Table 1: </w:t>
      </w:r>
      <w:r w:rsidR="009D1AC8" w:rsidRPr="009D1AC8">
        <w:rPr>
          <w:lang w:val="en-US"/>
        </w:rPr>
        <w:t>Hazard scenarios</w:t>
      </w:r>
    </w:p>
    <w:tbl>
      <w:tblPr>
        <w:tblW w:w="8647" w:type="dxa"/>
        <w:tblBorders>
          <w:top w:val="single" w:sz="4" w:space="0" w:color="538135"/>
          <w:left w:val="nil"/>
          <w:bottom w:val="single" w:sz="4" w:space="0" w:color="538135"/>
          <w:right w:val="nil"/>
          <w:insideH w:val="nil"/>
          <w:insideV w:val="nil"/>
        </w:tblBorders>
        <w:tblLayout w:type="fixed"/>
        <w:tblLook w:val="04A0" w:firstRow="1" w:lastRow="0" w:firstColumn="1" w:lastColumn="0" w:noHBand="0" w:noVBand="1"/>
      </w:tblPr>
      <w:tblGrid>
        <w:gridCol w:w="709"/>
        <w:gridCol w:w="1276"/>
        <w:gridCol w:w="1984"/>
        <w:gridCol w:w="1843"/>
        <w:gridCol w:w="2835"/>
      </w:tblGrid>
      <w:tr w:rsidR="00FD387D" w14:paraId="23B4E5DA" w14:textId="77777777" w:rsidTr="00FD387D">
        <w:trPr>
          <w:trHeight w:val="33"/>
        </w:trPr>
        <w:tc>
          <w:tcPr>
            <w:tcW w:w="709" w:type="dxa"/>
            <w:tcBorders>
              <w:top w:val="single" w:sz="12" w:space="0" w:color="538135"/>
              <w:left w:val="nil"/>
              <w:bottom w:val="single" w:sz="4" w:space="0" w:color="538135"/>
            </w:tcBorders>
            <w:shd w:val="clear" w:color="auto" w:fill="auto"/>
            <w:vAlign w:val="center"/>
          </w:tcPr>
          <w:p w14:paraId="066D5389" w14:textId="1412FE14" w:rsidR="00A14554" w:rsidRDefault="00A14554" w:rsidP="000E4600">
            <w:pPr>
              <w:jc w:val="center"/>
              <w:rPr>
                <w:rFonts w:eastAsia="Arial" w:cs="Arial"/>
                <w:color w:val="000000"/>
                <w:sz w:val="16"/>
                <w:szCs w:val="16"/>
              </w:rPr>
            </w:pPr>
            <w:r>
              <w:rPr>
                <w:rFonts w:eastAsia="Arial" w:cs="Arial"/>
                <w:color w:val="000000"/>
                <w:sz w:val="16"/>
                <w:szCs w:val="16"/>
              </w:rPr>
              <w:t>Zone</w:t>
            </w:r>
          </w:p>
        </w:tc>
        <w:tc>
          <w:tcPr>
            <w:tcW w:w="1276" w:type="dxa"/>
            <w:tcBorders>
              <w:top w:val="single" w:sz="12" w:space="0" w:color="538135"/>
              <w:bottom w:val="single" w:sz="4" w:space="0" w:color="538135"/>
            </w:tcBorders>
            <w:shd w:val="clear" w:color="auto" w:fill="auto"/>
            <w:vAlign w:val="center"/>
          </w:tcPr>
          <w:p w14:paraId="2B2A6D90" w14:textId="18653B95" w:rsidR="00A14554" w:rsidRDefault="00A14554" w:rsidP="000E4600">
            <w:pPr>
              <w:jc w:val="center"/>
              <w:rPr>
                <w:rFonts w:eastAsia="Arial" w:cs="Arial"/>
                <w:color w:val="000000"/>
                <w:sz w:val="16"/>
                <w:szCs w:val="16"/>
              </w:rPr>
            </w:pPr>
            <w:r>
              <w:rPr>
                <w:rFonts w:eastAsia="Arial" w:cs="Arial"/>
                <w:color w:val="000000"/>
                <w:sz w:val="16"/>
                <w:szCs w:val="16"/>
              </w:rPr>
              <w:t>Event</w:t>
            </w:r>
          </w:p>
        </w:tc>
        <w:tc>
          <w:tcPr>
            <w:tcW w:w="1984" w:type="dxa"/>
            <w:tcBorders>
              <w:top w:val="single" w:sz="12" w:space="0" w:color="538135"/>
              <w:bottom w:val="single" w:sz="4" w:space="0" w:color="538135"/>
            </w:tcBorders>
            <w:shd w:val="clear" w:color="auto" w:fill="auto"/>
            <w:vAlign w:val="center"/>
          </w:tcPr>
          <w:p w14:paraId="15B9E909" w14:textId="5003A03A" w:rsidR="00A14554" w:rsidRDefault="00A14554" w:rsidP="000E4600">
            <w:pPr>
              <w:jc w:val="center"/>
              <w:rPr>
                <w:rFonts w:eastAsia="Arial" w:cs="Arial"/>
                <w:color w:val="000000"/>
                <w:sz w:val="16"/>
                <w:szCs w:val="16"/>
              </w:rPr>
            </w:pPr>
            <w:r w:rsidRPr="00A14554">
              <w:rPr>
                <w:rFonts w:eastAsia="Arial" w:cs="Arial"/>
                <w:color w:val="000000"/>
                <w:sz w:val="16"/>
                <w:szCs w:val="16"/>
              </w:rPr>
              <w:t>Identified Scenarios</w:t>
            </w:r>
          </w:p>
        </w:tc>
        <w:tc>
          <w:tcPr>
            <w:tcW w:w="1843" w:type="dxa"/>
            <w:tcBorders>
              <w:top w:val="single" w:sz="12" w:space="0" w:color="538135"/>
              <w:bottom w:val="single" w:sz="4" w:space="0" w:color="538135"/>
            </w:tcBorders>
            <w:shd w:val="clear" w:color="auto" w:fill="auto"/>
            <w:vAlign w:val="center"/>
          </w:tcPr>
          <w:p w14:paraId="182DA8D5" w14:textId="5BE9A80F" w:rsidR="00A14554" w:rsidRDefault="00A14554" w:rsidP="000E4600">
            <w:pPr>
              <w:jc w:val="center"/>
              <w:rPr>
                <w:rFonts w:eastAsia="Arial" w:cs="Arial"/>
                <w:color w:val="000000"/>
                <w:sz w:val="16"/>
                <w:szCs w:val="16"/>
              </w:rPr>
            </w:pPr>
            <w:r>
              <w:rPr>
                <w:rFonts w:eastAsia="Arial" w:cs="Arial"/>
                <w:color w:val="000000"/>
                <w:sz w:val="16"/>
                <w:szCs w:val="16"/>
              </w:rPr>
              <w:t>Causes</w:t>
            </w:r>
          </w:p>
        </w:tc>
        <w:tc>
          <w:tcPr>
            <w:tcW w:w="2835" w:type="dxa"/>
            <w:tcBorders>
              <w:top w:val="single" w:sz="12" w:space="0" w:color="538135"/>
              <w:bottom w:val="single" w:sz="4" w:space="0" w:color="538135"/>
              <w:right w:val="nil"/>
            </w:tcBorders>
            <w:shd w:val="clear" w:color="auto" w:fill="auto"/>
            <w:vAlign w:val="center"/>
          </w:tcPr>
          <w:p w14:paraId="2AB2AD73" w14:textId="12D983C0" w:rsidR="00A14554" w:rsidRDefault="00A14554" w:rsidP="000E4600">
            <w:pPr>
              <w:jc w:val="center"/>
              <w:rPr>
                <w:rFonts w:eastAsia="Arial" w:cs="Arial"/>
                <w:color w:val="000000"/>
                <w:sz w:val="16"/>
                <w:szCs w:val="16"/>
              </w:rPr>
            </w:pPr>
            <w:r>
              <w:rPr>
                <w:rFonts w:eastAsia="Arial" w:cs="Arial"/>
                <w:color w:val="000000"/>
                <w:sz w:val="16"/>
                <w:szCs w:val="16"/>
              </w:rPr>
              <w:t>Consequences</w:t>
            </w:r>
          </w:p>
        </w:tc>
      </w:tr>
      <w:tr w:rsidR="00A14554" w14:paraId="5F6C6565" w14:textId="77777777" w:rsidTr="00FD387D">
        <w:trPr>
          <w:trHeight w:val="525"/>
        </w:trPr>
        <w:tc>
          <w:tcPr>
            <w:tcW w:w="709" w:type="dxa"/>
            <w:vMerge w:val="restart"/>
            <w:tcBorders>
              <w:top w:val="single" w:sz="4" w:space="0" w:color="538135"/>
            </w:tcBorders>
            <w:shd w:val="clear" w:color="auto" w:fill="auto"/>
            <w:vAlign w:val="center"/>
          </w:tcPr>
          <w:p w14:paraId="4B8FCF9D" w14:textId="5ABE2685" w:rsidR="00A14554" w:rsidRDefault="00A14554" w:rsidP="000E4600">
            <w:pPr>
              <w:jc w:val="center"/>
              <w:rPr>
                <w:rFonts w:eastAsia="Arial" w:cs="Arial"/>
                <w:color w:val="000000"/>
                <w:sz w:val="16"/>
                <w:szCs w:val="16"/>
              </w:rPr>
            </w:pPr>
            <w:r w:rsidRPr="00A14554">
              <w:rPr>
                <w:rFonts w:eastAsia="Arial" w:cs="Arial"/>
                <w:color w:val="000000"/>
                <w:sz w:val="16"/>
                <w:szCs w:val="16"/>
              </w:rPr>
              <w:t>Cliffs of Costa Verde</w:t>
            </w:r>
          </w:p>
        </w:tc>
        <w:tc>
          <w:tcPr>
            <w:tcW w:w="1276" w:type="dxa"/>
            <w:tcBorders>
              <w:top w:val="single" w:sz="4" w:space="0" w:color="538135"/>
            </w:tcBorders>
            <w:shd w:val="clear" w:color="auto" w:fill="auto"/>
            <w:vAlign w:val="center"/>
          </w:tcPr>
          <w:p w14:paraId="671C9166" w14:textId="0679BDF3" w:rsidR="00A14554" w:rsidRDefault="00A14554" w:rsidP="000E4600">
            <w:pPr>
              <w:jc w:val="center"/>
              <w:rPr>
                <w:rFonts w:eastAsia="Arial" w:cs="Arial"/>
                <w:color w:val="000000"/>
                <w:sz w:val="16"/>
                <w:szCs w:val="16"/>
              </w:rPr>
            </w:pPr>
            <w:r w:rsidRPr="00A14554">
              <w:rPr>
                <w:rFonts w:eastAsia="Arial" w:cs="Arial"/>
                <w:color w:val="000000"/>
                <w:sz w:val="16"/>
                <w:szCs w:val="16"/>
              </w:rPr>
              <w:t>Mass movement</w:t>
            </w:r>
          </w:p>
        </w:tc>
        <w:tc>
          <w:tcPr>
            <w:tcW w:w="1984" w:type="dxa"/>
            <w:tcBorders>
              <w:top w:val="single" w:sz="4" w:space="0" w:color="538135"/>
            </w:tcBorders>
            <w:shd w:val="clear" w:color="auto" w:fill="auto"/>
            <w:vAlign w:val="center"/>
          </w:tcPr>
          <w:p w14:paraId="4E02EE50" w14:textId="2BA407F4" w:rsidR="00A14554" w:rsidRDefault="000E4600" w:rsidP="000E4600">
            <w:pPr>
              <w:jc w:val="center"/>
              <w:rPr>
                <w:rFonts w:eastAsia="Arial" w:cs="Arial"/>
                <w:color w:val="000000"/>
                <w:sz w:val="16"/>
                <w:szCs w:val="16"/>
              </w:rPr>
            </w:pPr>
            <w:r w:rsidRPr="000E4600">
              <w:rPr>
                <w:rFonts w:eastAsia="Arial" w:cs="Arial"/>
                <w:color w:val="000000"/>
                <w:sz w:val="16"/>
                <w:szCs w:val="16"/>
              </w:rPr>
              <w:t>Rock falls from the cliff</w:t>
            </w:r>
          </w:p>
        </w:tc>
        <w:tc>
          <w:tcPr>
            <w:tcW w:w="1843" w:type="dxa"/>
            <w:tcBorders>
              <w:top w:val="single" w:sz="4" w:space="0" w:color="538135"/>
            </w:tcBorders>
            <w:shd w:val="clear" w:color="auto" w:fill="auto"/>
            <w:vAlign w:val="center"/>
          </w:tcPr>
          <w:p w14:paraId="617D615B" w14:textId="12A4E2C6" w:rsidR="00A14554" w:rsidRDefault="000E4600" w:rsidP="000E4600">
            <w:pPr>
              <w:jc w:val="center"/>
              <w:rPr>
                <w:rFonts w:eastAsia="Arial" w:cs="Arial"/>
                <w:color w:val="000000"/>
                <w:sz w:val="16"/>
                <w:szCs w:val="16"/>
              </w:rPr>
            </w:pPr>
            <w:r w:rsidRPr="000E4600">
              <w:rPr>
                <w:rFonts w:eastAsia="Arial" w:cs="Arial"/>
                <w:color w:val="000000"/>
                <w:sz w:val="16"/>
                <w:szCs w:val="16"/>
              </w:rPr>
              <w:t>Unstable slope</w:t>
            </w:r>
          </w:p>
        </w:tc>
        <w:tc>
          <w:tcPr>
            <w:tcW w:w="2835" w:type="dxa"/>
            <w:tcBorders>
              <w:top w:val="single" w:sz="4" w:space="0" w:color="538135"/>
            </w:tcBorders>
            <w:shd w:val="clear" w:color="auto" w:fill="auto"/>
            <w:vAlign w:val="center"/>
          </w:tcPr>
          <w:p w14:paraId="220CC849" w14:textId="7C5FB914" w:rsidR="00A14554" w:rsidRDefault="000E4600" w:rsidP="000E4600">
            <w:pPr>
              <w:jc w:val="center"/>
              <w:rPr>
                <w:rFonts w:eastAsia="Arial" w:cs="Arial"/>
                <w:color w:val="000000"/>
                <w:sz w:val="16"/>
                <w:szCs w:val="16"/>
              </w:rPr>
            </w:pPr>
            <w:r w:rsidRPr="000E4600">
              <w:rPr>
                <w:rFonts w:eastAsia="Arial" w:cs="Arial"/>
                <w:color w:val="000000"/>
                <w:sz w:val="16"/>
                <w:szCs w:val="16"/>
              </w:rPr>
              <w:t>Falling rocky material causing vehicular and pedestrian accidents</w:t>
            </w:r>
          </w:p>
        </w:tc>
      </w:tr>
      <w:tr w:rsidR="00A14554" w:rsidRPr="000E4600" w14:paraId="15618267" w14:textId="77777777" w:rsidTr="00FD387D">
        <w:trPr>
          <w:trHeight w:val="138"/>
        </w:trPr>
        <w:tc>
          <w:tcPr>
            <w:tcW w:w="709" w:type="dxa"/>
            <w:vMerge/>
            <w:tcBorders>
              <w:top w:val="single" w:sz="4" w:space="0" w:color="538135"/>
            </w:tcBorders>
            <w:shd w:val="clear" w:color="auto" w:fill="auto"/>
            <w:vAlign w:val="center"/>
          </w:tcPr>
          <w:p w14:paraId="5C7ABB77" w14:textId="77777777" w:rsidR="00A14554" w:rsidRDefault="00A14554" w:rsidP="000E4600">
            <w:pPr>
              <w:widowControl w:val="0"/>
              <w:pBdr>
                <w:top w:val="nil"/>
                <w:left w:val="nil"/>
                <w:bottom w:val="nil"/>
                <w:right w:val="nil"/>
                <w:between w:val="nil"/>
              </w:pBdr>
              <w:spacing w:line="276" w:lineRule="auto"/>
              <w:jc w:val="center"/>
              <w:rPr>
                <w:rFonts w:eastAsia="Arial" w:cs="Arial"/>
                <w:color w:val="000000"/>
                <w:sz w:val="16"/>
                <w:szCs w:val="16"/>
              </w:rPr>
            </w:pPr>
          </w:p>
        </w:tc>
        <w:tc>
          <w:tcPr>
            <w:tcW w:w="1276" w:type="dxa"/>
            <w:shd w:val="clear" w:color="auto" w:fill="auto"/>
            <w:vAlign w:val="center"/>
          </w:tcPr>
          <w:p w14:paraId="6B76B405" w14:textId="3509021C" w:rsidR="00A14554" w:rsidRDefault="000E4600" w:rsidP="000E4600">
            <w:pPr>
              <w:jc w:val="center"/>
              <w:rPr>
                <w:rFonts w:eastAsia="Arial" w:cs="Arial"/>
                <w:color w:val="000000"/>
                <w:sz w:val="16"/>
                <w:szCs w:val="16"/>
              </w:rPr>
            </w:pPr>
            <w:r w:rsidRPr="000E4600">
              <w:rPr>
                <w:rFonts w:eastAsia="Arial" w:cs="Arial"/>
                <w:color w:val="000000"/>
                <w:sz w:val="16"/>
                <w:szCs w:val="16"/>
              </w:rPr>
              <w:t>Earthquakes</w:t>
            </w:r>
          </w:p>
        </w:tc>
        <w:tc>
          <w:tcPr>
            <w:tcW w:w="1984" w:type="dxa"/>
            <w:shd w:val="clear" w:color="auto" w:fill="auto"/>
            <w:vAlign w:val="center"/>
          </w:tcPr>
          <w:p w14:paraId="43E52452" w14:textId="5DBF8DEA" w:rsidR="00A14554" w:rsidRDefault="000E4600" w:rsidP="000E4600">
            <w:pPr>
              <w:jc w:val="center"/>
              <w:rPr>
                <w:rFonts w:eastAsia="Arial" w:cs="Arial"/>
                <w:color w:val="000000"/>
                <w:sz w:val="16"/>
                <w:szCs w:val="16"/>
              </w:rPr>
            </w:pPr>
            <w:r w:rsidRPr="000E4600">
              <w:rPr>
                <w:rFonts w:eastAsia="Arial" w:cs="Arial"/>
                <w:color w:val="000000"/>
                <w:sz w:val="16"/>
                <w:szCs w:val="16"/>
              </w:rPr>
              <w:t>Landslides due to seismic movement</w:t>
            </w:r>
          </w:p>
        </w:tc>
        <w:tc>
          <w:tcPr>
            <w:tcW w:w="1843" w:type="dxa"/>
            <w:shd w:val="clear" w:color="auto" w:fill="auto"/>
            <w:vAlign w:val="center"/>
          </w:tcPr>
          <w:p w14:paraId="48AF250C" w14:textId="744144C9" w:rsidR="00A14554" w:rsidRPr="000E4600" w:rsidRDefault="000E4600" w:rsidP="000E4600">
            <w:pPr>
              <w:jc w:val="center"/>
              <w:rPr>
                <w:rFonts w:eastAsia="Arial" w:cs="Arial"/>
                <w:color w:val="000000"/>
                <w:sz w:val="16"/>
                <w:szCs w:val="16"/>
                <w:lang w:val="en-US"/>
              </w:rPr>
            </w:pPr>
            <w:r w:rsidRPr="000E4600">
              <w:rPr>
                <w:rFonts w:eastAsia="Arial" w:cs="Arial"/>
                <w:color w:val="000000"/>
                <w:sz w:val="16"/>
                <w:szCs w:val="16"/>
                <w:lang w:val="en-US"/>
              </w:rPr>
              <w:t>Earthquakes in the area</w:t>
            </w:r>
          </w:p>
        </w:tc>
        <w:tc>
          <w:tcPr>
            <w:tcW w:w="2835" w:type="dxa"/>
            <w:shd w:val="clear" w:color="auto" w:fill="auto"/>
            <w:vAlign w:val="center"/>
          </w:tcPr>
          <w:p w14:paraId="022D0D3D" w14:textId="63BD4617" w:rsidR="00A14554" w:rsidRPr="000E4600" w:rsidRDefault="000E4600" w:rsidP="000E4600">
            <w:pPr>
              <w:jc w:val="center"/>
              <w:rPr>
                <w:rFonts w:eastAsia="Arial" w:cs="Arial"/>
                <w:color w:val="000000"/>
                <w:sz w:val="16"/>
                <w:szCs w:val="16"/>
                <w:lang w:val="en-US"/>
              </w:rPr>
            </w:pPr>
            <w:r w:rsidRPr="000E4600">
              <w:rPr>
                <w:rFonts w:eastAsia="Arial" w:cs="Arial"/>
                <w:color w:val="000000"/>
                <w:sz w:val="16"/>
                <w:szCs w:val="16"/>
                <w:lang w:val="en-US"/>
              </w:rPr>
              <w:t>Due to tectonic movements, landslides are generated in the cliffs</w:t>
            </w:r>
          </w:p>
        </w:tc>
      </w:tr>
      <w:tr w:rsidR="00A14554" w:rsidRPr="000E4600" w14:paraId="2A09411A" w14:textId="77777777" w:rsidTr="00FD387D">
        <w:trPr>
          <w:trHeight w:val="103"/>
        </w:trPr>
        <w:tc>
          <w:tcPr>
            <w:tcW w:w="709" w:type="dxa"/>
            <w:vMerge/>
            <w:tcBorders>
              <w:top w:val="single" w:sz="4" w:space="0" w:color="538135"/>
            </w:tcBorders>
            <w:shd w:val="clear" w:color="auto" w:fill="auto"/>
            <w:vAlign w:val="center"/>
          </w:tcPr>
          <w:p w14:paraId="58D46776" w14:textId="77777777" w:rsidR="00A14554" w:rsidRPr="000E4600" w:rsidRDefault="00A14554" w:rsidP="000E4600">
            <w:pPr>
              <w:widowControl w:val="0"/>
              <w:pBdr>
                <w:top w:val="nil"/>
                <w:left w:val="nil"/>
                <w:bottom w:val="nil"/>
                <w:right w:val="nil"/>
                <w:between w:val="nil"/>
              </w:pBdr>
              <w:spacing w:line="276" w:lineRule="auto"/>
              <w:jc w:val="center"/>
              <w:rPr>
                <w:rFonts w:eastAsia="Arial" w:cs="Arial"/>
                <w:color w:val="000000"/>
                <w:sz w:val="16"/>
                <w:szCs w:val="16"/>
                <w:lang w:val="en-US"/>
              </w:rPr>
            </w:pPr>
          </w:p>
        </w:tc>
        <w:tc>
          <w:tcPr>
            <w:tcW w:w="1276" w:type="dxa"/>
            <w:shd w:val="clear" w:color="auto" w:fill="auto"/>
            <w:vAlign w:val="center"/>
          </w:tcPr>
          <w:p w14:paraId="6791F3A1" w14:textId="7C27A3D5" w:rsidR="00A14554" w:rsidRDefault="000E4600" w:rsidP="000E4600">
            <w:pPr>
              <w:jc w:val="center"/>
              <w:rPr>
                <w:rFonts w:eastAsia="Arial" w:cs="Arial"/>
                <w:color w:val="000000"/>
                <w:sz w:val="16"/>
                <w:szCs w:val="16"/>
              </w:rPr>
            </w:pPr>
            <w:r w:rsidRPr="000E4600">
              <w:rPr>
                <w:rFonts w:eastAsia="Arial" w:cs="Arial"/>
                <w:color w:val="000000"/>
                <w:sz w:val="16"/>
                <w:szCs w:val="16"/>
              </w:rPr>
              <w:t>Constructions</w:t>
            </w:r>
          </w:p>
        </w:tc>
        <w:tc>
          <w:tcPr>
            <w:tcW w:w="1984" w:type="dxa"/>
            <w:shd w:val="clear" w:color="auto" w:fill="auto"/>
            <w:vAlign w:val="center"/>
          </w:tcPr>
          <w:p w14:paraId="653C588E" w14:textId="2C336D9D" w:rsidR="00A14554" w:rsidRPr="000E4600" w:rsidRDefault="000E4600" w:rsidP="000E4600">
            <w:pPr>
              <w:jc w:val="center"/>
              <w:rPr>
                <w:rFonts w:eastAsia="Arial" w:cs="Arial"/>
                <w:color w:val="000000"/>
                <w:sz w:val="16"/>
                <w:szCs w:val="16"/>
                <w:lang w:val="en-US"/>
              </w:rPr>
            </w:pPr>
            <w:r w:rsidRPr="000E4600">
              <w:rPr>
                <w:rFonts w:eastAsia="Arial" w:cs="Arial"/>
                <w:color w:val="000000"/>
                <w:sz w:val="16"/>
                <w:szCs w:val="16"/>
                <w:lang w:val="en-US"/>
              </w:rPr>
              <w:t>Construction in areas of untouchable soil</w:t>
            </w:r>
          </w:p>
        </w:tc>
        <w:tc>
          <w:tcPr>
            <w:tcW w:w="1843" w:type="dxa"/>
            <w:shd w:val="clear" w:color="auto" w:fill="auto"/>
            <w:vAlign w:val="center"/>
          </w:tcPr>
          <w:p w14:paraId="571E1D18" w14:textId="3C65D111" w:rsidR="00A14554" w:rsidRPr="000E4600" w:rsidRDefault="000E4600" w:rsidP="000E4600">
            <w:pPr>
              <w:jc w:val="center"/>
              <w:rPr>
                <w:rFonts w:eastAsia="Arial" w:cs="Arial"/>
                <w:color w:val="000000"/>
                <w:sz w:val="16"/>
                <w:szCs w:val="16"/>
                <w:lang w:val="en-US"/>
              </w:rPr>
            </w:pPr>
            <w:r w:rsidRPr="000E4600">
              <w:rPr>
                <w:rFonts w:eastAsia="Arial" w:cs="Arial"/>
                <w:color w:val="000000"/>
                <w:sz w:val="16"/>
                <w:szCs w:val="16"/>
                <w:lang w:val="en-US"/>
              </w:rPr>
              <w:t>Construction of buildings and houses</w:t>
            </w:r>
          </w:p>
        </w:tc>
        <w:tc>
          <w:tcPr>
            <w:tcW w:w="2835" w:type="dxa"/>
            <w:shd w:val="clear" w:color="auto" w:fill="auto"/>
            <w:vAlign w:val="center"/>
          </w:tcPr>
          <w:p w14:paraId="394F15EF" w14:textId="7838BB5E" w:rsidR="00A14554" w:rsidRPr="000E4600" w:rsidRDefault="000E4600" w:rsidP="000E4600">
            <w:pPr>
              <w:jc w:val="center"/>
              <w:rPr>
                <w:rFonts w:eastAsia="Arial" w:cs="Arial"/>
                <w:color w:val="000000"/>
                <w:sz w:val="16"/>
                <w:szCs w:val="16"/>
                <w:lang w:val="en-US"/>
              </w:rPr>
            </w:pPr>
            <w:r w:rsidRPr="000E4600">
              <w:rPr>
                <w:rFonts w:eastAsia="Arial" w:cs="Arial"/>
                <w:color w:val="000000"/>
                <w:sz w:val="16"/>
                <w:szCs w:val="16"/>
                <w:lang w:val="en-US"/>
              </w:rPr>
              <w:t>Possibility of landslides and a risky area to live in</w:t>
            </w:r>
          </w:p>
        </w:tc>
      </w:tr>
      <w:tr w:rsidR="00A14554" w:rsidRPr="000E4600" w14:paraId="511F75CF" w14:textId="77777777" w:rsidTr="00FD387D">
        <w:trPr>
          <w:trHeight w:val="138"/>
        </w:trPr>
        <w:tc>
          <w:tcPr>
            <w:tcW w:w="709" w:type="dxa"/>
            <w:vMerge/>
            <w:tcBorders>
              <w:top w:val="single" w:sz="4" w:space="0" w:color="538135"/>
            </w:tcBorders>
            <w:shd w:val="clear" w:color="auto" w:fill="auto"/>
            <w:vAlign w:val="center"/>
          </w:tcPr>
          <w:p w14:paraId="40133CAA" w14:textId="77777777" w:rsidR="00A14554" w:rsidRPr="000E4600" w:rsidRDefault="00A14554" w:rsidP="000E4600">
            <w:pPr>
              <w:widowControl w:val="0"/>
              <w:pBdr>
                <w:top w:val="nil"/>
                <w:left w:val="nil"/>
                <w:bottom w:val="nil"/>
                <w:right w:val="nil"/>
                <w:between w:val="nil"/>
              </w:pBdr>
              <w:spacing w:line="276" w:lineRule="auto"/>
              <w:jc w:val="center"/>
              <w:rPr>
                <w:rFonts w:eastAsia="Arial" w:cs="Arial"/>
                <w:color w:val="000000"/>
                <w:sz w:val="16"/>
                <w:szCs w:val="16"/>
                <w:lang w:val="en-US"/>
              </w:rPr>
            </w:pPr>
          </w:p>
        </w:tc>
        <w:tc>
          <w:tcPr>
            <w:tcW w:w="1276" w:type="dxa"/>
            <w:shd w:val="clear" w:color="auto" w:fill="auto"/>
            <w:vAlign w:val="center"/>
          </w:tcPr>
          <w:p w14:paraId="3D0B24C4" w14:textId="225519EC" w:rsidR="00A14554" w:rsidRDefault="000E4600" w:rsidP="000E4600">
            <w:pPr>
              <w:jc w:val="center"/>
              <w:rPr>
                <w:rFonts w:eastAsia="Arial" w:cs="Arial"/>
                <w:color w:val="000000"/>
                <w:sz w:val="16"/>
                <w:szCs w:val="16"/>
              </w:rPr>
            </w:pPr>
            <w:r w:rsidRPr="000E4600">
              <w:rPr>
                <w:rFonts w:eastAsia="Arial" w:cs="Arial"/>
                <w:color w:val="000000"/>
                <w:sz w:val="16"/>
                <w:szCs w:val="16"/>
              </w:rPr>
              <w:t>Environmental contamination</w:t>
            </w:r>
          </w:p>
        </w:tc>
        <w:tc>
          <w:tcPr>
            <w:tcW w:w="1984" w:type="dxa"/>
            <w:shd w:val="clear" w:color="auto" w:fill="auto"/>
            <w:vAlign w:val="center"/>
          </w:tcPr>
          <w:p w14:paraId="6F8E5954" w14:textId="3348F7B4" w:rsidR="00A14554" w:rsidRDefault="000E4600" w:rsidP="000E4600">
            <w:pPr>
              <w:jc w:val="center"/>
              <w:rPr>
                <w:rFonts w:eastAsia="Arial" w:cs="Arial"/>
                <w:color w:val="000000"/>
                <w:sz w:val="16"/>
                <w:szCs w:val="16"/>
              </w:rPr>
            </w:pPr>
            <w:r w:rsidRPr="000E4600">
              <w:rPr>
                <w:rFonts w:eastAsia="Arial" w:cs="Arial"/>
                <w:color w:val="000000"/>
                <w:sz w:val="16"/>
                <w:szCs w:val="16"/>
              </w:rPr>
              <w:t>Solid waste contamination</w:t>
            </w:r>
          </w:p>
        </w:tc>
        <w:tc>
          <w:tcPr>
            <w:tcW w:w="1843" w:type="dxa"/>
            <w:shd w:val="clear" w:color="auto" w:fill="auto"/>
            <w:vAlign w:val="center"/>
          </w:tcPr>
          <w:p w14:paraId="4305DB75" w14:textId="78CE58AF" w:rsidR="00A14554" w:rsidRDefault="000E4600" w:rsidP="000E4600">
            <w:pPr>
              <w:jc w:val="center"/>
              <w:rPr>
                <w:rFonts w:eastAsia="Arial" w:cs="Arial"/>
                <w:color w:val="000000"/>
                <w:sz w:val="16"/>
                <w:szCs w:val="16"/>
              </w:rPr>
            </w:pPr>
            <w:r w:rsidRPr="000E4600">
              <w:rPr>
                <w:rFonts w:eastAsia="Arial" w:cs="Arial"/>
                <w:color w:val="000000"/>
                <w:sz w:val="16"/>
                <w:szCs w:val="16"/>
              </w:rPr>
              <w:t>Poor waste segregation</w:t>
            </w:r>
          </w:p>
        </w:tc>
        <w:tc>
          <w:tcPr>
            <w:tcW w:w="2835" w:type="dxa"/>
            <w:shd w:val="clear" w:color="auto" w:fill="auto"/>
            <w:vAlign w:val="center"/>
          </w:tcPr>
          <w:p w14:paraId="52C0FFBA" w14:textId="623A7FFD" w:rsidR="00A14554" w:rsidRPr="000E4600" w:rsidRDefault="000E4600" w:rsidP="000E4600">
            <w:pPr>
              <w:jc w:val="center"/>
              <w:rPr>
                <w:rFonts w:eastAsia="Arial" w:cs="Arial"/>
                <w:color w:val="000000"/>
                <w:sz w:val="16"/>
                <w:szCs w:val="16"/>
                <w:lang w:val="en-US"/>
              </w:rPr>
            </w:pPr>
            <w:r w:rsidRPr="000E4600">
              <w:rPr>
                <w:rFonts w:eastAsia="Arial" w:cs="Arial"/>
                <w:color w:val="000000"/>
                <w:sz w:val="16"/>
                <w:szCs w:val="16"/>
                <w:lang w:val="en-US"/>
              </w:rPr>
              <w:t>Waste accumulated on the cliffs weakens the structure and contaminates the soil</w:t>
            </w:r>
          </w:p>
        </w:tc>
      </w:tr>
      <w:tr w:rsidR="00A14554" w:rsidRPr="000E4600" w14:paraId="3DFFD2DC" w14:textId="77777777" w:rsidTr="00FD387D">
        <w:trPr>
          <w:trHeight w:val="103"/>
        </w:trPr>
        <w:tc>
          <w:tcPr>
            <w:tcW w:w="709" w:type="dxa"/>
            <w:vMerge/>
            <w:tcBorders>
              <w:top w:val="single" w:sz="4" w:space="0" w:color="538135"/>
            </w:tcBorders>
            <w:shd w:val="clear" w:color="auto" w:fill="auto"/>
            <w:vAlign w:val="center"/>
          </w:tcPr>
          <w:p w14:paraId="3EF76DFA" w14:textId="77777777" w:rsidR="00A14554" w:rsidRPr="000E4600" w:rsidRDefault="00A14554" w:rsidP="000E4600">
            <w:pPr>
              <w:widowControl w:val="0"/>
              <w:pBdr>
                <w:top w:val="nil"/>
                <w:left w:val="nil"/>
                <w:bottom w:val="nil"/>
                <w:right w:val="nil"/>
                <w:between w:val="nil"/>
              </w:pBdr>
              <w:spacing w:line="276" w:lineRule="auto"/>
              <w:jc w:val="center"/>
              <w:rPr>
                <w:rFonts w:eastAsia="Arial" w:cs="Arial"/>
                <w:color w:val="000000"/>
                <w:sz w:val="16"/>
                <w:szCs w:val="16"/>
                <w:lang w:val="en-US"/>
              </w:rPr>
            </w:pPr>
          </w:p>
        </w:tc>
        <w:tc>
          <w:tcPr>
            <w:tcW w:w="1276" w:type="dxa"/>
            <w:shd w:val="clear" w:color="auto" w:fill="auto"/>
            <w:vAlign w:val="center"/>
          </w:tcPr>
          <w:p w14:paraId="3542D940" w14:textId="07E3F13D" w:rsidR="00A14554" w:rsidRDefault="000E4600" w:rsidP="000E4600">
            <w:pPr>
              <w:jc w:val="center"/>
              <w:rPr>
                <w:rFonts w:eastAsia="Arial" w:cs="Arial"/>
                <w:color w:val="000000"/>
                <w:sz w:val="16"/>
                <w:szCs w:val="16"/>
              </w:rPr>
            </w:pPr>
            <w:r w:rsidRPr="000E4600">
              <w:rPr>
                <w:rFonts w:eastAsia="Arial" w:cs="Arial"/>
                <w:color w:val="000000"/>
                <w:sz w:val="16"/>
                <w:szCs w:val="16"/>
              </w:rPr>
              <w:t>Lack of vegetation</w:t>
            </w:r>
          </w:p>
        </w:tc>
        <w:tc>
          <w:tcPr>
            <w:tcW w:w="1984" w:type="dxa"/>
            <w:shd w:val="clear" w:color="auto" w:fill="auto"/>
            <w:vAlign w:val="center"/>
          </w:tcPr>
          <w:p w14:paraId="60954663" w14:textId="13893CC8" w:rsidR="00A14554" w:rsidRDefault="000E4600" w:rsidP="000E4600">
            <w:pPr>
              <w:jc w:val="center"/>
              <w:rPr>
                <w:rFonts w:eastAsia="Arial" w:cs="Arial"/>
                <w:color w:val="000000"/>
                <w:sz w:val="16"/>
                <w:szCs w:val="16"/>
              </w:rPr>
            </w:pPr>
            <w:r w:rsidRPr="000E4600">
              <w:rPr>
                <w:rFonts w:eastAsia="Arial" w:cs="Arial"/>
                <w:color w:val="000000"/>
                <w:sz w:val="16"/>
                <w:szCs w:val="16"/>
              </w:rPr>
              <w:t>Little vegetation</w:t>
            </w:r>
          </w:p>
        </w:tc>
        <w:tc>
          <w:tcPr>
            <w:tcW w:w="1843" w:type="dxa"/>
            <w:shd w:val="clear" w:color="auto" w:fill="auto"/>
            <w:vAlign w:val="center"/>
          </w:tcPr>
          <w:p w14:paraId="59BA3182" w14:textId="59659B3E" w:rsidR="00A14554" w:rsidRDefault="000E4600" w:rsidP="000E4600">
            <w:pPr>
              <w:jc w:val="center"/>
              <w:rPr>
                <w:rFonts w:eastAsia="Arial" w:cs="Arial"/>
                <w:color w:val="000000"/>
                <w:sz w:val="16"/>
                <w:szCs w:val="16"/>
              </w:rPr>
            </w:pPr>
            <w:r w:rsidRPr="000E4600">
              <w:rPr>
                <w:rFonts w:eastAsia="Arial" w:cs="Arial"/>
                <w:color w:val="000000"/>
                <w:sz w:val="16"/>
                <w:szCs w:val="16"/>
              </w:rPr>
              <w:t>Cliffs without vegetation</w:t>
            </w:r>
          </w:p>
        </w:tc>
        <w:tc>
          <w:tcPr>
            <w:tcW w:w="2835" w:type="dxa"/>
            <w:shd w:val="clear" w:color="auto" w:fill="auto"/>
            <w:vAlign w:val="center"/>
          </w:tcPr>
          <w:p w14:paraId="570A377E" w14:textId="3509401E" w:rsidR="00A14554" w:rsidRPr="000E4600" w:rsidRDefault="000E4600" w:rsidP="000E4600">
            <w:pPr>
              <w:jc w:val="center"/>
              <w:rPr>
                <w:rFonts w:eastAsia="Arial" w:cs="Arial"/>
                <w:color w:val="000000"/>
                <w:sz w:val="16"/>
                <w:szCs w:val="16"/>
                <w:lang w:val="en-US"/>
              </w:rPr>
            </w:pPr>
            <w:r w:rsidRPr="000E4600">
              <w:rPr>
                <w:rFonts w:eastAsia="Arial" w:cs="Arial"/>
                <w:color w:val="000000"/>
                <w:sz w:val="16"/>
                <w:szCs w:val="16"/>
                <w:lang w:val="en-US"/>
              </w:rPr>
              <w:t>Lack of vegetation makes them more prone to erosion</w:t>
            </w:r>
          </w:p>
        </w:tc>
      </w:tr>
      <w:tr w:rsidR="00FD387D" w:rsidRPr="000E4600" w14:paraId="3EBDE01B" w14:textId="77777777" w:rsidTr="00FD387D">
        <w:trPr>
          <w:trHeight w:val="103"/>
        </w:trPr>
        <w:tc>
          <w:tcPr>
            <w:tcW w:w="709" w:type="dxa"/>
            <w:vMerge/>
            <w:tcBorders>
              <w:top w:val="single" w:sz="4" w:space="0" w:color="538135"/>
              <w:bottom w:val="single" w:sz="12" w:space="0" w:color="538135"/>
            </w:tcBorders>
            <w:shd w:val="clear" w:color="auto" w:fill="auto"/>
            <w:vAlign w:val="center"/>
          </w:tcPr>
          <w:p w14:paraId="1A4925F4" w14:textId="77777777" w:rsidR="00A14554" w:rsidRPr="000E4600" w:rsidRDefault="00A14554" w:rsidP="000E4600">
            <w:pPr>
              <w:widowControl w:val="0"/>
              <w:pBdr>
                <w:top w:val="nil"/>
                <w:left w:val="nil"/>
                <w:bottom w:val="nil"/>
                <w:right w:val="nil"/>
                <w:between w:val="nil"/>
              </w:pBdr>
              <w:spacing w:line="276" w:lineRule="auto"/>
              <w:jc w:val="center"/>
              <w:rPr>
                <w:rFonts w:eastAsia="Arial" w:cs="Arial"/>
                <w:color w:val="000000"/>
                <w:sz w:val="16"/>
                <w:szCs w:val="16"/>
                <w:lang w:val="en-US"/>
              </w:rPr>
            </w:pPr>
          </w:p>
        </w:tc>
        <w:tc>
          <w:tcPr>
            <w:tcW w:w="1276" w:type="dxa"/>
            <w:tcBorders>
              <w:bottom w:val="single" w:sz="12" w:space="0" w:color="538135"/>
            </w:tcBorders>
            <w:shd w:val="clear" w:color="auto" w:fill="auto"/>
            <w:vAlign w:val="center"/>
          </w:tcPr>
          <w:p w14:paraId="0341C7ED" w14:textId="73F367FF" w:rsidR="00A14554" w:rsidRDefault="000E4600" w:rsidP="000E4600">
            <w:pPr>
              <w:jc w:val="center"/>
              <w:rPr>
                <w:rFonts w:eastAsia="Arial" w:cs="Arial"/>
                <w:color w:val="000000"/>
                <w:sz w:val="16"/>
                <w:szCs w:val="16"/>
              </w:rPr>
            </w:pPr>
            <w:r w:rsidRPr="000E4600">
              <w:rPr>
                <w:rFonts w:eastAsia="Arial" w:cs="Arial"/>
                <w:color w:val="000000"/>
                <w:sz w:val="16"/>
                <w:szCs w:val="16"/>
              </w:rPr>
              <w:t>Soil quality</w:t>
            </w:r>
          </w:p>
        </w:tc>
        <w:tc>
          <w:tcPr>
            <w:tcW w:w="1984" w:type="dxa"/>
            <w:tcBorders>
              <w:bottom w:val="single" w:sz="12" w:space="0" w:color="538135"/>
            </w:tcBorders>
            <w:shd w:val="clear" w:color="auto" w:fill="auto"/>
            <w:vAlign w:val="center"/>
          </w:tcPr>
          <w:p w14:paraId="0D9F911D" w14:textId="0DCBCE7B" w:rsidR="00A14554" w:rsidRDefault="000E4600" w:rsidP="000E4600">
            <w:pPr>
              <w:jc w:val="center"/>
              <w:rPr>
                <w:rFonts w:eastAsia="Arial" w:cs="Arial"/>
                <w:color w:val="000000"/>
                <w:sz w:val="16"/>
                <w:szCs w:val="16"/>
              </w:rPr>
            </w:pPr>
            <w:r w:rsidRPr="000E4600">
              <w:rPr>
                <w:rFonts w:eastAsia="Arial" w:cs="Arial"/>
                <w:color w:val="000000"/>
                <w:sz w:val="16"/>
                <w:szCs w:val="16"/>
              </w:rPr>
              <w:t>Soil cracking</w:t>
            </w:r>
          </w:p>
        </w:tc>
        <w:tc>
          <w:tcPr>
            <w:tcW w:w="1843" w:type="dxa"/>
            <w:tcBorders>
              <w:bottom w:val="single" w:sz="12" w:space="0" w:color="538135"/>
            </w:tcBorders>
            <w:shd w:val="clear" w:color="auto" w:fill="auto"/>
            <w:vAlign w:val="center"/>
          </w:tcPr>
          <w:p w14:paraId="3D8EB9FD" w14:textId="220EA20B" w:rsidR="00A14554" w:rsidRDefault="000E4600" w:rsidP="000E4600">
            <w:pPr>
              <w:jc w:val="center"/>
              <w:rPr>
                <w:rFonts w:eastAsia="Arial" w:cs="Arial"/>
                <w:color w:val="000000"/>
                <w:sz w:val="16"/>
                <w:szCs w:val="16"/>
              </w:rPr>
            </w:pPr>
            <w:r w:rsidRPr="000E4600">
              <w:rPr>
                <w:rFonts w:eastAsia="Arial" w:cs="Arial"/>
                <w:color w:val="000000"/>
                <w:sz w:val="16"/>
                <w:szCs w:val="16"/>
              </w:rPr>
              <w:t>Meteorological agents</w:t>
            </w:r>
          </w:p>
        </w:tc>
        <w:tc>
          <w:tcPr>
            <w:tcW w:w="2835" w:type="dxa"/>
            <w:tcBorders>
              <w:bottom w:val="single" w:sz="12" w:space="0" w:color="538135"/>
            </w:tcBorders>
            <w:shd w:val="clear" w:color="auto" w:fill="auto"/>
            <w:vAlign w:val="center"/>
          </w:tcPr>
          <w:p w14:paraId="2781EF16" w14:textId="7481384B" w:rsidR="00A14554" w:rsidRPr="000E4600" w:rsidRDefault="000E4600" w:rsidP="000E4600">
            <w:pPr>
              <w:jc w:val="center"/>
              <w:rPr>
                <w:rFonts w:eastAsia="Arial" w:cs="Arial"/>
                <w:color w:val="000000"/>
                <w:sz w:val="16"/>
                <w:szCs w:val="16"/>
                <w:lang w:val="en-US"/>
              </w:rPr>
            </w:pPr>
            <w:r w:rsidRPr="000E4600">
              <w:rPr>
                <w:rFonts w:eastAsia="Arial" w:cs="Arial"/>
                <w:sz w:val="16"/>
                <w:szCs w:val="16"/>
                <w:lang w:val="en-US"/>
              </w:rPr>
              <w:t>L</w:t>
            </w:r>
            <w:r w:rsidR="009D1AC8">
              <w:rPr>
                <w:rFonts w:eastAsia="Arial" w:cs="Arial"/>
                <w:sz w:val="16"/>
                <w:szCs w:val="16"/>
                <w:lang w:val="en-US"/>
              </w:rPr>
              <w:t>oss of stability, soil fracture and</w:t>
            </w:r>
            <w:r w:rsidRPr="000E4600">
              <w:rPr>
                <w:rFonts w:eastAsia="Arial" w:cs="Arial"/>
                <w:sz w:val="16"/>
                <w:szCs w:val="16"/>
                <w:lang w:val="en-US"/>
              </w:rPr>
              <w:t xml:space="preserve"> landslides</w:t>
            </w:r>
          </w:p>
        </w:tc>
      </w:tr>
    </w:tbl>
    <w:p w14:paraId="37294CAD" w14:textId="77777777" w:rsidR="00A14554" w:rsidRPr="000E4600" w:rsidRDefault="00A14554" w:rsidP="00A14554">
      <w:pPr>
        <w:pStyle w:val="CETBodytext"/>
      </w:pPr>
    </w:p>
    <w:p w14:paraId="7D318B31" w14:textId="4DD226D4" w:rsidR="0025375A" w:rsidRPr="00C14646" w:rsidRDefault="00C14646" w:rsidP="00C14646">
      <w:pPr>
        <w:pStyle w:val="CETheadingx"/>
        <w:rPr>
          <w:iCs/>
          <w:lang w:val="en-GB"/>
        </w:rPr>
      </w:pPr>
      <w:r>
        <w:rPr>
          <w:iCs/>
          <w:lang w:val="en-GB"/>
        </w:rPr>
        <w:t xml:space="preserve">3.2 </w:t>
      </w:r>
      <w:r w:rsidR="009D1AC8" w:rsidRPr="009D1AC8">
        <w:rPr>
          <w:iCs/>
          <w:lang w:val="en-GB"/>
        </w:rPr>
        <w:t>Hazard stratification</w:t>
      </w:r>
    </w:p>
    <w:p w14:paraId="7E5EED15" w14:textId="657DE577" w:rsidR="0000090B" w:rsidRPr="0000026C" w:rsidRDefault="009D1AC8" w:rsidP="0000090B">
      <w:pPr>
        <w:pStyle w:val="CETTabletitle"/>
        <w:spacing w:before="0" w:after="0"/>
        <w:jc w:val="both"/>
        <w:rPr>
          <w:i w:val="0"/>
          <w:lang w:val="en-US"/>
        </w:rPr>
      </w:pPr>
      <w:r w:rsidRPr="009D1AC8">
        <w:rPr>
          <w:i w:val="0"/>
          <w:lang w:val="en-US"/>
        </w:rPr>
        <w:t xml:space="preserve">Table 2 shows the predominant hazard zones. Zones Z1, Z2, Z4 and Z6 present a high hazard level with values of 54.31, 54.17, 51.53 and 59.17 %, respectively. Meanwhile, zones Z3 and Z5 present a medium </w:t>
      </w:r>
      <w:r w:rsidR="00005040">
        <w:rPr>
          <w:i w:val="0"/>
          <w:lang w:val="en-US"/>
        </w:rPr>
        <w:t xml:space="preserve">hazard </w:t>
      </w:r>
      <w:r w:rsidRPr="009D1AC8">
        <w:rPr>
          <w:i w:val="0"/>
          <w:lang w:val="en-US"/>
        </w:rPr>
        <w:t>level with values of 40.28 and 48.61 %, respectively. Regarding the level of danger in the cliffs, it was obtained that they present a medium and high level of danger. The high hazard level was also identified by Rusk et al. (2021) in their study in the Himalayan mountain zone, highlighting that growth and the need for human habitation increased exposure to hazards. Both investigations were carried out in areas with intangible area characteristics and population growth that generates an i</w:t>
      </w:r>
      <w:r>
        <w:rPr>
          <w:i w:val="0"/>
          <w:lang w:val="en-US"/>
        </w:rPr>
        <w:t>ncrease in housing construction</w:t>
      </w:r>
      <w:r w:rsidR="0000090B" w:rsidRPr="0000026C">
        <w:rPr>
          <w:i w:val="0"/>
          <w:lang w:val="en-US"/>
        </w:rPr>
        <w:t>.</w:t>
      </w:r>
    </w:p>
    <w:p w14:paraId="71310C3C" w14:textId="1950F01F" w:rsidR="008B156C" w:rsidRDefault="009D1AC8" w:rsidP="00C14646">
      <w:pPr>
        <w:pStyle w:val="CETTabletitle"/>
        <w:rPr>
          <w:lang w:val="en-US"/>
        </w:rPr>
      </w:pPr>
      <w:r w:rsidRPr="009D1AC8">
        <w:rPr>
          <w:lang w:val="en-US"/>
        </w:rPr>
        <w:t>Table 2</w:t>
      </w:r>
      <w:r w:rsidR="008B156C" w:rsidRPr="009D1AC8">
        <w:rPr>
          <w:lang w:val="en-US"/>
        </w:rPr>
        <w:t xml:space="preserve">: </w:t>
      </w:r>
      <w:r w:rsidRPr="009D1AC8">
        <w:rPr>
          <w:lang w:val="en-US"/>
        </w:rPr>
        <w:t>Hazards by zone</w:t>
      </w:r>
    </w:p>
    <w:tbl>
      <w:tblPr>
        <w:tblW w:w="6537" w:type="dxa"/>
        <w:tblBorders>
          <w:top w:val="single" w:sz="4" w:space="0" w:color="538135"/>
          <w:left w:val="nil"/>
          <w:bottom w:val="single" w:sz="4" w:space="0" w:color="538135"/>
          <w:right w:val="nil"/>
          <w:insideH w:val="nil"/>
          <w:insideV w:val="nil"/>
        </w:tblBorders>
        <w:tblLayout w:type="fixed"/>
        <w:tblLook w:val="04A0" w:firstRow="1" w:lastRow="0" w:firstColumn="1" w:lastColumn="0" w:noHBand="0" w:noVBand="1"/>
      </w:tblPr>
      <w:tblGrid>
        <w:gridCol w:w="2078"/>
        <w:gridCol w:w="2186"/>
        <w:gridCol w:w="2273"/>
      </w:tblGrid>
      <w:tr w:rsidR="00005040" w14:paraId="7FF4F443" w14:textId="77777777" w:rsidTr="00A139B1">
        <w:trPr>
          <w:trHeight w:val="148"/>
        </w:trPr>
        <w:tc>
          <w:tcPr>
            <w:tcW w:w="2078" w:type="dxa"/>
            <w:vMerge w:val="restart"/>
            <w:tcBorders>
              <w:top w:val="single" w:sz="12" w:space="0" w:color="538135"/>
              <w:left w:val="nil"/>
              <w:bottom w:val="single" w:sz="4" w:space="0" w:color="538135"/>
              <w:right w:val="nil"/>
            </w:tcBorders>
            <w:shd w:val="clear" w:color="auto" w:fill="auto"/>
            <w:vAlign w:val="center"/>
          </w:tcPr>
          <w:p w14:paraId="56D63939" w14:textId="6597513B" w:rsidR="00005040" w:rsidRDefault="00005040" w:rsidP="00005040">
            <w:pPr>
              <w:spacing w:line="276" w:lineRule="auto"/>
              <w:jc w:val="center"/>
              <w:rPr>
                <w:rFonts w:eastAsia="Arial" w:cs="Arial"/>
                <w:color w:val="000000"/>
                <w:sz w:val="16"/>
                <w:szCs w:val="16"/>
              </w:rPr>
            </w:pPr>
            <w:r>
              <w:rPr>
                <w:rFonts w:eastAsia="Arial" w:cs="Arial"/>
                <w:color w:val="000000"/>
                <w:sz w:val="16"/>
                <w:szCs w:val="16"/>
              </w:rPr>
              <w:t>Zone</w:t>
            </w:r>
          </w:p>
        </w:tc>
        <w:tc>
          <w:tcPr>
            <w:tcW w:w="4459" w:type="dxa"/>
            <w:gridSpan w:val="2"/>
            <w:tcBorders>
              <w:top w:val="single" w:sz="12" w:space="0" w:color="538135"/>
              <w:left w:val="nil"/>
              <w:bottom w:val="single" w:sz="4" w:space="0" w:color="538135"/>
              <w:right w:val="nil"/>
            </w:tcBorders>
            <w:shd w:val="clear" w:color="auto" w:fill="auto"/>
            <w:vAlign w:val="center"/>
          </w:tcPr>
          <w:p w14:paraId="735E33C5" w14:textId="169C9DCC" w:rsidR="00005040" w:rsidRDefault="00005040" w:rsidP="00005040">
            <w:pPr>
              <w:spacing w:line="276" w:lineRule="auto"/>
              <w:jc w:val="center"/>
              <w:rPr>
                <w:rFonts w:eastAsia="Arial" w:cs="Arial"/>
                <w:color w:val="000000"/>
                <w:sz w:val="16"/>
                <w:szCs w:val="16"/>
              </w:rPr>
            </w:pPr>
            <w:r>
              <w:rPr>
                <w:rFonts w:eastAsia="Arial" w:cs="Arial"/>
                <w:color w:val="000000"/>
                <w:sz w:val="16"/>
                <w:szCs w:val="16"/>
              </w:rPr>
              <w:t>Results</w:t>
            </w:r>
          </w:p>
        </w:tc>
      </w:tr>
      <w:tr w:rsidR="00005040" w14:paraId="197D2EA2" w14:textId="77777777" w:rsidTr="00A139B1">
        <w:trPr>
          <w:trHeight w:val="230"/>
        </w:trPr>
        <w:tc>
          <w:tcPr>
            <w:tcW w:w="2078" w:type="dxa"/>
            <w:vMerge/>
            <w:tcBorders>
              <w:top w:val="single" w:sz="4" w:space="0" w:color="538135"/>
              <w:left w:val="nil"/>
              <w:bottom w:val="single" w:sz="4" w:space="0" w:color="538135"/>
              <w:right w:val="nil"/>
            </w:tcBorders>
            <w:shd w:val="clear" w:color="auto" w:fill="auto"/>
            <w:vAlign w:val="center"/>
          </w:tcPr>
          <w:p w14:paraId="734BBD86" w14:textId="77777777" w:rsidR="00005040" w:rsidRDefault="00005040" w:rsidP="00005040">
            <w:pPr>
              <w:widowControl w:val="0"/>
              <w:pBdr>
                <w:top w:val="nil"/>
                <w:left w:val="nil"/>
                <w:bottom w:val="nil"/>
                <w:right w:val="nil"/>
                <w:between w:val="nil"/>
              </w:pBdr>
              <w:spacing w:line="276" w:lineRule="auto"/>
              <w:jc w:val="center"/>
              <w:rPr>
                <w:rFonts w:eastAsia="Arial" w:cs="Arial"/>
                <w:color w:val="000000"/>
                <w:sz w:val="16"/>
                <w:szCs w:val="16"/>
              </w:rPr>
            </w:pPr>
          </w:p>
        </w:tc>
        <w:tc>
          <w:tcPr>
            <w:tcW w:w="2186" w:type="dxa"/>
            <w:tcBorders>
              <w:top w:val="single" w:sz="4" w:space="0" w:color="538135"/>
              <w:bottom w:val="single" w:sz="4" w:space="0" w:color="538135"/>
            </w:tcBorders>
            <w:shd w:val="clear" w:color="auto" w:fill="auto"/>
            <w:vAlign w:val="center"/>
          </w:tcPr>
          <w:p w14:paraId="3BB2C261" w14:textId="55A574B2" w:rsidR="00005040" w:rsidRPr="00AC290F" w:rsidRDefault="00005040" w:rsidP="00005040">
            <w:pPr>
              <w:spacing w:line="276" w:lineRule="auto"/>
              <w:jc w:val="center"/>
              <w:rPr>
                <w:rFonts w:eastAsia="Arial" w:cs="Arial"/>
                <w:color w:val="000000"/>
                <w:sz w:val="16"/>
                <w:szCs w:val="16"/>
              </w:rPr>
            </w:pPr>
            <w:r w:rsidRPr="00AC290F">
              <w:rPr>
                <w:rFonts w:eastAsia="Arial" w:cs="Arial"/>
                <w:color w:val="000000"/>
                <w:sz w:val="16"/>
                <w:szCs w:val="16"/>
              </w:rPr>
              <w:t>Hazard</w:t>
            </w:r>
          </w:p>
        </w:tc>
        <w:tc>
          <w:tcPr>
            <w:tcW w:w="2273" w:type="dxa"/>
            <w:tcBorders>
              <w:top w:val="single" w:sz="4" w:space="0" w:color="538135"/>
              <w:bottom w:val="single" w:sz="4" w:space="0" w:color="538135"/>
            </w:tcBorders>
            <w:shd w:val="clear" w:color="auto" w:fill="auto"/>
            <w:vAlign w:val="center"/>
          </w:tcPr>
          <w:p w14:paraId="53D7D117" w14:textId="61A36D50" w:rsidR="00005040" w:rsidRPr="00AC290F" w:rsidRDefault="00005040" w:rsidP="00005040">
            <w:pPr>
              <w:spacing w:line="276" w:lineRule="auto"/>
              <w:jc w:val="center"/>
              <w:rPr>
                <w:rFonts w:eastAsia="Arial" w:cs="Arial"/>
                <w:color w:val="000000"/>
                <w:sz w:val="16"/>
                <w:szCs w:val="16"/>
              </w:rPr>
            </w:pPr>
            <w:r w:rsidRPr="00AC290F">
              <w:rPr>
                <w:rFonts w:eastAsia="Arial" w:cs="Arial"/>
                <w:color w:val="000000"/>
                <w:sz w:val="16"/>
                <w:szCs w:val="16"/>
              </w:rPr>
              <w:t>Classification</w:t>
            </w:r>
          </w:p>
        </w:tc>
      </w:tr>
      <w:tr w:rsidR="00005040" w14:paraId="1A3C7F7E" w14:textId="77777777" w:rsidTr="00A139B1">
        <w:trPr>
          <w:trHeight w:val="58"/>
        </w:trPr>
        <w:tc>
          <w:tcPr>
            <w:tcW w:w="2078" w:type="dxa"/>
            <w:tcBorders>
              <w:top w:val="single" w:sz="4" w:space="0" w:color="538135"/>
            </w:tcBorders>
            <w:shd w:val="clear" w:color="auto" w:fill="auto"/>
            <w:vAlign w:val="center"/>
          </w:tcPr>
          <w:p w14:paraId="7272B711" w14:textId="3922F76D" w:rsidR="00005040" w:rsidRDefault="00AC290F" w:rsidP="00005040">
            <w:pPr>
              <w:spacing w:line="276" w:lineRule="auto"/>
              <w:jc w:val="center"/>
              <w:rPr>
                <w:rFonts w:eastAsia="Arial" w:cs="Arial"/>
                <w:color w:val="000000"/>
                <w:sz w:val="16"/>
                <w:szCs w:val="16"/>
              </w:rPr>
            </w:pPr>
            <w:r>
              <w:rPr>
                <w:rFonts w:eastAsia="Arial" w:cs="Arial"/>
                <w:color w:val="000000"/>
                <w:sz w:val="16"/>
                <w:szCs w:val="16"/>
              </w:rPr>
              <w:t>Zone</w:t>
            </w:r>
            <w:r w:rsidR="00005040">
              <w:rPr>
                <w:rFonts w:eastAsia="Arial" w:cs="Arial"/>
                <w:color w:val="000000"/>
                <w:sz w:val="16"/>
                <w:szCs w:val="16"/>
              </w:rPr>
              <w:t xml:space="preserve"> 1</w:t>
            </w:r>
          </w:p>
        </w:tc>
        <w:tc>
          <w:tcPr>
            <w:tcW w:w="2186" w:type="dxa"/>
            <w:tcBorders>
              <w:top w:val="single" w:sz="4" w:space="0" w:color="538135"/>
            </w:tcBorders>
            <w:shd w:val="clear" w:color="auto" w:fill="auto"/>
            <w:vAlign w:val="center"/>
          </w:tcPr>
          <w:p w14:paraId="35E60C8D" w14:textId="77777777" w:rsidR="00005040" w:rsidRDefault="00005040" w:rsidP="00005040">
            <w:pPr>
              <w:spacing w:line="276" w:lineRule="auto"/>
              <w:jc w:val="center"/>
              <w:rPr>
                <w:rFonts w:eastAsia="Arial" w:cs="Arial"/>
                <w:color w:val="000000"/>
                <w:sz w:val="16"/>
                <w:szCs w:val="16"/>
              </w:rPr>
            </w:pPr>
            <w:r>
              <w:rPr>
                <w:rFonts w:eastAsia="Arial" w:cs="Arial"/>
                <w:color w:val="000000"/>
                <w:sz w:val="16"/>
                <w:szCs w:val="16"/>
              </w:rPr>
              <w:t>54.31%</w:t>
            </w:r>
          </w:p>
        </w:tc>
        <w:tc>
          <w:tcPr>
            <w:tcW w:w="2273" w:type="dxa"/>
            <w:tcBorders>
              <w:top w:val="single" w:sz="4" w:space="0" w:color="538135"/>
            </w:tcBorders>
            <w:shd w:val="clear" w:color="auto" w:fill="auto"/>
            <w:vAlign w:val="center"/>
          </w:tcPr>
          <w:p w14:paraId="557C3CFC" w14:textId="1CC62109" w:rsidR="00005040" w:rsidRDefault="00AC290F" w:rsidP="00005040">
            <w:pPr>
              <w:spacing w:line="276" w:lineRule="auto"/>
              <w:jc w:val="center"/>
              <w:rPr>
                <w:rFonts w:eastAsia="Arial" w:cs="Arial"/>
                <w:color w:val="000000"/>
                <w:sz w:val="16"/>
                <w:szCs w:val="16"/>
              </w:rPr>
            </w:pPr>
            <w:r w:rsidRPr="00AC290F">
              <w:rPr>
                <w:rFonts w:eastAsia="Arial" w:cs="Arial"/>
                <w:color w:val="000000"/>
                <w:sz w:val="16"/>
                <w:szCs w:val="16"/>
              </w:rPr>
              <w:t>High hazard</w:t>
            </w:r>
          </w:p>
        </w:tc>
      </w:tr>
      <w:tr w:rsidR="00005040" w14:paraId="23455B61" w14:textId="77777777" w:rsidTr="00A139B1">
        <w:trPr>
          <w:trHeight w:val="68"/>
        </w:trPr>
        <w:tc>
          <w:tcPr>
            <w:tcW w:w="2078" w:type="dxa"/>
            <w:shd w:val="clear" w:color="auto" w:fill="auto"/>
            <w:vAlign w:val="center"/>
          </w:tcPr>
          <w:p w14:paraId="1DF3C67D" w14:textId="3485F416" w:rsidR="00005040" w:rsidRDefault="00AC290F" w:rsidP="00005040">
            <w:pPr>
              <w:spacing w:line="276" w:lineRule="auto"/>
              <w:jc w:val="center"/>
              <w:rPr>
                <w:rFonts w:eastAsia="Arial" w:cs="Arial"/>
                <w:color w:val="000000"/>
                <w:sz w:val="16"/>
                <w:szCs w:val="16"/>
              </w:rPr>
            </w:pPr>
            <w:r>
              <w:rPr>
                <w:rFonts w:eastAsia="Arial" w:cs="Arial"/>
                <w:color w:val="000000"/>
                <w:sz w:val="16"/>
                <w:szCs w:val="16"/>
              </w:rPr>
              <w:t>Zone</w:t>
            </w:r>
            <w:r w:rsidR="00005040">
              <w:rPr>
                <w:rFonts w:eastAsia="Arial" w:cs="Arial"/>
                <w:color w:val="000000"/>
                <w:sz w:val="16"/>
                <w:szCs w:val="16"/>
              </w:rPr>
              <w:t xml:space="preserve"> 2</w:t>
            </w:r>
          </w:p>
        </w:tc>
        <w:tc>
          <w:tcPr>
            <w:tcW w:w="2186" w:type="dxa"/>
            <w:shd w:val="clear" w:color="auto" w:fill="auto"/>
            <w:vAlign w:val="center"/>
          </w:tcPr>
          <w:p w14:paraId="2C12685A" w14:textId="77777777" w:rsidR="00005040" w:rsidRDefault="00005040" w:rsidP="00005040">
            <w:pPr>
              <w:spacing w:line="276" w:lineRule="auto"/>
              <w:jc w:val="center"/>
              <w:rPr>
                <w:rFonts w:eastAsia="Arial" w:cs="Arial"/>
                <w:color w:val="000000"/>
                <w:sz w:val="16"/>
                <w:szCs w:val="16"/>
              </w:rPr>
            </w:pPr>
            <w:r>
              <w:rPr>
                <w:rFonts w:eastAsia="Arial" w:cs="Arial"/>
                <w:color w:val="000000"/>
                <w:sz w:val="16"/>
                <w:szCs w:val="16"/>
              </w:rPr>
              <w:t>54.17%</w:t>
            </w:r>
          </w:p>
        </w:tc>
        <w:tc>
          <w:tcPr>
            <w:tcW w:w="2273" w:type="dxa"/>
            <w:shd w:val="clear" w:color="auto" w:fill="auto"/>
            <w:vAlign w:val="center"/>
          </w:tcPr>
          <w:p w14:paraId="593A0E59" w14:textId="6477002A" w:rsidR="00005040" w:rsidRDefault="00AC290F" w:rsidP="00005040">
            <w:pPr>
              <w:spacing w:line="276" w:lineRule="auto"/>
              <w:jc w:val="center"/>
              <w:rPr>
                <w:rFonts w:eastAsia="Arial" w:cs="Arial"/>
                <w:color w:val="000000"/>
                <w:sz w:val="16"/>
                <w:szCs w:val="16"/>
              </w:rPr>
            </w:pPr>
            <w:r w:rsidRPr="00AC290F">
              <w:rPr>
                <w:rFonts w:eastAsia="Arial" w:cs="Arial"/>
                <w:color w:val="000000"/>
                <w:sz w:val="16"/>
                <w:szCs w:val="16"/>
              </w:rPr>
              <w:t>High hazard</w:t>
            </w:r>
          </w:p>
        </w:tc>
      </w:tr>
      <w:tr w:rsidR="00005040" w14:paraId="1A6C620C" w14:textId="77777777" w:rsidTr="00A139B1">
        <w:trPr>
          <w:trHeight w:val="68"/>
        </w:trPr>
        <w:tc>
          <w:tcPr>
            <w:tcW w:w="2078" w:type="dxa"/>
            <w:shd w:val="clear" w:color="auto" w:fill="auto"/>
            <w:vAlign w:val="center"/>
          </w:tcPr>
          <w:p w14:paraId="36CF530F" w14:textId="3553F37A" w:rsidR="00005040" w:rsidRDefault="00AC290F" w:rsidP="00005040">
            <w:pPr>
              <w:spacing w:line="276" w:lineRule="auto"/>
              <w:jc w:val="center"/>
              <w:rPr>
                <w:rFonts w:eastAsia="Arial" w:cs="Arial"/>
                <w:color w:val="000000"/>
                <w:sz w:val="16"/>
                <w:szCs w:val="16"/>
              </w:rPr>
            </w:pPr>
            <w:r>
              <w:rPr>
                <w:rFonts w:eastAsia="Arial" w:cs="Arial"/>
                <w:color w:val="000000"/>
                <w:sz w:val="16"/>
                <w:szCs w:val="16"/>
              </w:rPr>
              <w:t>Zone</w:t>
            </w:r>
            <w:r w:rsidR="00005040">
              <w:rPr>
                <w:rFonts w:eastAsia="Arial" w:cs="Arial"/>
                <w:color w:val="000000"/>
                <w:sz w:val="16"/>
                <w:szCs w:val="16"/>
              </w:rPr>
              <w:t xml:space="preserve"> 3</w:t>
            </w:r>
          </w:p>
        </w:tc>
        <w:tc>
          <w:tcPr>
            <w:tcW w:w="2186" w:type="dxa"/>
            <w:shd w:val="clear" w:color="auto" w:fill="auto"/>
            <w:vAlign w:val="center"/>
          </w:tcPr>
          <w:p w14:paraId="4AB2307A" w14:textId="77777777" w:rsidR="00005040" w:rsidRDefault="00005040" w:rsidP="00005040">
            <w:pPr>
              <w:spacing w:line="276" w:lineRule="auto"/>
              <w:jc w:val="center"/>
              <w:rPr>
                <w:rFonts w:eastAsia="Arial" w:cs="Arial"/>
                <w:color w:val="000000"/>
                <w:sz w:val="16"/>
                <w:szCs w:val="16"/>
              </w:rPr>
            </w:pPr>
            <w:r>
              <w:rPr>
                <w:rFonts w:eastAsia="Arial" w:cs="Arial"/>
                <w:color w:val="000000"/>
                <w:sz w:val="16"/>
                <w:szCs w:val="16"/>
              </w:rPr>
              <w:t>40.28%</w:t>
            </w:r>
          </w:p>
        </w:tc>
        <w:tc>
          <w:tcPr>
            <w:tcW w:w="2273" w:type="dxa"/>
            <w:shd w:val="clear" w:color="auto" w:fill="auto"/>
            <w:vAlign w:val="center"/>
          </w:tcPr>
          <w:p w14:paraId="30FAA3D8" w14:textId="76A6692D" w:rsidR="00005040" w:rsidRDefault="00AC290F" w:rsidP="00005040">
            <w:pPr>
              <w:spacing w:line="276" w:lineRule="auto"/>
              <w:jc w:val="center"/>
              <w:rPr>
                <w:rFonts w:eastAsia="Arial" w:cs="Arial"/>
                <w:color w:val="000000"/>
                <w:sz w:val="16"/>
                <w:szCs w:val="16"/>
              </w:rPr>
            </w:pPr>
            <w:r>
              <w:rPr>
                <w:rFonts w:eastAsia="Arial" w:cs="Arial"/>
                <w:color w:val="000000"/>
                <w:sz w:val="16"/>
                <w:szCs w:val="16"/>
              </w:rPr>
              <w:t>Medium hazard</w:t>
            </w:r>
          </w:p>
        </w:tc>
      </w:tr>
      <w:tr w:rsidR="00005040" w14:paraId="37CF0EF5" w14:textId="77777777" w:rsidTr="00A139B1">
        <w:trPr>
          <w:trHeight w:val="68"/>
        </w:trPr>
        <w:tc>
          <w:tcPr>
            <w:tcW w:w="2078" w:type="dxa"/>
            <w:shd w:val="clear" w:color="auto" w:fill="auto"/>
            <w:vAlign w:val="center"/>
          </w:tcPr>
          <w:p w14:paraId="4AFA3243" w14:textId="25C0E0F5" w:rsidR="00005040" w:rsidRDefault="00AC290F" w:rsidP="00005040">
            <w:pPr>
              <w:spacing w:line="276" w:lineRule="auto"/>
              <w:jc w:val="center"/>
              <w:rPr>
                <w:rFonts w:eastAsia="Arial" w:cs="Arial"/>
                <w:color w:val="000000"/>
                <w:sz w:val="16"/>
                <w:szCs w:val="16"/>
              </w:rPr>
            </w:pPr>
            <w:r>
              <w:rPr>
                <w:rFonts w:eastAsia="Arial" w:cs="Arial"/>
                <w:color w:val="000000"/>
                <w:sz w:val="16"/>
                <w:szCs w:val="16"/>
              </w:rPr>
              <w:t>Zone</w:t>
            </w:r>
            <w:r w:rsidR="00005040">
              <w:rPr>
                <w:rFonts w:eastAsia="Arial" w:cs="Arial"/>
                <w:color w:val="000000"/>
                <w:sz w:val="16"/>
                <w:szCs w:val="16"/>
              </w:rPr>
              <w:t xml:space="preserve"> 4</w:t>
            </w:r>
          </w:p>
        </w:tc>
        <w:tc>
          <w:tcPr>
            <w:tcW w:w="2186" w:type="dxa"/>
            <w:shd w:val="clear" w:color="auto" w:fill="auto"/>
            <w:vAlign w:val="center"/>
          </w:tcPr>
          <w:p w14:paraId="7B670E40" w14:textId="77777777" w:rsidR="00005040" w:rsidRDefault="00005040" w:rsidP="00005040">
            <w:pPr>
              <w:spacing w:line="276" w:lineRule="auto"/>
              <w:jc w:val="center"/>
              <w:rPr>
                <w:rFonts w:eastAsia="Arial" w:cs="Arial"/>
                <w:color w:val="000000"/>
                <w:sz w:val="16"/>
                <w:szCs w:val="16"/>
              </w:rPr>
            </w:pPr>
            <w:r>
              <w:rPr>
                <w:rFonts w:eastAsia="Arial" w:cs="Arial"/>
                <w:color w:val="000000"/>
                <w:sz w:val="16"/>
                <w:szCs w:val="16"/>
              </w:rPr>
              <w:t>51.53%</w:t>
            </w:r>
          </w:p>
        </w:tc>
        <w:tc>
          <w:tcPr>
            <w:tcW w:w="2273" w:type="dxa"/>
            <w:shd w:val="clear" w:color="auto" w:fill="auto"/>
            <w:vAlign w:val="center"/>
          </w:tcPr>
          <w:p w14:paraId="3B9AAC41" w14:textId="258036B2" w:rsidR="00005040" w:rsidRDefault="00AC290F" w:rsidP="00005040">
            <w:pPr>
              <w:spacing w:line="276" w:lineRule="auto"/>
              <w:jc w:val="center"/>
              <w:rPr>
                <w:rFonts w:eastAsia="Arial" w:cs="Arial"/>
                <w:color w:val="000000"/>
                <w:sz w:val="16"/>
                <w:szCs w:val="16"/>
              </w:rPr>
            </w:pPr>
            <w:r w:rsidRPr="00AC290F">
              <w:rPr>
                <w:rFonts w:eastAsia="Arial" w:cs="Arial"/>
                <w:color w:val="000000"/>
                <w:sz w:val="16"/>
                <w:szCs w:val="16"/>
              </w:rPr>
              <w:t>High hazard</w:t>
            </w:r>
          </w:p>
        </w:tc>
      </w:tr>
      <w:tr w:rsidR="00005040" w14:paraId="7C046242" w14:textId="77777777" w:rsidTr="00A139B1">
        <w:trPr>
          <w:trHeight w:val="68"/>
        </w:trPr>
        <w:tc>
          <w:tcPr>
            <w:tcW w:w="2078" w:type="dxa"/>
            <w:shd w:val="clear" w:color="auto" w:fill="auto"/>
            <w:vAlign w:val="center"/>
          </w:tcPr>
          <w:p w14:paraId="1D7DA293" w14:textId="3AB6F5E4" w:rsidR="00005040" w:rsidRDefault="00AC290F" w:rsidP="00005040">
            <w:pPr>
              <w:spacing w:line="276" w:lineRule="auto"/>
              <w:jc w:val="center"/>
              <w:rPr>
                <w:rFonts w:eastAsia="Arial" w:cs="Arial"/>
                <w:color w:val="000000"/>
                <w:sz w:val="16"/>
                <w:szCs w:val="16"/>
              </w:rPr>
            </w:pPr>
            <w:r>
              <w:rPr>
                <w:rFonts w:eastAsia="Arial" w:cs="Arial"/>
                <w:color w:val="000000"/>
                <w:sz w:val="16"/>
                <w:szCs w:val="16"/>
              </w:rPr>
              <w:t>Zone</w:t>
            </w:r>
            <w:r w:rsidR="00005040">
              <w:rPr>
                <w:rFonts w:eastAsia="Arial" w:cs="Arial"/>
                <w:color w:val="000000"/>
                <w:sz w:val="16"/>
                <w:szCs w:val="16"/>
              </w:rPr>
              <w:t xml:space="preserve"> 5</w:t>
            </w:r>
          </w:p>
        </w:tc>
        <w:tc>
          <w:tcPr>
            <w:tcW w:w="2186" w:type="dxa"/>
            <w:shd w:val="clear" w:color="auto" w:fill="auto"/>
            <w:vAlign w:val="center"/>
          </w:tcPr>
          <w:p w14:paraId="77D2A582" w14:textId="77777777" w:rsidR="00005040" w:rsidRDefault="00005040" w:rsidP="00005040">
            <w:pPr>
              <w:spacing w:line="276" w:lineRule="auto"/>
              <w:jc w:val="center"/>
              <w:rPr>
                <w:rFonts w:eastAsia="Arial" w:cs="Arial"/>
                <w:color w:val="000000"/>
                <w:sz w:val="16"/>
                <w:szCs w:val="16"/>
              </w:rPr>
            </w:pPr>
            <w:r>
              <w:rPr>
                <w:rFonts w:eastAsia="Arial" w:cs="Arial"/>
                <w:color w:val="000000"/>
                <w:sz w:val="16"/>
                <w:szCs w:val="16"/>
              </w:rPr>
              <w:t>48.61%</w:t>
            </w:r>
          </w:p>
        </w:tc>
        <w:tc>
          <w:tcPr>
            <w:tcW w:w="2273" w:type="dxa"/>
            <w:shd w:val="clear" w:color="auto" w:fill="auto"/>
            <w:vAlign w:val="center"/>
          </w:tcPr>
          <w:p w14:paraId="672470B3" w14:textId="667EE436" w:rsidR="00005040" w:rsidRDefault="00AC290F" w:rsidP="00005040">
            <w:pPr>
              <w:spacing w:line="276" w:lineRule="auto"/>
              <w:jc w:val="center"/>
              <w:rPr>
                <w:rFonts w:eastAsia="Arial" w:cs="Arial"/>
                <w:color w:val="000000"/>
                <w:sz w:val="16"/>
                <w:szCs w:val="16"/>
              </w:rPr>
            </w:pPr>
            <w:r>
              <w:rPr>
                <w:rFonts w:eastAsia="Arial" w:cs="Arial"/>
                <w:color w:val="000000"/>
                <w:sz w:val="16"/>
                <w:szCs w:val="16"/>
              </w:rPr>
              <w:t>Medium hazard</w:t>
            </w:r>
          </w:p>
        </w:tc>
      </w:tr>
      <w:tr w:rsidR="00005040" w14:paraId="35CAD84A" w14:textId="77777777" w:rsidTr="00A139B1">
        <w:trPr>
          <w:trHeight w:val="88"/>
        </w:trPr>
        <w:tc>
          <w:tcPr>
            <w:tcW w:w="2078" w:type="dxa"/>
            <w:tcBorders>
              <w:bottom w:val="single" w:sz="12" w:space="0" w:color="538135"/>
            </w:tcBorders>
            <w:shd w:val="clear" w:color="auto" w:fill="auto"/>
            <w:vAlign w:val="center"/>
          </w:tcPr>
          <w:p w14:paraId="4F3A7902" w14:textId="3100909B" w:rsidR="00005040" w:rsidRDefault="00AC290F" w:rsidP="00005040">
            <w:pPr>
              <w:spacing w:line="276" w:lineRule="auto"/>
              <w:jc w:val="center"/>
              <w:rPr>
                <w:rFonts w:eastAsia="Arial" w:cs="Arial"/>
                <w:color w:val="000000"/>
                <w:sz w:val="16"/>
                <w:szCs w:val="16"/>
              </w:rPr>
            </w:pPr>
            <w:r>
              <w:rPr>
                <w:rFonts w:eastAsia="Arial" w:cs="Arial"/>
                <w:color w:val="000000"/>
                <w:sz w:val="16"/>
                <w:szCs w:val="16"/>
              </w:rPr>
              <w:t>Zone</w:t>
            </w:r>
            <w:r w:rsidR="00005040">
              <w:rPr>
                <w:rFonts w:eastAsia="Arial" w:cs="Arial"/>
                <w:color w:val="000000"/>
                <w:sz w:val="16"/>
                <w:szCs w:val="16"/>
              </w:rPr>
              <w:t xml:space="preserve"> 6</w:t>
            </w:r>
          </w:p>
        </w:tc>
        <w:tc>
          <w:tcPr>
            <w:tcW w:w="2186" w:type="dxa"/>
            <w:tcBorders>
              <w:bottom w:val="single" w:sz="12" w:space="0" w:color="538135"/>
            </w:tcBorders>
            <w:shd w:val="clear" w:color="auto" w:fill="auto"/>
            <w:vAlign w:val="center"/>
          </w:tcPr>
          <w:p w14:paraId="11412576" w14:textId="77777777" w:rsidR="00005040" w:rsidRDefault="00005040" w:rsidP="00005040">
            <w:pPr>
              <w:spacing w:line="276" w:lineRule="auto"/>
              <w:jc w:val="center"/>
              <w:rPr>
                <w:rFonts w:eastAsia="Arial" w:cs="Arial"/>
                <w:color w:val="000000"/>
                <w:sz w:val="16"/>
                <w:szCs w:val="16"/>
              </w:rPr>
            </w:pPr>
            <w:r>
              <w:rPr>
                <w:rFonts w:eastAsia="Arial" w:cs="Arial"/>
                <w:color w:val="000000"/>
                <w:sz w:val="16"/>
                <w:szCs w:val="16"/>
              </w:rPr>
              <w:t>59.17%</w:t>
            </w:r>
          </w:p>
        </w:tc>
        <w:tc>
          <w:tcPr>
            <w:tcW w:w="2273" w:type="dxa"/>
            <w:tcBorders>
              <w:bottom w:val="single" w:sz="12" w:space="0" w:color="538135"/>
            </w:tcBorders>
            <w:shd w:val="clear" w:color="auto" w:fill="auto"/>
            <w:vAlign w:val="center"/>
          </w:tcPr>
          <w:p w14:paraId="0B46CA48" w14:textId="0E86228C" w:rsidR="00005040" w:rsidRDefault="00AC290F" w:rsidP="00005040">
            <w:pPr>
              <w:spacing w:line="276" w:lineRule="auto"/>
              <w:jc w:val="center"/>
              <w:rPr>
                <w:rFonts w:eastAsia="Arial" w:cs="Arial"/>
                <w:color w:val="000000"/>
                <w:sz w:val="16"/>
                <w:szCs w:val="16"/>
              </w:rPr>
            </w:pPr>
            <w:r w:rsidRPr="00AC290F">
              <w:rPr>
                <w:rFonts w:eastAsia="Arial" w:cs="Arial"/>
                <w:color w:val="000000"/>
                <w:sz w:val="16"/>
                <w:szCs w:val="16"/>
              </w:rPr>
              <w:t>High hazard</w:t>
            </w:r>
          </w:p>
        </w:tc>
      </w:tr>
    </w:tbl>
    <w:p w14:paraId="29F89E77" w14:textId="1102E7F0" w:rsidR="00086E6C" w:rsidRDefault="00086E6C" w:rsidP="00086E6C">
      <w:pPr>
        <w:pStyle w:val="CETheadingx"/>
        <w:rPr>
          <w:iCs/>
          <w:lang w:val="en-GB"/>
        </w:rPr>
      </w:pPr>
      <w:r>
        <w:rPr>
          <w:iCs/>
          <w:lang w:val="en-GB"/>
        </w:rPr>
        <w:t xml:space="preserve">3.3 </w:t>
      </w:r>
      <w:r w:rsidR="00AC290F" w:rsidRPr="00AC290F">
        <w:rPr>
          <w:iCs/>
          <w:lang w:val="en-GB"/>
        </w:rPr>
        <w:t>Vulnerability analysis</w:t>
      </w:r>
    </w:p>
    <w:p w14:paraId="63071D1F" w14:textId="4DADCE38" w:rsidR="004F558C" w:rsidRDefault="00AC290F" w:rsidP="00086E6C">
      <w:pPr>
        <w:pStyle w:val="CETBodytext"/>
        <w:rPr>
          <w:lang w:val="en-GB"/>
        </w:rPr>
      </w:pPr>
      <w:r>
        <w:rPr>
          <w:lang w:val="en-GB"/>
        </w:rPr>
        <w:t>Table 3</w:t>
      </w:r>
      <w:r w:rsidRPr="00AC290F">
        <w:rPr>
          <w:lang w:val="en-GB"/>
        </w:rPr>
        <w:t xml:space="preserve"> shows the vulnerability of the study zones. Zones Z1, Z2, Z4 and Z6 present a high vulnerability level with values of 61.69, 53.08, 64.57 and 68.26 %, respectively. Meanwhile, zones Z3 and Z5 present a medium vulnerability level with values of 33.88 and 42.03 %, respectively. These results show that the cliffs in Costa Verde present high and medium</w:t>
      </w:r>
      <w:r>
        <w:rPr>
          <w:lang w:val="en-GB"/>
        </w:rPr>
        <w:t xml:space="preserve"> vulnerability level</w:t>
      </w:r>
      <w:r w:rsidRPr="00AC290F">
        <w:rPr>
          <w:lang w:val="en-GB"/>
        </w:rPr>
        <w:t>. In the study conducted by Irham et al. (2021) in the coastline of the west coast of Aceh Besar - Indonesia pointed out that the area presents high vulnerability and very high vulnerability with values 23.18 and 20.60%, respectively. On the other hand, Tragaki et al. (2018) assess the physical and social vulnerability of the Peloponnese (Greece) to coastal hazards, obtaining as a result high and very high vulnerabilities.</w:t>
      </w:r>
    </w:p>
    <w:p w14:paraId="1492984F" w14:textId="6B6FB2A4" w:rsidR="00AC290F" w:rsidRDefault="00AC290F" w:rsidP="00AC290F">
      <w:pPr>
        <w:pStyle w:val="CETTabletitle"/>
        <w:rPr>
          <w:lang w:val="en-US"/>
        </w:rPr>
      </w:pPr>
      <w:r>
        <w:rPr>
          <w:lang w:val="en-US"/>
        </w:rPr>
        <w:t>Table 3</w:t>
      </w:r>
      <w:r w:rsidRPr="009D1AC8">
        <w:rPr>
          <w:lang w:val="en-US"/>
        </w:rPr>
        <w:t xml:space="preserve">: </w:t>
      </w:r>
      <w:r w:rsidRPr="00AC290F">
        <w:rPr>
          <w:lang w:val="en-US"/>
        </w:rPr>
        <w:t>Vulnerability by zone</w:t>
      </w:r>
    </w:p>
    <w:tbl>
      <w:tblPr>
        <w:tblW w:w="6538" w:type="dxa"/>
        <w:tblBorders>
          <w:top w:val="single" w:sz="4" w:space="0" w:color="538135"/>
          <w:left w:val="nil"/>
          <w:bottom w:val="single" w:sz="4" w:space="0" w:color="538135"/>
          <w:right w:val="nil"/>
          <w:insideH w:val="nil"/>
          <w:insideV w:val="nil"/>
        </w:tblBorders>
        <w:tblLayout w:type="fixed"/>
        <w:tblLook w:val="04A0" w:firstRow="1" w:lastRow="0" w:firstColumn="1" w:lastColumn="0" w:noHBand="0" w:noVBand="1"/>
      </w:tblPr>
      <w:tblGrid>
        <w:gridCol w:w="1984"/>
        <w:gridCol w:w="2642"/>
        <w:gridCol w:w="1912"/>
      </w:tblGrid>
      <w:tr w:rsidR="00AC290F" w14:paraId="2BD58F9C" w14:textId="77777777" w:rsidTr="00A139B1">
        <w:trPr>
          <w:trHeight w:val="383"/>
        </w:trPr>
        <w:tc>
          <w:tcPr>
            <w:tcW w:w="1984" w:type="dxa"/>
            <w:vMerge w:val="restart"/>
            <w:tcBorders>
              <w:top w:val="single" w:sz="12" w:space="0" w:color="538135"/>
              <w:left w:val="nil"/>
              <w:bottom w:val="single" w:sz="4" w:space="0" w:color="538135"/>
            </w:tcBorders>
            <w:shd w:val="clear" w:color="auto" w:fill="auto"/>
            <w:vAlign w:val="center"/>
          </w:tcPr>
          <w:p w14:paraId="3009B04A" w14:textId="70D68971"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Zone</w:t>
            </w:r>
          </w:p>
        </w:tc>
        <w:tc>
          <w:tcPr>
            <w:tcW w:w="4554" w:type="dxa"/>
            <w:gridSpan w:val="2"/>
            <w:tcBorders>
              <w:top w:val="single" w:sz="12" w:space="0" w:color="538135"/>
              <w:bottom w:val="single" w:sz="4" w:space="0" w:color="538135"/>
              <w:right w:val="nil"/>
            </w:tcBorders>
            <w:shd w:val="clear" w:color="auto" w:fill="auto"/>
            <w:vAlign w:val="center"/>
          </w:tcPr>
          <w:p w14:paraId="7EBCCB70" w14:textId="63FC0DC1"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Results</w:t>
            </w:r>
          </w:p>
        </w:tc>
      </w:tr>
      <w:tr w:rsidR="00AC290F" w:rsidRPr="00AC290F" w14:paraId="53244340" w14:textId="77777777" w:rsidTr="00A139B1">
        <w:trPr>
          <w:trHeight w:val="383"/>
        </w:trPr>
        <w:tc>
          <w:tcPr>
            <w:tcW w:w="1984" w:type="dxa"/>
            <w:vMerge/>
            <w:tcBorders>
              <w:top w:val="single" w:sz="4" w:space="0" w:color="538135"/>
              <w:left w:val="nil"/>
              <w:bottom w:val="single" w:sz="4" w:space="0" w:color="538135"/>
            </w:tcBorders>
            <w:shd w:val="clear" w:color="auto" w:fill="auto"/>
            <w:vAlign w:val="center"/>
          </w:tcPr>
          <w:p w14:paraId="3AF31A54" w14:textId="77777777" w:rsidR="00AC290F" w:rsidRDefault="00AC290F" w:rsidP="00AC290F">
            <w:pPr>
              <w:widowControl w:val="0"/>
              <w:pBdr>
                <w:top w:val="nil"/>
                <w:left w:val="nil"/>
                <w:bottom w:val="nil"/>
                <w:right w:val="nil"/>
                <w:between w:val="nil"/>
              </w:pBdr>
              <w:spacing w:line="276" w:lineRule="auto"/>
              <w:jc w:val="center"/>
              <w:rPr>
                <w:rFonts w:eastAsia="Arial" w:cs="Arial"/>
                <w:color w:val="000000"/>
                <w:sz w:val="16"/>
                <w:szCs w:val="16"/>
              </w:rPr>
            </w:pPr>
          </w:p>
        </w:tc>
        <w:tc>
          <w:tcPr>
            <w:tcW w:w="2642" w:type="dxa"/>
            <w:tcBorders>
              <w:top w:val="single" w:sz="4" w:space="0" w:color="538135"/>
              <w:bottom w:val="single" w:sz="4" w:space="0" w:color="538135"/>
            </w:tcBorders>
            <w:shd w:val="clear" w:color="auto" w:fill="auto"/>
            <w:vAlign w:val="center"/>
          </w:tcPr>
          <w:p w14:paraId="1B45ED5F" w14:textId="3AC7E60D" w:rsidR="00AC290F" w:rsidRPr="00AC290F" w:rsidRDefault="00AC290F" w:rsidP="00AC290F">
            <w:pPr>
              <w:spacing w:line="276" w:lineRule="auto"/>
              <w:jc w:val="center"/>
              <w:rPr>
                <w:rFonts w:eastAsia="Arial" w:cs="Arial"/>
                <w:color w:val="000000"/>
                <w:sz w:val="16"/>
                <w:szCs w:val="16"/>
              </w:rPr>
            </w:pPr>
            <w:r w:rsidRPr="00AC290F">
              <w:rPr>
                <w:rFonts w:eastAsia="Arial" w:cs="Arial"/>
                <w:color w:val="000000"/>
                <w:sz w:val="16"/>
                <w:szCs w:val="16"/>
              </w:rPr>
              <w:t>Vulnerability</w:t>
            </w:r>
          </w:p>
        </w:tc>
        <w:tc>
          <w:tcPr>
            <w:tcW w:w="1912" w:type="dxa"/>
            <w:tcBorders>
              <w:top w:val="single" w:sz="4" w:space="0" w:color="538135"/>
              <w:bottom w:val="single" w:sz="4" w:space="0" w:color="538135"/>
            </w:tcBorders>
            <w:shd w:val="clear" w:color="auto" w:fill="auto"/>
            <w:vAlign w:val="center"/>
          </w:tcPr>
          <w:p w14:paraId="64B01BB8" w14:textId="61CA4DFD" w:rsidR="00AC290F" w:rsidRPr="00AC290F" w:rsidRDefault="00AC290F" w:rsidP="00AC290F">
            <w:pPr>
              <w:spacing w:line="276" w:lineRule="auto"/>
              <w:jc w:val="center"/>
              <w:rPr>
                <w:rFonts w:eastAsia="Arial" w:cs="Arial"/>
                <w:color w:val="000000"/>
                <w:sz w:val="16"/>
                <w:szCs w:val="16"/>
              </w:rPr>
            </w:pPr>
            <w:r w:rsidRPr="00AC290F">
              <w:rPr>
                <w:rFonts w:eastAsia="Arial" w:cs="Arial"/>
                <w:color w:val="000000"/>
                <w:sz w:val="16"/>
                <w:szCs w:val="16"/>
              </w:rPr>
              <w:t>Classification</w:t>
            </w:r>
          </w:p>
        </w:tc>
      </w:tr>
      <w:tr w:rsidR="00AC290F" w:rsidRPr="00AC290F" w14:paraId="67C169D6" w14:textId="77777777" w:rsidTr="00A139B1">
        <w:trPr>
          <w:trHeight w:val="70"/>
        </w:trPr>
        <w:tc>
          <w:tcPr>
            <w:tcW w:w="1984" w:type="dxa"/>
            <w:shd w:val="clear" w:color="auto" w:fill="auto"/>
            <w:vAlign w:val="center"/>
          </w:tcPr>
          <w:p w14:paraId="3134CD2F" w14:textId="5A1A1ABB"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Zone 1</w:t>
            </w:r>
          </w:p>
        </w:tc>
        <w:tc>
          <w:tcPr>
            <w:tcW w:w="2642" w:type="dxa"/>
            <w:tcBorders>
              <w:top w:val="single" w:sz="4" w:space="0" w:color="538135"/>
            </w:tcBorders>
            <w:shd w:val="clear" w:color="auto" w:fill="auto"/>
            <w:vAlign w:val="center"/>
          </w:tcPr>
          <w:p w14:paraId="51B0633B" w14:textId="77777777"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61.69%</w:t>
            </w:r>
          </w:p>
        </w:tc>
        <w:tc>
          <w:tcPr>
            <w:tcW w:w="1912" w:type="dxa"/>
            <w:tcBorders>
              <w:top w:val="single" w:sz="4" w:space="0" w:color="538135"/>
            </w:tcBorders>
            <w:shd w:val="clear" w:color="auto" w:fill="auto"/>
            <w:vAlign w:val="center"/>
          </w:tcPr>
          <w:p w14:paraId="76DBC27F" w14:textId="03B9676B" w:rsidR="00AC290F" w:rsidRPr="00AC290F" w:rsidRDefault="00AC290F" w:rsidP="00AC290F">
            <w:pPr>
              <w:spacing w:line="276" w:lineRule="auto"/>
              <w:jc w:val="center"/>
              <w:rPr>
                <w:rFonts w:eastAsia="Arial" w:cs="Arial"/>
                <w:color w:val="000000"/>
                <w:sz w:val="16"/>
                <w:szCs w:val="16"/>
              </w:rPr>
            </w:pPr>
            <w:r w:rsidRPr="00AC290F">
              <w:rPr>
                <w:sz w:val="16"/>
                <w:szCs w:val="16"/>
              </w:rPr>
              <w:t>High vulnerability</w:t>
            </w:r>
          </w:p>
        </w:tc>
      </w:tr>
      <w:tr w:rsidR="00AC290F" w14:paraId="57ADB611" w14:textId="77777777" w:rsidTr="00A139B1">
        <w:trPr>
          <w:trHeight w:val="123"/>
        </w:trPr>
        <w:tc>
          <w:tcPr>
            <w:tcW w:w="1984" w:type="dxa"/>
            <w:shd w:val="clear" w:color="auto" w:fill="auto"/>
            <w:vAlign w:val="center"/>
          </w:tcPr>
          <w:p w14:paraId="02061F92" w14:textId="74835B83"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Zone 2</w:t>
            </w:r>
          </w:p>
        </w:tc>
        <w:tc>
          <w:tcPr>
            <w:tcW w:w="2642" w:type="dxa"/>
            <w:shd w:val="clear" w:color="auto" w:fill="auto"/>
            <w:vAlign w:val="center"/>
          </w:tcPr>
          <w:p w14:paraId="3FF5DBF0" w14:textId="77777777"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53.08%</w:t>
            </w:r>
          </w:p>
        </w:tc>
        <w:tc>
          <w:tcPr>
            <w:tcW w:w="1912" w:type="dxa"/>
            <w:shd w:val="clear" w:color="auto" w:fill="auto"/>
            <w:vAlign w:val="center"/>
          </w:tcPr>
          <w:p w14:paraId="56034CFF" w14:textId="7E84D78B" w:rsidR="00AC290F" w:rsidRDefault="00AC290F" w:rsidP="00AC290F">
            <w:pPr>
              <w:spacing w:line="276" w:lineRule="auto"/>
              <w:jc w:val="center"/>
              <w:rPr>
                <w:rFonts w:eastAsia="Arial" w:cs="Arial"/>
                <w:color w:val="000000"/>
                <w:sz w:val="16"/>
                <w:szCs w:val="16"/>
              </w:rPr>
            </w:pPr>
            <w:r w:rsidRPr="00AC290F">
              <w:rPr>
                <w:sz w:val="16"/>
                <w:szCs w:val="16"/>
              </w:rPr>
              <w:t>High vulnerability</w:t>
            </w:r>
          </w:p>
        </w:tc>
      </w:tr>
      <w:tr w:rsidR="00AC290F" w14:paraId="222EE388" w14:textId="77777777" w:rsidTr="00A139B1">
        <w:trPr>
          <w:trHeight w:val="82"/>
        </w:trPr>
        <w:tc>
          <w:tcPr>
            <w:tcW w:w="1984" w:type="dxa"/>
            <w:shd w:val="clear" w:color="auto" w:fill="auto"/>
            <w:vAlign w:val="center"/>
          </w:tcPr>
          <w:p w14:paraId="3E2E8570" w14:textId="01E88B02"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Zone 3</w:t>
            </w:r>
          </w:p>
        </w:tc>
        <w:tc>
          <w:tcPr>
            <w:tcW w:w="2642" w:type="dxa"/>
            <w:shd w:val="clear" w:color="auto" w:fill="auto"/>
            <w:vAlign w:val="center"/>
          </w:tcPr>
          <w:p w14:paraId="19C1FCAC" w14:textId="77777777"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33.88%</w:t>
            </w:r>
          </w:p>
        </w:tc>
        <w:tc>
          <w:tcPr>
            <w:tcW w:w="1912" w:type="dxa"/>
            <w:shd w:val="clear" w:color="auto" w:fill="auto"/>
            <w:vAlign w:val="center"/>
          </w:tcPr>
          <w:p w14:paraId="420703F0" w14:textId="7FB2C3C9" w:rsidR="00AC290F" w:rsidRDefault="00AC290F" w:rsidP="00AC290F">
            <w:pPr>
              <w:spacing w:line="276" w:lineRule="auto"/>
              <w:jc w:val="center"/>
              <w:rPr>
                <w:rFonts w:eastAsia="Arial" w:cs="Arial"/>
                <w:color w:val="000000"/>
                <w:sz w:val="16"/>
                <w:szCs w:val="16"/>
              </w:rPr>
            </w:pPr>
            <w:r>
              <w:rPr>
                <w:sz w:val="16"/>
                <w:szCs w:val="16"/>
              </w:rPr>
              <w:t>Medium</w:t>
            </w:r>
            <w:r w:rsidRPr="00AC290F">
              <w:rPr>
                <w:sz w:val="16"/>
                <w:szCs w:val="16"/>
              </w:rPr>
              <w:t xml:space="preserve"> vulnerability</w:t>
            </w:r>
          </w:p>
        </w:tc>
      </w:tr>
      <w:tr w:rsidR="00AC290F" w14:paraId="06AAF326" w14:textId="77777777" w:rsidTr="00A139B1">
        <w:trPr>
          <w:trHeight w:val="114"/>
        </w:trPr>
        <w:tc>
          <w:tcPr>
            <w:tcW w:w="1984" w:type="dxa"/>
            <w:shd w:val="clear" w:color="auto" w:fill="auto"/>
            <w:vAlign w:val="center"/>
          </w:tcPr>
          <w:p w14:paraId="7BDBADF9" w14:textId="6EA6D191"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Zone 4</w:t>
            </w:r>
          </w:p>
        </w:tc>
        <w:tc>
          <w:tcPr>
            <w:tcW w:w="2642" w:type="dxa"/>
            <w:shd w:val="clear" w:color="auto" w:fill="auto"/>
            <w:vAlign w:val="center"/>
          </w:tcPr>
          <w:p w14:paraId="35AE13EE" w14:textId="77777777"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42.03%</w:t>
            </w:r>
          </w:p>
        </w:tc>
        <w:tc>
          <w:tcPr>
            <w:tcW w:w="1912" w:type="dxa"/>
            <w:shd w:val="clear" w:color="auto" w:fill="auto"/>
            <w:vAlign w:val="center"/>
          </w:tcPr>
          <w:p w14:paraId="723F6FA5" w14:textId="26D5FFDA" w:rsidR="00AC290F" w:rsidRDefault="00AC290F" w:rsidP="00AC290F">
            <w:pPr>
              <w:spacing w:line="276" w:lineRule="auto"/>
              <w:jc w:val="center"/>
              <w:rPr>
                <w:rFonts w:eastAsia="Arial" w:cs="Arial"/>
                <w:color w:val="000000"/>
                <w:sz w:val="16"/>
                <w:szCs w:val="16"/>
              </w:rPr>
            </w:pPr>
            <w:r>
              <w:rPr>
                <w:sz w:val="16"/>
                <w:szCs w:val="16"/>
              </w:rPr>
              <w:t>Medium</w:t>
            </w:r>
            <w:r w:rsidRPr="00AC290F">
              <w:rPr>
                <w:sz w:val="16"/>
                <w:szCs w:val="16"/>
              </w:rPr>
              <w:t xml:space="preserve"> vulnerability</w:t>
            </w:r>
          </w:p>
        </w:tc>
      </w:tr>
      <w:tr w:rsidR="00AC290F" w14:paraId="175FFFDE" w14:textId="77777777" w:rsidTr="00A139B1">
        <w:trPr>
          <w:trHeight w:val="82"/>
        </w:trPr>
        <w:tc>
          <w:tcPr>
            <w:tcW w:w="1984" w:type="dxa"/>
            <w:shd w:val="clear" w:color="auto" w:fill="auto"/>
            <w:vAlign w:val="center"/>
          </w:tcPr>
          <w:p w14:paraId="673EA2FD" w14:textId="7C69D8BF"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Zone 5</w:t>
            </w:r>
          </w:p>
        </w:tc>
        <w:tc>
          <w:tcPr>
            <w:tcW w:w="2642" w:type="dxa"/>
            <w:shd w:val="clear" w:color="auto" w:fill="auto"/>
            <w:vAlign w:val="center"/>
          </w:tcPr>
          <w:p w14:paraId="68FFA7DD" w14:textId="77777777"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64.57%</w:t>
            </w:r>
          </w:p>
        </w:tc>
        <w:tc>
          <w:tcPr>
            <w:tcW w:w="1912" w:type="dxa"/>
            <w:shd w:val="clear" w:color="auto" w:fill="auto"/>
            <w:vAlign w:val="center"/>
          </w:tcPr>
          <w:p w14:paraId="32D7AEF7" w14:textId="4E675265" w:rsidR="00AC290F" w:rsidRDefault="00AC290F" w:rsidP="00AC290F">
            <w:pPr>
              <w:spacing w:line="276" w:lineRule="auto"/>
              <w:jc w:val="center"/>
              <w:rPr>
                <w:rFonts w:eastAsia="Arial" w:cs="Arial"/>
                <w:color w:val="000000"/>
                <w:sz w:val="16"/>
                <w:szCs w:val="16"/>
              </w:rPr>
            </w:pPr>
            <w:r w:rsidRPr="00AC290F">
              <w:rPr>
                <w:sz w:val="16"/>
                <w:szCs w:val="16"/>
              </w:rPr>
              <w:t>High vulnerability</w:t>
            </w:r>
          </w:p>
        </w:tc>
      </w:tr>
      <w:tr w:rsidR="00AC290F" w14:paraId="79A6C4D8" w14:textId="77777777" w:rsidTr="00A139B1">
        <w:trPr>
          <w:trHeight w:val="121"/>
        </w:trPr>
        <w:tc>
          <w:tcPr>
            <w:tcW w:w="1984" w:type="dxa"/>
            <w:tcBorders>
              <w:bottom w:val="single" w:sz="12" w:space="0" w:color="538135"/>
            </w:tcBorders>
            <w:shd w:val="clear" w:color="auto" w:fill="auto"/>
            <w:vAlign w:val="center"/>
          </w:tcPr>
          <w:p w14:paraId="58E79BB9" w14:textId="38FA45B7"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Zone 6</w:t>
            </w:r>
          </w:p>
        </w:tc>
        <w:tc>
          <w:tcPr>
            <w:tcW w:w="2642" w:type="dxa"/>
            <w:tcBorders>
              <w:bottom w:val="single" w:sz="12" w:space="0" w:color="538135"/>
            </w:tcBorders>
            <w:shd w:val="clear" w:color="auto" w:fill="auto"/>
            <w:vAlign w:val="center"/>
          </w:tcPr>
          <w:p w14:paraId="484DEB43" w14:textId="77777777" w:rsidR="00AC290F" w:rsidRDefault="00AC290F" w:rsidP="00AC290F">
            <w:pPr>
              <w:spacing w:line="276" w:lineRule="auto"/>
              <w:jc w:val="center"/>
              <w:rPr>
                <w:rFonts w:eastAsia="Arial" w:cs="Arial"/>
                <w:color w:val="000000"/>
                <w:sz w:val="16"/>
                <w:szCs w:val="16"/>
              </w:rPr>
            </w:pPr>
            <w:r>
              <w:rPr>
                <w:rFonts w:eastAsia="Arial" w:cs="Arial"/>
                <w:color w:val="000000"/>
                <w:sz w:val="16"/>
                <w:szCs w:val="16"/>
              </w:rPr>
              <w:t>68.26%</w:t>
            </w:r>
          </w:p>
        </w:tc>
        <w:tc>
          <w:tcPr>
            <w:tcW w:w="1912" w:type="dxa"/>
            <w:tcBorders>
              <w:bottom w:val="single" w:sz="12" w:space="0" w:color="538135"/>
            </w:tcBorders>
            <w:shd w:val="clear" w:color="auto" w:fill="auto"/>
            <w:vAlign w:val="center"/>
          </w:tcPr>
          <w:p w14:paraId="7047481F" w14:textId="23B89A69" w:rsidR="00AC290F" w:rsidRDefault="00AC290F" w:rsidP="00AC290F">
            <w:pPr>
              <w:spacing w:line="276" w:lineRule="auto"/>
              <w:jc w:val="center"/>
              <w:rPr>
                <w:rFonts w:eastAsia="Arial" w:cs="Arial"/>
                <w:color w:val="000000"/>
                <w:sz w:val="16"/>
                <w:szCs w:val="16"/>
              </w:rPr>
            </w:pPr>
            <w:r w:rsidRPr="00AC290F">
              <w:rPr>
                <w:sz w:val="16"/>
                <w:szCs w:val="16"/>
              </w:rPr>
              <w:t>High vulnerability</w:t>
            </w:r>
          </w:p>
        </w:tc>
      </w:tr>
    </w:tbl>
    <w:p w14:paraId="1CB4380B" w14:textId="46F4C9C4" w:rsidR="00AC290F" w:rsidRDefault="00AC290F" w:rsidP="00AC290F">
      <w:pPr>
        <w:pStyle w:val="CETheadingx"/>
        <w:rPr>
          <w:iCs/>
          <w:lang w:val="en-GB"/>
        </w:rPr>
      </w:pPr>
      <w:r>
        <w:rPr>
          <w:iCs/>
          <w:lang w:val="en-GB"/>
        </w:rPr>
        <w:lastRenderedPageBreak/>
        <w:t xml:space="preserve">3.4 </w:t>
      </w:r>
      <w:r w:rsidRPr="00AC290F">
        <w:rPr>
          <w:iCs/>
          <w:lang w:val="en-GB"/>
        </w:rPr>
        <w:t>Risks assessment</w:t>
      </w:r>
    </w:p>
    <w:p w14:paraId="48D6C21B" w14:textId="01860262" w:rsidR="00AC290F" w:rsidRDefault="00AC290F" w:rsidP="00AC290F">
      <w:pPr>
        <w:pStyle w:val="CETBodytext"/>
        <w:rPr>
          <w:lang w:val="en-GB"/>
        </w:rPr>
      </w:pPr>
      <w:r w:rsidRPr="00AC290F">
        <w:rPr>
          <w:lang w:val="en-GB"/>
        </w:rPr>
        <w:t>Table 4 shows the risk assessment results by analytical criteria for each of the study zones. Zones Z1, Z2, Z5 and Z6 presented a medium risk level with values of 34, 29, 31 and 40 %, respectively. Meanwhile, zones Z3 and Z4 presented a low risk level with valu</w:t>
      </w:r>
      <w:r>
        <w:rPr>
          <w:lang w:val="en-GB"/>
        </w:rPr>
        <w:t>es of 14 and 22 %, respectively</w:t>
      </w:r>
      <w:r w:rsidRPr="00AC290F">
        <w:rPr>
          <w:lang w:val="en-GB"/>
        </w:rPr>
        <w:t>.</w:t>
      </w:r>
    </w:p>
    <w:p w14:paraId="71E163EA" w14:textId="71A40ED1" w:rsidR="00AC290F" w:rsidRDefault="00AC290F" w:rsidP="00AC290F">
      <w:pPr>
        <w:pStyle w:val="CETTabletitle"/>
        <w:rPr>
          <w:lang w:val="en-US"/>
        </w:rPr>
      </w:pPr>
      <w:r>
        <w:rPr>
          <w:lang w:val="en-US"/>
        </w:rPr>
        <w:t>Table 4</w:t>
      </w:r>
      <w:r w:rsidRPr="009D1AC8">
        <w:rPr>
          <w:lang w:val="en-US"/>
        </w:rPr>
        <w:t xml:space="preserve">: </w:t>
      </w:r>
      <w:r w:rsidR="00134095" w:rsidRPr="00134095">
        <w:rPr>
          <w:lang w:val="en-US"/>
        </w:rPr>
        <w:t>Risk by zone - analytical criteria</w:t>
      </w:r>
    </w:p>
    <w:tbl>
      <w:tblPr>
        <w:tblW w:w="6945" w:type="dxa"/>
        <w:tblBorders>
          <w:top w:val="nil"/>
          <w:left w:val="nil"/>
          <w:bottom w:val="nil"/>
          <w:right w:val="nil"/>
          <w:insideH w:val="nil"/>
          <w:insideV w:val="nil"/>
        </w:tblBorders>
        <w:tblLayout w:type="fixed"/>
        <w:tblLook w:val="04A0" w:firstRow="1" w:lastRow="0" w:firstColumn="1" w:lastColumn="0" w:noHBand="0" w:noVBand="1"/>
      </w:tblPr>
      <w:tblGrid>
        <w:gridCol w:w="972"/>
        <w:gridCol w:w="1148"/>
        <w:gridCol w:w="1701"/>
        <w:gridCol w:w="1276"/>
        <w:gridCol w:w="1848"/>
      </w:tblGrid>
      <w:tr w:rsidR="00134095" w14:paraId="765BF2D1" w14:textId="77777777" w:rsidTr="00FC34E1">
        <w:trPr>
          <w:trHeight w:val="310"/>
        </w:trPr>
        <w:tc>
          <w:tcPr>
            <w:tcW w:w="972" w:type="dxa"/>
            <w:vMerge w:val="restart"/>
            <w:tcBorders>
              <w:top w:val="single" w:sz="12" w:space="0" w:color="538135"/>
              <w:left w:val="nil"/>
              <w:bottom w:val="nil"/>
            </w:tcBorders>
            <w:shd w:val="clear" w:color="auto" w:fill="auto"/>
            <w:vAlign w:val="center"/>
          </w:tcPr>
          <w:p w14:paraId="7AC7E738" w14:textId="292A49DA" w:rsidR="00134095" w:rsidRDefault="00134095" w:rsidP="00134095">
            <w:pPr>
              <w:jc w:val="center"/>
              <w:rPr>
                <w:rFonts w:eastAsia="Arial" w:cs="Arial"/>
                <w:color w:val="000000"/>
                <w:sz w:val="16"/>
                <w:szCs w:val="16"/>
              </w:rPr>
            </w:pPr>
            <w:r>
              <w:rPr>
                <w:rFonts w:eastAsia="Arial" w:cs="Arial"/>
                <w:color w:val="000000"/>
                <w:sz w:val="16"/>
                <w:szCs w:val="16"/>
              </w:rPr>
              <w:t>Zone</w:t>
            </w:r>
          </w:p>
        </w:tc>
        <w:tc>
          <w:tcPr>
            <w:tcW w:w="4125" w:type="dxa"/>
            <w:gridSpan w:val="3"/>
            <w:tcBorders>
              <w:top w:val="single" w:sz="12" w:space="0" w:color="538135"/>
              <w:bottom w:val="single" w:sz="4" w:space="0" w:color="538135"/>
            </w:tcBorders>
            <w:shd w:val="clear" w:color="auto" w:fill="auto"/>
            <w:vAlign w:val="center"/>
          </w:tcPr>
          <w:p w14:paraId="61FE4F65" w14:textId="06FB3693" w:rsidR="00134095" w:rsidRDefault="00134095" w:rsidP="00134095">
            <w:pPr>
              <w:jc w:val="center"/>
              <w:rPr>
                <w:rFonts w:eastAsia="Arial" w:cs="Arial"/>
                <w:color w:val="000000"/>
                <w:sz w:val="16"/>
                <w:szCs w:val="16"/>
              </w:rPr>
            </w:pPr>
            <w:r>
              <w:rPr>
                <w:rFonts w:eastAsia="Arial" w:cs="Arial"/>
                <w:color w:val="000000"/>
                <w:sz w:val="16"/>
                <w:szCs w:val="16"/>
              </w:rPr>
              <w:t>Results</w:t>
            </w:r>
          </w:p>
        </w:tc>
        <w:tc>
          <w:tcPr>
            <w:tcW w:w="1848" w:type="dxa"/>
            <w:vMerge w:val="restart"/>
            <w:tcBorders>
              <w:top w:val="single" w:sz="12" w:space="0" w:color="538135"/>
              <w:bottom w:val="nil"/>
              <w:right w:val="nil"/>
            </w:tcBorders>
            <w:shd w:val="clear" w:color="auto" w:fill="auto"/>
            <w:vAlign w:val="center"/>
          </w:tcPr>
          <w:p w14:paraId="7438BFDD" w14:textId="77777777" w:rsidR="00134095" w:rsidRDefault="00134095" w:rsidP="00134095">
            <w:pPr>
              <w:jc w:val="center"/>
              <w:rPr>
                <w:rFonts w:eastAsia="Arial" w:cs="Arial"/>
                <w:color w:val="000000"/>
                <w:sz w:val="16"/>
                <w:szCs w:val="16"/>
              </w:rPr>
            </w:pPr>
          </w:p>
          <w:p w14:paraId="402569E3" w14:textId="0312D09A" w:rsidR="00134095" w:rsidRDefault="00134095" w:rsidP="00134095">
            <w:pPr>
              <w:jc w:val="center"/>
              <w:rPr>
                <w:rFonts w:eastAsia="Arial" w:cs="Arial"/>
                <w:color w:val="000000"/>
                <w:sz w:val="16"/>
                <w:szCs w:val="16"/>
              </w:rPr>
            </w:pPr>
            <w:r>
              <w:rPr>
                <w:rFonts w:eastAsia="Arial" w:cs="Arial"/>
                <w:color w:val="000000"/>
                <w:sz w:val="16"/>
                <w:szCs w:val="16"/>
              </w:rPr>
              <w:t>Classification</w:t>
            </w:r>
          </w:p>
        </w:tc>
      </w:tr>
      <w:tr w:rsidR="00134095" w14:paraId="00FE1B68" w14:textId="77777777" w:rsidTr="00FC34E1">
        <w:trPr>
          <w:trHeight w:val="269"/>
        </w:trPr>
        <w:tc>
          <w:tcPr>
            <w:tcW w:w="972" w:type="dxa"/>
            <w:vMerge/>
            <w:tcBorders>
              <w:top w:val="single" w:sz="4" w:space="0" w:color="538135"/>
              <w:left w:val="nil"/>
              <w:bottom w:val="nil"/>
            </w:tcBorders>
            <w:shd w:val="clear" w:color="auto" w:fill="auto"/>
            <w:vAlign w:val="center"/>
          </w:tcPr>
          <w:p w14:paraId="407F3576" w14:textId="77777777" w:rsidR="00134095" w:rsidRDefault="00134095" w:rsidP="00134095">
            <w:pPr>
              <w:widowControl w:val="0"/>
              <w:pBdr>
                <w:top w:val="nil"/>
                <w:left w:val="nil"/>
                <w:bottom w:val="nil"/>
                <w:right w:val="nil"/>
                <w:between w:val="nil"/>
              </w:pBdr>
              <w:spacing w:line="276" w:lineRule="auto"/>
              <w:jc w:val="center"/>
              <w:rPr>
                <w:rFonts w:eastAsia="Arial" w:cs="Arial"/>
                <w:color w:val="000000"/>
                <w:sz w:val="16"/>
                <w:szCs w:val="16"/>
              </w:rPr>
            </w:pPr>
          </w:p>
        </w:tc>
        <w:tc>
          <w:tcPr>
            <w:tcW w:w="1148" w:type="dxa"/>
            <w:tcBorders>
              <w:top w:val="single" w:sz="4" w:space="0" w:color="538135"/>
              <w:bottom w:val="single" w:sz="4" w:space="0" w:color="538135"/>
            </w:tcBorders>
            <w:shd w:val="clear" w:color="auto" w:fill="auto"/>
            <w:vAlign w:val="center"/>
          </w:tcPr>
          <w:p w14:paraId="6B32BB51" w14:textId="3D30C2C4" w:rsidR="00134095" w:rsidRPr="00134095" w:rsidRDefault="00134095" w:rsidP="00134095">
            <w:pPr>
              <w:jc w:val="center"/>
              <w:rPr>
                <w:rFonts w:eastAsia="Arial" w:cs="Arial"/>
                <w:color w:val="000000"/>
                <w:sz w:val="16"/>
                <w:szCs w:val="16"/>
              </w:rPr>
            </w:pPr>
            <w:r w:rsidRPr="00134095">
              <w:rPr>
                <w:rFonts w:eastAsia="Arial" w:cs="Arial"/>
                <w:color w:val="000000"/>
                <w:sz w:val="16"/>
                <w:szCs w:val="16"/>
              </w:rPr>
              <w:t>Hazard</w:t>
            </w:r>
          </w:p>
        </w:tc>
        <w:tc>
          <w:tcPr>
            <w:tcW w:w="1701" w:type="dxa"/>
            <w:tcBorders>
              <w:top w:val="single" w:sz="4" w:space="0" w:color="538135"/>
              <w:bottom w:val="single" w:sz="4" w:space="0" w:color="538135"/>
            </w:tcBorders>
            <w:shd w:val="clear" w:color="auto" w:fill="auto"/>
            <w:vAlign w:val="center"/>
          </w:tcPr>
          <w:p w14:paraId="14490F42" w14:textId="4D0D4A52" w:rsidR="00134095" w:rsidRPr="00134095" w:rsidRDefault="00134095" w:rsidP="00134095">
            <w:pPr>
              <w:jc w:val="center"/>
              <w:rPr>
                <w:rFonts w:eastAsia="Arial" w:cs="Arial"/>
                <w:color w:val="000000"/>
                <w:sz w:val="16"/>
                <w:szCs w:val="16"/>
              </w:rPr>
            </w:pPr>
            <w:r w:rsidRPr="00134095">
              <w:rPr>
                <w:rFonts w:eastAsia="Arial" w:cs="Arial"/>
                <w:color w:val="000000"/>
                <w:sz w:val="16"/>
                <w:szCs w:val="16"/>
              </w:rPr>
              <w:t>Vulnerability</w:t>
            </w:r>
          </w:p>
        </w:tc>
        <w:tc>
          <w:tcPr>
            <w:tcW w:w="1276" w:type="dxa"/>
            <w:tcBorders>
              <w:top w:val="single" w:sz="4" w:space="0" w:color="538135"/>
              <w:bottom w:val="single" w:sz="4" w:space="0" w:color="538135"/>
            </w:tcBorders>
            <w:shd w:val="clear" w:color="auto" w:fill="auto"/>
            <w:vAlign w:val="center"/>
          </w:tcPr>
          <w:p w14:paraId="51DB2221" w14:textId="647D2D5C" w:rsidR="00134095" w:rsidRPr="00134095" w:rsidRDefault="00134095" w:rsidP="00134095">
            <w:pPr>
              <w:jc w:val="center"/>
              <w:rPr>
                <w:rFonts w:eastAsia="Arial" w:cs="Arial"/>
                <w:color w:val="000000"/>
                <w:sz w:val="16"/>
                <w:szCs w:val="16"/>
              </w:rPr>
            </w:pPr>
            <w:r w:rsidRPr="00134095">
              <w:rPr>
                <w:rFonts w:eastAsia="Arial" w:cs="Arial"/>
                <w:color w:val="000000"/>
                <w:sz w:val="16"/>
                <w:szCs w:val="16"/>
              </w:rPr>
              <w:t>Risk</w:t>
            </w:r>
          </w:p>
        </w:tc>
        <w:tc>
          <w:tcPr>
            <w:tcW w:w="1848" w:type="dxa"/>
            <w:vMerge/>
            <w:tcBorders>
              <w:top w:val="single" w:sz="4" w:space="0" w:color="538135"/>
              <w:bottom w:val="nil"/>
              <w:right w:val="nil"/>
            </w:tcBorders>
            <w:shd w:val="clear" w:color="auto" w:fill="auto"/>
            <w:vAlign w:val="center"/>
          </w:tcPr>
          <w:p w14:paraId="5EB92CF2" w14:textId="77777777" w:rsidR="00134095" w:rsidRDefault="00134095" w:rsidP="00134095">
            <w:pPr>
              <w:widowControl w:val="0"/>
              <w:pBdr>
                <w:top w:val="nil"/>
                <w:left w:val="nil"/>
                <w:bottom w:val="nil"/>
                <w:right w:val="nil"/>
                <w:between w:val="nil"/>
              </w:pBdr>
              <w:spacing w:line="276" w:lineRule="auto"/>
              <w:jc w:val="center"/>
              <w:rPr>
                <w:rFonts w:eastAsia="Arial" w:cs="Arial"/>
                <w:b/>
                <w:color w:val="000000"/>
                <w:sz w:val="16"/>
                <w:szCs w:val="16"/>
              </w:rPr>
            </w:pPr>
          </w:p>
        </w:tc>
      </w:tr>
      <w:tr w:rsidR="00134095" w14:paraId="34E4467F" w14:textId="77777777" w:rsidTr="00A139B1">
        <w:trPr>
          <w:trHeight w:val="195"/>
        </w:trPr>
        <w:tc>
          <w:tcPr>
            <w:tcW w:w="972" w:type="dxa"/>
            <w:shd w:val="clear" w:color="auto" w:fill="auto"/>
            <w:vAlign w:val="center"/>
          </w:tcPr>
          <w:p w14:paraId="2F6E0FF1" w14:textId="2D5011E1" w:rsidR="00134095" w:rsidRDefault="00134095" w:rsidP="00134095">
            <w:pPr>
              <w:jc w:val="center"/>
              <w:rPr>
                <w:rFonts w:eastAsia="Arial" w:cs="Arial"/>
                <w:color w:val="000000"/>
                <w:sz w:val="16"/>
                <w:szCs w:val="16"/>
              </w:rPr>
            </w:pPr>
            <w:r>
              <w:rPr>
                <w:rFonts w:eastAsia="Arial" w:cs="Arial"/>
                <w:color w:val="000000"/>
                <w:sz w:val="16"/>
                <w:szCs w:val="16"/>
              </w:rPr>
              <w:t>Zone 1</w:t>
            </w:r>
          </w:p>
        </w:tc>
        <w:tc>
          <w:tcPr>
            <w:tcW w:w="1148" w:type="dxa"/>
            <w:tcBorders>
              <w:top w:val="single" w:sz="4" w:space="0" w:color="538135"/>
            </w:tcBorders>
            <w:shd w:val="clear" w:color="auto" w:fill="auto"/>
            <w:vAlign w:val="center"/>
          </w:tcPr>
          <w:p w14:paraId="2C665C02" w14:textId="77777777" w:rsidR="00134095" w:rsidRDefault="00134095" w:rsidP="00134095">
            <w:pPr>
              <w:jc w:val="center"/>
              <w:rPr>
                <w:rFonts w:eastAsia="Arial" w:cs="Arial"/>
                <w:color w:val="000000"/>
                <w:sz w:val="16"/>
                <w:szCs w:val="16"/>
              </w:rPr>
            </w:pPr>
            <w:r>
              <w:rPr>
                <w:rFonts w:eastAsia="Arial" w:cs="Arial"/>
                <w:color w:val="000000"/>
                <w:sz w:val="16"/>
                <w:szCs w:val="16"/>
              </w:rPr>
              <w:t>54%</w:t>
            </w:r>
          </w:p>
        </w:tc>
        <w:tc>
          <w:tcPr>
            <w:tcW w:w="1701" w:type="dxa"/>
            <w:tcBorders>
              <w:top w:val="single" w:sz="4" w:space="0" w:color="538135"/>
            </w:tcBorders>
            <w:shd w:val="clear" w:color="auto" w:fill="auto"/>
            <w:vAlign w:val="center"/>
          </w:tcPr>
          <w:p w14:paraId="6DE47454" w14:textId="77777777" w:rsidR="00134095" w:rsidRDefault="00134095" w:rsidP="00134095">
            <w:pPr>
              <w:jc w:val="center"/>
              <w:rPr>
                <w:rFonts w:eastAsia="Arial" w:cs="Arial"/>
                <w:color w:val="000000"/>
                <w:sz w:val="16"/>
                <w:szCs w:val="16"/>
              </w:rPr>
            </w:pPr>
            <w:r>
              <w:rPr>
                <w:rFonts w:eastAsia="Arial" w:cs="Arial"/>
                <w:color w:val="000000"/>
                <w:sz w:val="16"/>
                <w:szCs w:val="16"/>
              </w:rPr>
              <w:t>62%</w:t>
            </w:r>
          </w:p>
        </w:tc>
        <w:tc>
          <w:tcPr>
            <w:tcW w:w="1276" w:type="dxa"/>
            <w:tcBorders>
              <w:top w:val="single" w:sz="4" w:space="0" w:color="538135"/>
            </w:tcBorders>
            <w:shd w:val="clear" w:color="auto" w:fill="auto"/>
            <w:vAlign w:val="center"/>
          </w:tcPr>
          <w:p w14:paraId="704FBA87" w14:textId="77777777" w:rsidR="00134095" w:rsidRDefault="00134095" w:rsidP="00134095">
            <w:pPr>
              <w:jc w:val="center"/>
              <w:rPr>
                <w:rFonts w:eastAsia="Arial" w:cs="Arial"/>
                <w:color w:val="000000"/>
                <w:sz w:val="16"/>
                <w:szCs w:val="16"/>
              </w:rPr>
            </w:pPr>
            <w:r>
              <w:rPr>
                <w:rFonts w:eastAsia="Arial" w:cs="Arial"/>
                <w:color w:val="000000"/>
                <w:sz w:val="16"/>
                <w:szCs w:val="16"/>
              </w:rPr>
              <w:t>34%</w:t>
            </w:r>
          </w:p>
        </w:tc>
        <w:tc>
          <w:tcPr>
            <w:tcW w:w="1848" w:type="dxa"/>
            <w:shd w:val="clear" w:color="auto" w:fill="auto"/>
            <w:vAlign w:val="center"/>
          </w:tcPr>
          <w:p w14:paraId="3DB3C6F4" w14:textId="7ECDC652" w:rsidR="00134095" w:rsidRDefault="00134095" w:rsidP="00134095">
            <w:pPr>
              <w:jc w:val="center"/>
              <w:rPr>
                <w:rFonts w:eastAsia="Arial" w:cs="Arial"/>
                <w:color w:val="000000"/>
                <w:sz w:val="16"/>
                <w:szCs w:val="16"/>
              </w:rPr>
            </w:pPr>
            <w:r>
              <w:rPr>
                <w:rFonts w:eastAsia="Arial" w:cs="Arial"/>
                <w:color w:val="000000"/>
                <w:sz w:val="16"/>
                <w:szCs w:val="16"/>
              </w:rPr>
              <w:t>Medium risk</w:t>
            </w:r>
          </w:p>
        </w:tc>
      </w:tr>
      <w:tr w:rsidR="00134095" w14:paraId="7676772F" w14:textId="77777777" w:rsidTr="00A139B1">
        <w:trPr>
          <w:trHeight w:val="294"/>
        </w:trPr>
        <w:tc>
          <w:tcPr>
            <w:tcW w:w="972" w:type="dxa"/>
            <w:shd w:val="clear" w:color="auto" w:fill="auto"/>
            <w:vAlign w:val="center"/>
          </w:tcPr>
          <w:p w14:paraId="34715765" w14:textId="3A9470CA" w:rsidR="00134095" w:rsidRDefault="00134095" w:rsidP="00134095">
            <w:pPr>
              <w:jc w:val="center"/>
              <w:rPr>
                <w:rFonts w:eastAsia="Arial" w:cs="Arial"/>
                <w:color w:val="000000"/>
                <w:sz w:val="16"/>
                <w:szCs w:val="16"/>
              </w:rPr>
            </w:pPr>
            <w:r>
              <w:rPr>
                <w:rFonts w:eastAsia="Arial" w:cs="Arial"/>
                <w:color w:val="000000"/>
                <w:sz w:val="16"/>
                <w:szCs w:val="16"/>
              </w:rPr>
              <w:t>Zone 2</w:t>
            </w:r>
          </w:p>
        </w:tc>
        <w:tc>
          <w:tcPr>
            <w:tcW w:w="1148" w:type="dxa"/>
            <w:shd w:val="clear" w:color="auto" w:fill="auto"/>
            <w:vAlign w:val="center"/>
          </w:tcPr>
          <w:p w14:paraId="7B328EB0" w14:textId="77777777" w:rsidR="00134095" w:rsidRDefault="00134095" w:rsidP="00134095">
            <w:pPr>
              <w:jc w:val="center"/>
              <w:rPr>
                <w:rFonts w:eastAsia="Arial" w:cs="Arial"/>
                <w:color w:val="000000"/>
                <w:sz w:val="16"/>
                <w:szCs w:val="16"/>
              </w:rPr>
            </w:pPr>
            <w:r>
              <w:rPr>
                <w:rFonts w:eastAsia="Arial" w:cs="Arial"/>
                <w:color w:val="000000"/>
                <w:sz w:val="16"/>
                <w:szCs w:val="16"/>
              </w:rPr>
              <w:t>54%</w:t>
            </w:r>
          </w:p>
        </w:tc>
        <w:tc>
          <w:tcPr>
            <w:tcW w:w="1701" w:type="dxa"/>
            <w:shd w:val="clear" w:color="auto" w:fill="auto"/>
            <w:vAlign w:val="center"/>
          </w:tcPr>
          <w:p w14:paraId="5D98DD56" w14:textId="77777777" w:rsidR="00134095" w:rsidRDefault="00134095" w:rsidP="00134095">
            <w:pPr>
              <w:jc w:val="center"/>
              <w:rPr>
                <w:rFonts w:eastAsia="Arial" w:cs="Arial"/>
                <w:color w:val="000000"/>
                <w:sz w:val="16"/>
                <w:szCs w:val="16"/>
              </w:rPr>
            </w:pPr>
            <w:r>
              <w:rPr>
                <w:rFonts w:eastAsia="Arial" w:cs="Arial"/>
                <w:color w:val="000000"/>
                <w:sz w:val="16"/>
                <w:szCs w:val="16"/>
              </w:rPr>
              <w:t>53%</w:t>
            </w:r>
          </w:p>
        </w:tc>
        <w:tc>
          <w:tcPr>
            <w:tcW w:w="1276" w:type="dxa"/>
            <w:shd w:val="clear" w:color="auto" w:fill="auto"/>
            <w:vAlign w:val="center"/>
          </w:tcPr>
          <w:p w14:paraId="4C701F8E" w14:textId="77777777" w:rsidR="00134095" w:rsidRDefault="00134095" w:rsidP="00134095">
            <w:pPr>
              <w:jc w:val="center"/>
              <w:rPr>
                <w:rFonts w:eastAsia="Arial" w:cs="Arial"/>
                <w:color w:val="000000"/>
                <w:sz w:val="16"/>
                <w:szCs w:val="16"/>
              </w:rPr>
            </w:pPr>
            <w:r>
              <w:rPr>
                <w:rFonts w:eastAsia="Arial" w:cs="Arial"/>
                <w:color w:val="000000"/>
                <w:sz w:val="16"/>
                <w:szCs w:val="16"/>
              </w:rPr>
              <w:t>29%</w:t>
            </w:r>
          </w:p>
        </w:tc>
        <w:tc>
          <w:tcPr>
            <w:tcW w:w="1848" w:type="dxa"/>
            <w:shd w:val="clear" w:color="auto" w:fill="auto"/>
            <w:vAlign w:val="center"/>
          </w:tcPr>
          <w:p w14:paraId="04777955" w14:textId="16978E66" w:rsidR="00134095" w:rsidRDefault="00134095" w:rsidP="00134095">
            <w:pPr>
              <w:jc w:val="center"/>
              <w:rPr>
                <w:rFonts w:eastAsia="Arial" w:cs="Arial"/>
                <w:color w:val="000000"/>
                <w:sz w:val="16"/>
                <w:szCs w:val="16"/>
              </w:rPr>
            </w:pPr>
            <w:r>
              <w:rPr>
                <w:rFonts w:eastAsia="Arial" w:cs="Arial"/>
                <w:color w:val="000000"/>
                <w:sz w:val="16"/>
                <w:szCs w:val="16"/>
              </w:rPr>
              <w:t>Medium risk</w:t>
            </w:r>
          </w:p>
        </w:tc>
      </w:tr>
      <w:tr w:rsidR="00134095" w14:paraId="094E82E6" w14:textId="77777777" w:rsidTr="00FC34E1">
        <w:trPr>
          <w:trHeight w:val="201"/>
        </w:trPr>
        <w:tc>
          <w:tcPr>
            <w:tcW w:w="972" w:type="dxa"/>
            <w:shd w:val="clear" w:color="auto" w:fill="auto"/>
            <w:vAlign w:val="center"/>
          </w:tcPr>
          <w:p w14:paraId="39C746F4" w14:textId="3FE4BD41" w:rsidR="00134095" w:rsidRDefault="00134095" w:rsidP="00134095">
            <w:pPr>
              <w:jc w:val="center"/>
              <w:rPr>
                <w:rFonts w:eastAsia="Arial" w:cs="Arial"/>
                <w:color w:val="000000"/>
                <w:sz w:val="16"/>
                <w:szCs w:val="16"/>
              </w:rPr>
            </w:pPr>
            <w:r>
              <w:rPr>
                <w:rFonts w:eastAsia="Arial" w:cs="Arial"/>
                <w:color w:val="000000"/>
                <w:sz w:val="16"/>
                <w:szCs w:val="16"/>
              </w:rPr>
              <w:t>Zone 3</w:t>
            </w:r>
          </w:p>
        </w:tc>
        <w:tc>
          <w:tcPr>
            <w:tcW w:w="1148" w:type="dxa"/>
            <w:shd w:val="clear" w:color="auto" w:fill="auto"/>
            <w:vAlign w:val="center"/>
          </w:tcPr>
          <w:p w14:paraId="2CF9C24D" w14:textId="77777777" w:rsidR="00134095" w:rsidRDefault="00134095" w:rsidP="00134095">
            <w:pPr>
              <w:jc w:val="center"/>
              <w:rPr>
                <w:rFonts w:eastAsia="Arial" w:cs="Arial"/>
                <w:color w:val="000000"/>
                <w:sz w:val="16"/>
                <w:szCs w:val="16"/>
              </w:rPr>
            </w:pPr>
            <w:r>
              <w:rPr>
                <w:rFonts w:eastAsia="Arial" w:cs="Arial"/>
                <w:color w:val="000000"/>
                <w:sz w:val="16"/>
                <w:szCs w:val="16"/>
              </w:rPr>
              <w:t>40%</w:t>
            </w:r>
          </w:p>
        </w:tc>
        <w:tc>
          <w:tcPr>
            <w:tcW w:w="1701" w:type="dxa"/>
            <w:shd w:val="clear" w:color="auto" w:fill="auto"/>
            <w:vAlign w:val="center"/>
          </w:tcPr>
          <w:p w14:paraId="049FDEA4" w14:textId="77777777" w:rsidR="00134095" w:rsidRDefault="00134095" w:rsidP="00134095">
            <w:pPr>
              <w:jc w:val="center"/>
              <w:rPr>
                <w:rFonts w:eastAsia="Arial" w:cs="Arial"/>
                <w:color w:val="000000"/>
                <w:sz w:val="16"/>
                <w:szCs w:val="16"/>
              </w:rPr>
            </w:pPr>
            <w:r>
              <w:rPr>
                <w:rFonts w:eastAsia="Arial" w:cs="Arial"/>
                <w:color w:val="000000"/>
                <w:sz w:val="16"/>
                <w:szCs w:val="16"/>
              </w:rPr>
              <w:t>34%</w:t>
            </w:r>
          </w:p>
        </w:tc>
        <w:tc>
          <w:tcPr>
            <w:tcW w:w="1276" w:type="dxa"/>
            <w:shd w:val="clear" w:color="auto" w:fill="auto"/>
            <w:vAlign w:val="center"/>
          </w:tcPr>
          <w:p w14:paraId="042CE4D1" w14:textId="77777777" w:rsidR="00134095" w:rsidRDefault="00134095" w:rsidP="00134095">
            <w:pPr>
              <w:jc w:val="center"/>
              <w:rPr>
                <w:rFonts w:eastAsia="Arial" w:cs="Arial"/>
                <w:color w:val="000000"/>
                <w:sz w:val="16"/>
                <w:szCs w:val="16"/>
              </w:rPr>
            </w:pPr>
            <w:r>
              <w:rPr>
                <w:rFonts w:eastAsia="Arial" w:cs="Arial"/>
                <w:color w:val="000000"/>
                <w:sz w:val="16"/>
                <w:szCs w:val="16"/>
              </w:rPr>
              <w:t>14%</w:t>
            </w:r>
          </w:p>
        </w:tc>
        <w:tc>
          <w:tcPr>
            <w:tcW w:w="1848" w:type="dxa"/>
            <w:shd w:val="clear" w:color="auto" w:fill="auto"/>
            <w:vAlign w:val="center"/>
          </w:tcPr>
          <w:p w14:paraId="4952D1FC" w14:textId="03CDEC74" w:rsidR="00134095" w:rsidRDefault="00134095" w:rsidP="00134095">
            <w:pPr>
              <w:jc w:val="center"/>
              <w:rPr>
                <w:rFonts w:eastAsia="Arial" w:cs="Arial"/>
                <w:color w:val="000000"/>
                <w:sz w:val="16"/>
                <w:szCs w:val="16"/>
              </w:rPr>
            </w:pPr>
            <w:r>
              <w:rPr>
                <w:rFonts w:eastAsia="Arial" w:cs="Arial"/>
                <w:color w:val="000000"/>
                <w:sz w:val="16"/>
                <w:szCs w:val="16"/>
              </w:rPr>
              <w:t>Low risk</w:t>
            </w:r>
          </w:p>
        </w:tc>
      </w:tr>
      <w:tr w:rsidR="00134095" w14:paraId="1A42EC79" w14:textId="77777777" w:rsidTr="00A139B1">
        <w:trPr>
          <w:trHeight w:val="216"/>
        </w:trPr>
        <w:tc>
          <w:tcPr>
            <w:tcW w:w="972" w:type="dxa"/>
            <w:shd w:val="clear" w:color="auto" w:fill="auto"/>
            <w:vAlign w:val="center"/>
          </w:tcPr>
          <w:p w14:paraId="24005692" w14:textId="17506476" w:rsidR="00134095" w:rsidRDefault="00134095" w:rsidP="00134095">
            <w:pPr>
              <w:jc w:val="center"/>
              <w:rPr>
                <w:rFonts w:eastAsia="Arial" w:cs="Arial"/>
                <w:color w:val="000000"/>
                <w:sz w:val="16"/>
                <w:szCs w:val="16"/>
              </w:rPr>
            </w:pPr>
            <w:r>
              <w:rPr>
                <w:rFonts w:eastAsia="Arial" w:cs="Arial"/>
                <w:color w:val="000000"/>
                <w:sz w:val="16"/>
                <w:szCs w:val="16"/>
              </w:rPr>
              <w:t>Zone 4</w:t>
            </w:r>
          </w:p>
        </w:tc>
        <w:tc>
          <w:tcPr>
            <w:tcW w:w="1148" w:type="dxa"/>
            <w:shd w:val="clear" w:color="auto" w:fill="auto"/>
            <w:vAlign w:val="center"/>
          </w:tcPr>
          <w:p w14:paraId="3C05EE8A" w14:textId="77777777" w:rsidR="00134095" w:rsidRDefault="00134095" w:rsidP="00134095">
            <w:pPr>
              <w:jc w:val="center"/>
              <w:rPr>
                <w:rFonts w:eastAsia="Arial" w:cs="Arial"/>
                <w:color w:val="000000"/>
                <w:sz w:val="16"/>
                <w:szCs w:val="16"/>
              </w:rPr>
            </w:pPr>
            <w:r>
              <w:rPr>
                <w:rFonts w:eastAsia="Arial" w:cs="Arial"/>
                <w:color w:val="000000"/>
                <w:sz w:val="16"/>
                <w:szCs w:val="16"/>
              </w:rPr>
              <w:t>52%</w:t>
            </w:r>
          </w:p>
        </w:tc>
        <w:tc>
          <w:tcPr>
            <w:tcW w:w="1701" w:type="dxa"/>
            <w:shd w:val="clear" w:color="auto" w:fill="auto"/>
            <w:vAlign w:val="center"/>
          </w:tcPr>
          <w:p w14:paraId="4A9CF342" w14:textId="77777777" w:rsidR="00134095" w:rsidRDefault="00134095" w:rsidP="00134095">
            <w:pPr>
              <w:jc w:val="center"/>
              <w:rPr>
                <w:rFonts w:eastAsia="Arial" w:cs="Arial"/>
                <w:color w:val="000000"/>
                <w:sz w:val="16"/>
                <w:szCs w:val="16"/>
              </w:rPr>
            </w:pPr>
            <w:r>
              <w:rPr>
                <w:rFonts w:eastAsia="Arial" w:cs="Arial"/>
                <w:color w:val="000000"/>
                <w:sz w:val="16"/>
                <w:szCs w:val="16"/>
              </w:rPr>
              <w:t>42%</w:t>
            </w:r>
          </w:p>
        </w:tc>
        <w:tc>
          <w:tcPr>
            <w:tcW w:w="1276" w:type="dxa"/>
            <w:shd w:val="clear" w:color="auto" w:fill="auto"/>
            <w:vAlign w:val="center"/>
          </w:tcPr>
          <w:p w14:paraId="022CFDA0" w14:textId="77777777" w:rsidR="00134095" w:rsidRDefault="00134095" w:rsidP="00134095">
            <w:pPr>
              <w:jc w:val="center"/>
              <w:rPr>
                <w:rFonts w:eastAsia="Arial" w:cs="Arial"/>
                <w:color w:val="000000"/>
                <w:sz w:val="16"/>
                <w:szCs w:val="16"/>
              </w:rPr>
            </w:pPr>
            <w:r>
              <w:rPr>
                <w:rFonts w:eastAsia="Arial" w:cs="Arial"/>
                <w:color w:val="000000"/>
                <w:sz w:val="16"/>
                <w:szCs w:val="16"/>
              </w:rPr>
              <w:t>22%</w:t>
            </w:r>
          </w:p>
        </w:tc>
        <w:tc>
          <w:tcPr>
            <w:tcW w:w="1848" w:type="dxa"/>
            <w:shd w:val="clear" w:color="auto" w:fill="auto"/>
            <w:vAlign w:val="center"/>
          </w:tcPr>
          <w:p w14:paraId="130AA404" w14:textId="4784F6C4" w:rsidR="00134095" w:rsidRDefault="00134095" w:rsidP="00134095">
            <w:pPr>
              <w:jc w:val="center"/>
              <w:rPr>
                <w:rFonts w:eastAsia="Arial" w:cs="Arial"/>
                <w:color w:val="000000"/>
                <w:sz w:val="16"/>
                <w:szCs w:val="16"/>
              </w:rPr>
            </w:pPr>
            <w:r>
              <w:rPr>
                <w:rFonts w:eastAsia="Arial" w:cs="Arial"/>
                <w:color w:val="000000"/>
                <w:sz w:val="16"/>
                <w:szCs w:val="16"/>
              </w:rPr>
              <w:t>Low risk</w:t>
            </w:r>
          </w:p>
        </w:tc>
      </w:tr>
      <w:tr w:rsidR="00134095" w14:paraId="73E0338C" w14:textId="77777777" w:rsidTr="00A139B1">
        <w:trPr>
          <w:trHeight w:val="134"/>
        </w:trPr>
        <w:tc>
          <w:tcPr>
            <w:tcW w:w="972" w:type="dxa"/>
            <w:shd w:val="clear" w:color="auto" w:fill="auto"/>
            <w:vAlign w:val="center"/>
          </w:tcPr>
          <w:p w14:paraId="14769F39" w14:textId="4DCAE580" w:rsidR="00134095" w:rsidRDefault="00134095" w:rsidP="00134095">
            <w:pPr>
              <w:jc w:val="center"/>
              <w:rPr>
                <w:rFonts w:eastAsia="Arial" w:cs="Arial"/>
                <w:color w:val="000000"/>
                <w:sz w:val="16"/>
                <w:szCs w:val="16"/>
              </w:rPr>
            </w:pPr>
            <w:r>
              <w:rPr>
                <w:rFonts w:eastAsia="Arial" w:cs="Arial"/>
                <w:color w:val="000000"/>
                <w:sz w:val="16"/>
                <w:szCs w:val="16"/>
              </w:rPr>
              <w:t>Zone 5</w:t>
            </w:r>
          </w:p>
        </w:tc>
        <w:tc>
          <w:tcPr>
            <w:tcW w:w="1148" w:type="dxa"/>
            <w:shd w:val="clear" w:color="auto" w:fill="auto"/>
            <w:vAlign w:val="center"/>
          </w:tcPr>
          <w:p w14:paraId="25C70934" w14:textId="77777777" w:rsidR="00134095" w:rsidRDefault="00134095" w:rsidP="00134095">
            <w:pPr>
              <w:jc w:val="center"/>
              <w:rPr>
                <w:rFonts w:eastAsia="Arial" w:cs="Arial"/>
                <w:color w:val="000000"/>
                <w:sz w:val="16"/>
                <w:szCs w:val="16"/>
              </w:rPr>
            </w:pPr>
            <w:r>
              <w:rPr>
                <w:rFonts w:eastAsia="Arial" w:cs="Arial"/>
                <w:color w:val="000000"/>
                <w:sz w:val="16"/>
                <w:szCs w:val="16"/>
              </w:rPr>
              <w:t>49%</w:t>
            </w:r>
          </w:p>
        </w:tc>
        <w:tc>
          <w:tcPr>
            <w:tcW w:w="1701" w:type="dxa"/>
            <w:shd w:val="clear" w:color="auto" w:fill="auto"/>
            <w:vAlign w:val="center"/>
          </w:tcPr>
          <w:p w14:paraId="5FB8CBE8" w14:textId="77777777" w:rsidR="00134095" w:rsidRDefault="00134095" w:rsidP="00134095">
            <w:pPr>
              <w:jc w:val="center"/>
              <w:rPr>
                <w:rFonts w:eastAsia="Arial" w:cs="Arial"/>
                <w:color w:val="000000"/>
                <w:sz w:val="16"/>
                <w:szCs w:val="16"/>
              </w:rPr>
            </w:pPr>
            <w:r>
              <w:rPr>
                <w:rFonts w:eastAsia="Arial" w:cs="Arial"/>
                <w:color w:val="000000"/>
                <w:sz w:val="16"/>
                <w:szCs w:val="16"/>
              </w:rPr>
              <w:t>65%</w:t>
            </w:r>
          </w:p>
        </w:tc>
        <w:tc>
          <w:tcPr>
            <w:tcW w:w="1276" w:type="dxa"/>
            <w:shd w:val="clear" w:color="auto" w:fill="auto"/>
            <w:vAlign w:val="center"/>
          </w:tcPr>
          <w:p w14:paraId="4F737014" w14:textId="77777777" w:rsidR="00134095" w:rsidRDefault="00134095" w:rsidP="00134095">
            <w:pPr>
              <w:jc w:val="center"/>
              <w:rPr>
                <w:rFonts w:eastAsia="Arial" w:cs="Arial"/>
                <w:color w:val="000000"/>
                <w:sz w:val="16"/>
                <w:szCs w:val="16"/>
              </w:rPr>
            </w:pPr>
            <w:r>
              <w:rPr>
                <w:rFonts w:eastAsia="Arial" w:cs="Arial"/>
                <w:color w:val="000000"/>
                <w:sz w:val="16"/>
                <w:szCs w:val="16"/>
              </w:rPr>
              <w:t>31%</w:t>
            </w:r>
          </w:p>
        </w:tc>
        <w:tc>
          <w:tcPr>
            <w:tcW w:w="1848" w:type="dxa"/>
            <w:shd w:val="clear" w:color="auto" w:fill="auto"/>
            <w:vAlign w:val="center"/>
          </w:tcPr>
          <w:p w14:paraId="1A9F7F37" w14:textId="2FA7B026" w:rsidR="00134095" w:rsidRDefault="00134095" w:rsidP="00134095">
            <w:pPr>
              <w:jc w:val="center"/>
              <w:rPr>
                <w:rFonts w:eastAsia="Arial" w:cs="Arial"/>
                <w:color w:val="000000"/>
                <w:sz w:val="16"/>
                <w:szCs w:val="16"/>
              </w:rPr>
            </w:pPr>
            <w:r>
              <w:rPr>
                <w:rFonts w:eastAsia="Arial" w:cs="Arial"/>
                <w:color w:val="000000"/>
                <w:sz w:val="16"/>
                <w:szCs w:val="16"/>
              </w:rPr>
              <w:t>Medium risk</w:t>
            </w:r>
          </w:p>
        </w:tc>
      </w:tr>
      <w:tr w:rsidR="00134095" w14:paraId="7AADBF57" w14:textId="77777777" w:rsidTr="00A139B1">
        <w:trPr>
          <w:trHeight w:val="221"/>
        </w:trPr>
        <w:tc>
          <w:tcPr>
            <w:tcW w:w="972" w:type="dxa"/>
            <w:tcBorders>
              <w:bottom w:val="single" w:sz="12" w:space="0" w:color="538135"/>
            </w:tcBorders>
            <w:shd w:val="clear" w:color="auto" w:fill="auto"/>
            <w:vAlign w:val="center"/>
          </w:tcPr>
          <w:p w14:paraId="7B268881" w14:textId="4D78B837" w:rsidR="00134095" w:rsidRDefault="00134095" w:rsidP="00134095">
            <w:pPr>
              <w:jc w:val="center"/>
              <w:rPr>
                <w:rFonts w:eastAsia="Arial" w:cs="Arial"/>
                <w:color w:val="000000"/>
                <w:sz w:val="16"/>
                <w:szCs w:val="16"/>
              </w:rPr>
            </w:pPr>
            <w:r>
              <w:rPr>
                <w:rFonts w:eastAsia="Arial" w:cs="Arial"/>
                <w:color w:val="000000"/>
                <w:sz w:val="16"/>
                <w:szCs w:val="16"/>
              </w:rPr>
              <w:t>Zone 6</w:t>
            </w:r>
          </w:p>
        </w:tc>
        <w:tc>
          <w:tcPr>
            <w:tcW w:w="1148" w:type="dxa"/>
            <w:tcBorders>
              <w:bottom w:val="single" w:sz="12" w:space="0" w:color="538135"/>
            </w:tcBorders>
            <w:shd w:val="clear" w:color="auto" w:fill="auto"/>
            <w:vAlign w:val="center"/>
          </w:tcPr>
          <w:p w14:paraId="104FA671" w14:textId="77777777" w:rsidR="00134095" w:rsidRDefault="00134095" w:rsidP="00134095">
            <w:pPr>
              <w:jc w:val="center"/>
              <w:rPr>
                <w:rFonts w:eastAsia="Arial" w:cs="Arial"/>
                <w:color w:val="000000"/>
                <w:sz w:val="16"/>
                <w:szCs w:val="16"/>
              </w:rPr>
            </w:pPr>
            <w:r>
              <w:rPr>
                <w:rFonts w:eastAsia="Arial" w:cs="Arial"/>
                <w:color w:val="000000"/>
                <w:sz w:val="16"/>
                <w:szCs w:val="16"/>
              </w:rPr>
              <w:t>59%</w:t>
            </w:r>
          </w:p>
        </w:tc>
        <w:tc>
          <w:tcPr>
            <w:tcW w:w="1701" w:type="dxa"/>
            <w:tcBorders>
              <w:bottom w:val="single" w:sz="12" w:space="0" w:color="538135"/>
            </w:tcBorders>
            <w:shd w:val="clear" w:color="auto" w:fill="auto"/>
            <w:vAlign w:val="center"/>
          </w:tcPr>
          <w:p w14:paraId="5AB0EDFA" w14:textId="77777777" w:rsidR="00134095" w:rsidRDefault="00134095" w:rsidP="00134095">
            <w:pPr>
              <w:jc w:val="center"/>
              <w:rPr>
                <w:rFonts w:eastAsia="Arial" w:cs="Arial"/>
                <w:color w:val="000000"/>
                <w:sz w:val="16"/>
                <w:szCs w:val="16"/>
              </w:rPr>
            </w:pPr>
            <w:r>
              <w:rPr>
                <w:rFonts w:eastAsia="Arial" w:cs="Arial"/>
                <w:color w:val="000000"/>
                <w:sz w:val="16"/>
                <w:szCs w:val="16"/>
              </w:rPr>
              <w:t>68%</w:t>
            </w:r>
          </w:p>
        </w:tc>
        <w:tc>
          <w:tcPr>
            <w:tcW w:w="1276" w:type="dxa"/>
            <w:tcBorders>
              <w:bottom w:val="single" w:sz="12" w:space="0" w:color="538135"/>
            </w:tcBorders>
            <w:shd w:val="clear" w:color="auto" w:fill="auto"/>
            <w:vAlign w:val="center"/>
          </w:tcPr>
          <w:p w14:paraId="50A6811C" w14:textId="77777777" w:rsidR="00134095" w:rsidRDefault="00134095" w:rsidP="00134095">
            <w:pPr>
              <w:jc w:val="center"/>
              <w:rPr>
                <w:rFonts w:eastAsia="Arial" w:cs="Arial"/>
                <w:color w:val="000000"/>
                <w:sz w:val="16"/>
                <w:szCs w:val="16"/>
              </w:rPr>
            </w:pPr>
            <w:r>
              <w:rPr>
                <w:rFonts w:eastAsia="Arial" w:cs="Arial"/>
                <w:color w:val="000000"/>
                <w:sz w:val="16"/>
                <w:szCs w:val="16"/>
              </w:rPr>
              <w:t>40%</w:t>
            </w:r>
          </w:p>
        </w:tc>
        <w:tc>
          <w:tcPr>
            <w:tcW w:w="1848" w:type="dxa"/>
            <w:tcBorders>
              <w:bottom w:val="single" w:sz="12" w:space="0" w:color="538135"/>
            </w:tcBorders>
            <w:shd w:val="clear" w:color="auto" w:fill="auto"/>
            <w:vAlign w:val="center"/>
          </w:tcPr>
          <w:p w14:paraId="1EB40197" w14:textId="34C7AC89" w:rsidR="00134095" w:rsidRDefault="00134095" w:rsidP="00134095">
            <w:pPr>
              <w:jc w:val="center"/>
              <w:rPr>
                <w:rFonts w:eastAsia="Arial" w:cs="Arial"/>
                <w:color w:val="000000"/>
                <w:sz w:val="16"/>
                <w:szCs w:val="16"/>
              </w:rPr>
            </w:pPr>
            <w:r>
              <w:rPr>
                <w:rFonts w:eastAsia="Arial" w:cs="Arial"/>
                <w:color w:val="000000"/>
                <w:sz w:val="16"/>
                <w:szCs w:val="16"/>
              </w:rPr>
              <w:t>Medium risk</w:t>
            </w:r>
          </w:p>
        </w:tc>
      </w:tr>
    </w:tbl>
    <w:p w14:paraId="669ECCF9" w14:textId="0C1B20F2" w:rsidR="00FC34E1" w:rsidRPr="00FC34E1" w:rsidRDefault="00FC34E1" w:rsidP="00FC34E1">
      <w:pPr>
        <w:pStyle w:val="CETTabletitle"/>
        <w:jc w:val="both"/>
        <w:rPr>
          <w:i w:val="0"/>
          <w:lang w:val="en-US"/>
        </w:rPr>
      </w:pPr>
      <w:r w:rsidRPr="00FC34E1">
        <w:rPr>
          <w:i w:val="0"/>
          <w:lang w:val="en-US"/>
        </w:rPr>
        <w:t>Table 5 shows the risk assessment results by descriptive criteria for each of the study zones. Zones Z1, Z2 and Z6 showed a high risk level and zones Z3, Z4 and Z5 had a medium risk level. In the study conducted by Scavia et al. (2020), they analyzed the risks with the descriptive criterion in reference to landslides in the Cels-Morlière hamlet of the municipality of Exilles (Piedmont), identifying that the area has containment methods, but they lack maintenance. This methodology was similar for the analysis and the situation of the study area, which has geogrids and retaining walls, but in some areas there was no evidence of containment methods.</w:t>
      </w:r>
      <w:r w:rsidR="008D5B0A">
        <w:rPr>
          <w:i w:val="0"/>
          <w:lang w:val="en-US"/>
        </w:rPr>
        <w:t xml:space="preserve"> </w:t>
      </w:r>
      <w:r w:rsidR="008D71CF">
        <w:rPr>
          <w:i w:val="0"/>
          <w:lang w:val="en-US"/>
        </w:rPr>
        <w:t>Similarly, Chiara</w:t>
      </w:r>
      <w:r w:rsidR="008D5B0A" w:rsidRPr="008D5B0A">
        <w:rPr>
          <w:i w:val="0"/>
          <w:lang w:val="en-US"/>
        </w:rPr>
        <w:t xml:space="preserve"> et al. (2010) identified the high-risk failure sections in a gas pipeline and described the causes that generate the occurrence of the risk. Therefore, the identification of risk scenarios and the correct consequence analysis is important (</w:t>
      </w:r>
      <w:r w:rsidR="008D5B0A">
        <w:rPr>
          <w:i w:val="0"/>
          <w:lang w:val="en-US"/>
        </w:rPr>
        <w:t xml:space="preserve">Cozzani, </w:t>
      </w:r>
      <w:r w:rsidR="008D5B0A" w:rsidRPr="008D5B0A">
        <w:rPr>
          <w:i w:val="0"/>
          <w:lang w:val="en-US"/>
        </w:rPr>
        <w:t>2010)</w:t>
      </w:r>
      <w:r w:rsidR="008D5B0A" w:rsidRPr="008D5B0A">
        <w:rPr>
          <w:i w:val="0"/>
          <w:lang w:val="en-US"/>
        </w:rPr>
        <w:t>.</w:t>
      </w:r>
      <w:r w:rsidR="008D5B0A">
        <w:rPr>
          <w:i w:val="0"/>
          <w:lang w:val="en-US"/>
        </w:rPr>
        <w:t xml:space="preserve"> </w:t>
      </w:r>
    </w:p>
    <w:p w14:paraId="17EF4865" w14:textId="5F0BE6B6" w:rsidR="00134095" w:rsidRDefault="00134095" w:rsidP="00134095">
      <w:pPr>
        <w:pStyle w:val="CETTabletitle"/>
        <w:rPr>
          <w:lang w:val="en-US"/>
        </w:rPr>
      </w:pPr>
      <w:r>
        <w:rPr>
          <w:lang w:val="en-US"/>
        </w:rPr>
        <w:t>Table 5</w:t>
      </w:r>
      <w:r w:rsidRPr="009D1AC8">
        <w:rPr>
          <w:lang w:val="en-US"/>
        </w:rPr>
        <w:t xml:space="preserve">: </w:t>
      </w:r>
      <w:r w:rsidRPr="00134095">
        <w:rPr>
          <w:lang w:val="en-US"/>
        </w:rPr>
        <w:t>Risk by zone - descriptive criteria</w:t>
      </w:r>
    </w:p>
    <w:tbl>
      <w:tblPr>
        <w:tblW w:w="8829" w:type="dxa"/>
        <w:tblLayout w:type="fixed"/>
        <w:tblLook w:val="0400" w:firstRow="0" w:lastRow="0" w:firstColumn="0" w:lastColumn="0" w:noHBand="0" w:noVBand="1"/>
      </w:tblPr>
      <w:tblGrid>
        <w:gridCol w:w="1765"/>
        <w:gridCol w:w="1766"/>
        <w:gridCol w:w="1766"/>
        <w:gridCol w:w="1766"/>
        <w:gridCol w:w="1766"/>
      </w:tblGrid>
      <w:tr w:rsidR="00FC34E1" w14:paraId="06A02141" w14:textId="77777777" w:rsidTr="008D71CF">
        <w:trPr>
          <w:trHeight w:val="551"/>
        </w:trPr>
        <w:tc>
          <w:tcPr>
            <w:tcW w:w="1765" w:type="dxa"/>
            <w:tcBorders>
              <w:top w:val="single" w:sz="12" w:space="0" w:color="538135"/>
              <w:left w:val="single" w:sz="12" w:space="0" w:color="538135"/>
              <w:bottom w:val="single" w:sz="12" w:space="0" w:color="538135"/>
              <w:right w:val="single" w:sz="12" w:space="0" w:color="538135"/>
            </w:tcBorders>
            <w:shd w:val="clear" w:color="auto" w:fill="FF0000"/>
            <w:tcMar>
              <w:top w:w="15" w:type="dxa"/>
              <w:left w:w="104" w:type="dxa"/>
              <w:bottom w:w="0" w:type="dxa"/>
              <w:right w:w="104" w:type="dxa"/>
            </w:tcMar>
            <w:vAlign w:val="center"/>
          </w:tcPr>
          <w:p w14:paraId="04C4DA91" w14:textId="317EB942" w:rsidR="00134095" w:rsidRPr="00812658" w:rsidRDefault="00FC34E1" w:rsidP="00FC34E1">
            <w:pPr>
              <w:jc w:val="center"/>
              <w:rPr>
                <w:rFonts w:eastAsia="Arial" w:cs="Arial"/>
                <w:sz w:val="16"/>
                <w:szCs w:val="16"/>
              </w:rPr>
            </w:pPr>
            <w:r w:rsidRPr="00812658">
              <w:rPr>
                <w:rFonts w:eastAsia="Arial" w:cs="Arial"/>
                <w:sz w:val="16"/>
                <w:szCs w:val="16"/>
              </w:rPr>
              <w:t>Very high hazard</w:t>
            </w:r>
          </w:p>
        </w:tc>
        <w:tc>
          <w:tcPr>
            <w:tcW w:w="1766" w:type="dxa"/>
            <w:tcBorders>
              <w:top w:val="single" w:sz="12" w:space="0" w:color="538135"/>
              <w:left w:val="single" w:sz="12" w:space="0" w:color="538135"/>
              <w:bottom w:val="single" w:sz="12" w:space="0" w:color="538135"/>
              <w:right w:val="single" w:sz="12" w:space="0" w:color="538135"/>
            </w:tcBorders>
            <w:shd w:val="clear" w:color="auto" w:fill="FFC000"/>
            <w:tcMar>
              <w:top w:w="15" w:type="dxa"/>
              <w:left w:w="104" w:type="dxa"/>
              <w:bottom w:w="0" w:type="dxa"/>
              <w:right w:w="104" w:type="dxa"/>
            </w:tcMar>
            <w:vAlign w:val="center"/>
          </w:tcPr>
          <w:p w14:paraId="0F01A3C0" w14:textId="324FB0E2" w:rsidR="00134095" w:rsidRPr="00812658" w:rsidRDefault="00812658" w:rsidP="00FC34E1">
            <w:pPr>
              <w:jc w:val="center"/>
              <w:rPr>
                <w:rFonts w:eastAsia="Arial" w:cs="Arial"/>
                <w:sz w:val="16"/>
                <w:szCs w:val="16"/>
              </w:rPr>
            </w:pPr>
            <w:r w:rsidRPr="00812658">
              <w:rPr>
                <w:rFonts w:eastAsia="Arial" w:cs="Arial"/>
                <w:sz w:val="16"/>
                <w:szCs w:val="16"/>
              </w:rPr>
              <w:t>High risk</w:t>
            </w:r>
          </w:p>
        </w:tc>
        <w:tc>
          <w:tcPr>
            <w:tcW w:w="1766" w:type="dxa"/>
            <w:tcBorders>
              <w:top w:val="single" w:sz="12" w:space="0" w:color="538135"/>
              <w:left w:val="single" w:sz="12" w:space="0" w:color="538135"/>
              <w:bottom w:val="single" w:sz="12" w:space="0" w:color="538135"/>
              <w:right w:val="single" w:sz="12" w:space="0" w:color="538135"/>
            </w:tcBorders>
            <w:shd w:val="clear" w:color="auto" w:fill="FFC000"/>
            <w:tcMar>
              <w:top w:w="15" w:type="dxa"/>
              <w:left w:w="104" w:type="dxa"/>
              <w:bottom w:w="0" w:type="dxa"/>
              <w:right w:w="104" w:type="dxa"/>
            </w:tcMar>
            <w:vAlign w:val="center"/>
          </w:tcPr>
          <w:p w14:paraId="4CF3C3A2" w14:textId="5E6BF778" w:rsidR="00134095" w:rsidRPr="00812658" w:rsidRDefault="00812658" w:rsidP="00FC34E1">
            <w:pPr>
              <w:jc w:val="center"/>
              <w:rPr>
                <w:rFonts w:eastAsia="Arial" w:cs="Arial"/>
                <w:sz w:val="16"/>
                <w:szCs w:val="16"/>
              </w:rPr>
            </w:pPr>
            <w:r w:rsidRPr="00812658">
              <w:rPr>
                <w:rFonts w:eastAsia="Arial" w:cs="Arial"/>
                <w:sz w:val="16"/>
                <w:szCs w:val="16"/>
              </w:rPr>
              <w:t>High risk</w:t>
            </w:r>
          </w:p>
        </w:tc>
        <w:tc>
          <w:tcPr>
            <w:tcW w:w="1766" w:type="dxa"/>
            <w:tcBorders>
              <w:top w:val="single" w:sz="12" w:space="0" w:color="538135"/>
              <w:left w:val="single" w:sz="12" w:space="0" w:color="538135"/>
              <w:bottom w:val="single" w:sz="12" w:space="0" w:color="538135"/>
              <w:right w:val="single" w:sz="12" w:space="0" w:color="538135"/>
            </w:tcBorders>
            <w:shd w:val="clear" w:color="auto" w:fill="FF0000"/>
            <w:tcMar>
              <w:top w:w="15" w:type="dxa"/>
              <w:left w:w="104" w:type="dxa"/>
              <w:bottom w:w="0" w:type="dxa"/>
              <w:right w:w="104" w:type="dxa"/>
            </w:tcMar>
            <w:vAlign w:val="center"/>
          </w:tcPr>
          <w:p w14:paraId="3EA4F13F" w14:textId="55EDDFA6" w:rsidR="00134095" w:rsidRPr="00812658" w:rsidRDefault="00812658" w:rsidP="00FC34E1">
            <w:pPr>
              <w:jc w:val="center"/>
              <w:rPr>
                <w:rFonts w:eastAsia="Arial" w:cs="Arial"/>
                <w:sz w:val="16"/>
                <w:szCs w:val="16"/>
              </w:rPr>
            </w:pPr>
            <w:r w:rsidRPr="00812658">
              <w:rPr>
                <w:rFonts w:eastAsia="Arial" w:cs="Arial"/>
                <w:sz w:val="16"/>
                <w:szCs w:val="16"/>
              </w:rPr>
              <w:t>Very high risk</w:t>
            </w:r>
          </w:p>
        </w:tc>
        <w:tc>
          <w:tcPr>
            <w:tcW w:w="1766" w:type="dxa"/>
            <w:tcBorders>
              <w:top w:val="single" w:sz="12" w:space="0" w:color="538135"/>
              <w:left w:val="single" w:sz="12" w:space="0" w:color="538135"/>
              <w:bottom w:val="single" w:sz="12" w:space="0" w:color="538135"/>
              <w:right w:val="single" w:sz="12" w:space="0" w:color="538135"/>
            </w:tcBorders>
            <w:shd w:val="clear" w:color="auto" w:fill="FF0000"/>
            <w:tcMar>
              <w:top w:w="15" w:type="dxa"/>
              <w:left w:w="104" w:type="dxa"/>
              <w:bottom w:w="0" w:type="dxa"/>
              <w:right w:w="104" w:type="dxa"/>
            </w:tcMar>
            <w:vAlign w:val="center"/>
          </w:tcPr>
          <w:p w14:paraId="58C7DE18" w14:textId="7B291E44" w:rsidR="00134095" w:rsidRPr="00812658" w:rsidRDefault="00812658" w:rsidP="00FC34E1">
            <w:pPr>
              <w:jc w:val="center"/>
              <w:rPr>
                <w:rFonts w:eastAsia="Arial" w:cs="Arial"/>
                <w:sz w:val="16"/>
                <w:szCs w:val="16"/>
              </w:rPr>
            </w:pPr>
            <w:r w:rsidRPr="00812658">
              <w:rPr>
                <w:rFonts w:eastAsia="Arial" w:cs="Arial"/>
                <w:sz w:val="16"/>
                <w:szCs w:val="16"/>
              </w:rPr>
              <w:t>Very high risk</w:t>
            </w:r>
          </w:p>
        </w:tc>
      </w:tr>
      <w:tr w:rsidR="00FC34E1" w14:paraId="611E8FFF" w14:textId="77777777" w:rsidTr="008D71CF">
        <w:trPr>
          <w:trHeight w:val="551"/>
        </w:trPr>
        <w:tc>
          <w:tcPr>
            <w:tcW w:w="1765" w:type="dxa"/>
            <w:tcBorders>
              <w:top w:val="single" w:sz="12" w:space="0" w:color="538135"/>
              <w:left w:val="single" w:sz="12" w:space="0" w:color="538135"/>
              <w:bottom w:val="single" w:sz="12" w:space="0" w:color="538135"/>
              <w:right w:val="single" w:sz="12" w:space="0" w:color="538135"/>
            </w:tcBorders>
            <w:shd w:val="clear" w:color="auto" w:fill="FFC000"/>
            <w:tcMar>
              <w:top w:w="15" w:type="dxa"/>
              <w:left w:w="104" w:type="dxa"/>
              <w:bottom w:w="0" w:type="dxa"/>
              <w:right w:w="104" w:type="dxa"/>
            </w:tcMar>
            <w:vAlign w:val="center"/>
          </w:tcPr>
          <w:p w14:paraId="4828689E" w14:textId="2F17C9C6" w:rsidR="00134095" w:rsidRPr="00812658" w:rsidRDefault="00FC34E1" w:rsidP="00FC34E1">
            <w:pPr>
              <w:jc w:val="center"/>
              <w:rPr>
                <w:rFonts w:eastAsia="Arial" w:cs="Arial"/>
                <w:sz w:val="16"/>
                <w:szCs w:val="16"/>
              </w:rPr>
            </w:pPr>
            <w:r w:rsidRPr="00812658">
              <w:rPr>
                <w:rFonts w:eastAsia="Arial" w:cs="Arial"/>
                <w:sz w:val="16"/>
                <w:szCs w:val="16"/>
              </w:rPr>
              <w:t>High hazard</w:t>
            </w:r>
          </w:p>
        </w:tc>
        <w:tc>
          <w:tcPr>
            <w:tcW w:w="1766" w:type="dxa"/>
            <w:tcBorders>
              <w:top w:val="single" w:sz="12" w:space="0" w:color="538135"/>
              <w:left w:val="single" w:sz="12" w:space="0" w:color="538135"/>
              <w:bottom w:val="single" w:sz="12" w:space="0" w:color="538135"/>
              <w:right w:val="single" w:sz="12" w:space="0" w:color="538135"/>
            </w:tcBorders>
            <w:shd w:val="clear" w:color="auto" w:fill="FFFF00"/>
            <w:tcMar>
              <w:top w:w="15" w:type="dxa"/>
              <w:left w:w="104" w:type="dxa"/>
              <w:bottom w:w="0" w:type="dxa"/>
              <w:right w:w="104" w:type="dxa"/>
            </w:tcMar>
            <w:vAlign w:val="center"/>
          </w:tcPr>
          <w:p w14:paraId="51426378" w14:textId="0C28A336" w:rsidR="00134095" w:rsidRPr="00812658" w:rsidRDefault="00812658" w:rsidP="00FC34E1">
            <w:pPr>
              <w:jc w:val="center"/>
              <w:rPr>
                <w:rFonts w:eastAsia="Arial" w:cs="Arial"/>
                <w:sz w:val="16"/>
                <w:szCs w:val="16"/>
              </w:rPr>
            </w:pPr>
            <w:r w:rsidRPr="00812658">
              <w:rPr>
                <w:rFonts w:eastAsia="Arial" w:cs="Arial"/>
                <w:sz w:val="16"/>
                <w:szCs w:val="16"/>
              </w:rPr>
              <w:t>Medium risk</w:t>
            </w:r>
          </w:p>
        </w:tc>
        <w:tc>
          <w:tcPr>
            <w:tcW w:w="1766" w:type="dxa"/>
            <w:tcBorders>
              <w:top w:val="single" w:sz="12" w:space="0" w:color="538135"/>
              <w:left w:val="single" w:sz="12" w:space="0" w:color="538135"/>
              <w:bottom w:val="single" w:sz="12" w:space="0" w:color="538135"/>
              <w:right w:val="single" w:sz="12" w:space="0" w:color="538135"/>
            </w:tcBorders>
            <w:shd w:val="clear" w:color="auto" w:fill="FFFF00"/>
            <w:tcMar>
              <w:top w:w="15" w:type="dxa"/>
              <w:left w:w="104" w:type="dxa"/>
              <w:bottom w:w="0" w:type="dxa"/>
              <w:right w:w="104" w:type="dxa"/>
            </w:tcMar>
            <w:vAlign w:val="center"/>
          </w:tcPr>
          <w:p w14:paraId="7AEEC5E9" w14:textId="62ABDEA9" w:rsidR="00134095" w:rsidRPr="00812658" w:rsidRDefault="00812658" w:rsidP="00FC34E1">
            <w:pPr>
              <w:jc w:val="center"/>
              <w:rPr>
                <w:rFonts w:eastAsia="Arial" w:cs="Arial"/>
                <w:sz w:val="16"/>
                <w:szCs w:val="16"/>
              </w:rPr>
            </w:pPr>
            <w:r w:rsidRPr="00812658">
              <w:rPr>
                <w:rFonts w:eastAsia="Arial" w:cs="Arial"/>
                <w:sz w:val="16"/>
                <w:szCs w:val="16"/>
              </w:rPr>
              <w:t>Medium risk              (</w:t>
            </w:r>
            <w:r w:rsidR="00134095" w:rsidRPr="00812658">
              <w:rPr>
                <w:rFonts w:eastAsia="Arial" w:cs="Arial"/>
                <w:sz w:val="16"/>
                <w:szCs w:val="16"/>
              </w:rPr>
              <w:t>Miraflores)</w:t>
            </w:r>
          </w:p>
        </w:tc>
        <w:tc>
          <w:tcPr>
            <w:tcW w:w="1766" w:type="dxa"/>
            <w:tcBorders>
              <w:top w:val="single" w:sz="12" w:space="0" w:color="538135"/>
              <w:left w:val="single" w:sz="12" w:space="0" w:color="538135"/>
              <w:bottom w:val="single" w:sz="12" w:space="0" w:color="538135"/>
              <w:right w:val="single" w:sz="12" w:space="0" w:color="538135"/>
            </w:tcBorders>
            <w:shd w:val="clear" w:color="auto" w:fill="FFC000"/>
            <w:tcMar>
              <w:top w:w="15" w:type="dxa"/>
              <w:left w:w="104" w:type="dxa"/>
              <w:bottom w:w="0" w:type="dxa"/>
              <w:right w:w="104" w:type="dxa"/>
            </w:tcMar>
            <w:vAlign w:val="center"/>
          </w:tcPr>
          <w:p w14:paraId="352B7B40" w14:textId="0E575B7E" w:rsidR="00134095" w:rsidRPr="00812658" w:rsidRDefault="00812658" w:rsidP="00FC34E1">
            <w:pPr>
              <w:jc w:val="center"/>
              <w:rPr>
                <w:rFonts w:eastAsia="Arial" w:cs="Arial"/>
                <w:sz w:val="16"/>
                <w:szCs w:val="16"/>
                <w:lang w:val="en-US"/>
              </w:rPr>
            </w:pPr>
            <w:r w:rsidRPr="00812658">
              <w:rPr>
                <w:rFonts w:eastAsia="Arial" w:cs="Arial"/>
                <w:sz w:val="16"/>
                <w:szCs w:val="16"/>
                <w:lang w:val="en-US"/>
              </w:rPr>
              <w:t>High risk (San Miguel, Magdalena and</w:t>
            </w:r>
            <w:r w:rsidR="00134095" w:rsidRPr="00812658">
              <w:rPr>
                <w:rFonts w:eastAsia="Arial" w:cs="Arial"/>
                <w:sz w:val="16"/>
                <w:szCs w:val="16"/>
                <w:lang w:val="en-US"/>
              </w:rPr>
              <w:t xml:space="preserve"> Chorrillos)</w:t>
            </w:r>
          </w:p>
        </w:tc>
        <w:tc>
          <w:tcPr>
            <w:tcW w:w="1766" w:type="dxa"/>
            <w:tcBorders>
              <w:top w:val="single" w:sz="12" w:space="0" w:color="538135"/>
              <w:left w:val="single" w:sz="12" w:space="0" w:color="538135"/>
              <w:bottom w:val="single" w:sz="12" w:space="0" w:color="538135"/>
              <w:right w:val="single" w:sz="12" w:space="0" w:color="538135"/>
            </w:tcBorders>
            <w:shd w:val="clear" w:color="auto" w:fill="FF0000"/>
            <w:tcMar>
              <w:top w:w="15" w:type="dxa"/>
              <w:left w:w="104" w:type="dxa"/>
              <w:bottom w:w="0" w:type="dxa"/>
              <w:right w:w="104" w:type="dxa"/>
            </w:tcMar>
            <w:vAlign w:val="center"/>
          </w:tcPr>
          <w:p w14:paraId="6024069D" w14:textId="2CCC242E" w:rsidR="00134095" w:rsidRPr="00812658" w:rsidRDefault="00812658" w:rsidP="00FC34E1">
            <w:pPr>
              <w:jc w:val="center"/>
              <w:rPr>
                <w:rFonts w:eastAsia="Arial" w:cs="Arial"/>
                <w:sz w:val="16"/>
                <w:szCs w:val="16"/>
              </w:rPr>
            </w:pPr>
            <w:r w:rsidRPr="00812658">
              <w:rPr>
                <w:rFonts w:eastAsia="Arial" w:cs="Arial"/>
                <w:sz w:val="16"/>
                <w:szCs w:val="16"/>
              </w:rPr>
              <w:t>Very high risk</w:t>
            </w:r>
          </w:p>
        </w:tc>
      </w:tr>
      <w:tr w:rsidR="00FC34E1" w14:paraId="6C7C3E6F" w14:textId="77777777" w:rsidTr="008D71CF">
        <w:trPr>
          <w:trHeight w:val="551"/>
        </w:trPr>
        <w:tc>
          <w:tcPr>
            <w:tcW w:w="1765" w:type="dxa"/>
            <w:tcBorders>
              <w:top w:val="single" w:sz="12" w:space="0" w:color="538135"/>
              <w:left w:val="single" w:sz="12" w:space="0" w:color="538135"/>
              <w:bottom w:val="single" w:sz="12" w:space="0" w:color="538135"/>
              <w:right w:val="single" w:sz="12" w:space="0" w:color="538135"/>
            </w:tcBorders>
            <w:shd w:val="clear" w:color="auto" w:fill="FFFF00"/>
            <w:tcMar>
              <w:top w:w="15" w:type="dxa"/>
              <w:left w:w="104" w:type="dxa"/>
              <w:bottom w:w="0" w:type="dxa"/>
              <w:right w:w="104" w:type="dxa"/>
            </w:tcMar>
            <w:vAlign w:val="center"/>
          </w:tcPr>
          <w:p w14:paraId="6C87171B" w14:textId="4F4A7077" w:rsidR="00134095" w:rsidRPr="00812658" w:rsidRDefault="00FC34E1" w:rsidP="00FC34E1">
            <w:pPr>
              <w:jc w:val="center"/>
              <w:rPr>
                <w:rFonts w:eastAsia="Arial" w:cs="Arial"/>
                <w:sz w:val="16"/>
                <w:szCs w:val="16"/>
              </w:rPr>
            </w:pPr>
            <w:r w:rsidRPr="00812658">
              <w:rPr>
                <w:rFonts w:eastAsia="Arial" w:cs="Arial"/>
                <w:sz w:val="16"/>
                <w:szCs w:val="16"/>
              </w:rPr>
              <w:t>Medium hazard</w:t>
            </w:r>
          </w:p>
        </w:tc>
        <w:tc>
          <w:tcPr>
            <w:tcW w:w="1766" w:type="dxa"/>
            <w:tcBorders>
              <w:top w:val="single" w:sz="12" w:space="0" w:color="538135"/>
              <w:left w:val="single" w:sz="12" w:space="0" w:color="538135"/>
              <w:bottom w:val="single" w:sz="12" w:space="0" w:color="538135"/>
              <w:right w:val="single" w:sz="12" w:space="0" w:color="538135"/>
            </w:tcBorders>
            <w:shd w:val="clear" w:color="auto" w:fill="00B050"/>
            <w:tcMar>
              <w:top w:w="15" w:type="dxa"/>
              <w:left w:w="104" w:type="dxa"/>
              <w:bottom w:w="0" w:type="dxa"/>
              <w:right w:w="104" w:type="dxa"/>
            </w:tcMar>
            <w:vAlign w:val="center"/>
          </w:tcPr>
          <w:p w14:paraId="158E4F1D" w14:textId="470A0469" w:rsidR="00134095" w:rsidRPr="00812658" w:rsidRDefault="00812658" w:rsidP="00FC34E1">
            <w:pPr>
              <w:jc w:val="center"/>
              <w:rPr>
                <w:rFonts w:eastAsia="Arial" w:cs="Arial"/>
                <w:sz w:val="16"/>
                <w:szCs w:val="16"/>
              </w:rPr>
            </w:pPr>
            <w:r w:rsidRPr="00812658">
              <w:rPr>
                <w:rFonts w:eastAsia="Arial" w:cs="Arial"/>
                <w:sz w:val="16"/>
                <w:szCs w:val="16"/>
              </w:rPr>
              <w:t>Low risk</w:t>
            </w:r>
          </w:p>
        </w:tc>
        <w:tc>
          <w:tcPr>
            <w:tcW w:w="1766" w:type="dxa"/>
            <w:tcBorders>
              <w:top w:val="single" w:sz="12" w:space="0" w:color="538135"/>
              <w:left w:val="single" w:sz="12" w:space="0" w:color="538135"/>
              <w:bottom w:val="single" w:sz="12" w:space="0" w:color="538135"/>
              <w:right w:val="single" w:sz="12" w:space="0" w:color="538135"/>
            </w:tcBorders>
            <w:shd w:val="clear" w:color="auto" w:fill="FFFF00"/>
            <w:tcMar>
              <w:top w:w="15" w:type="dxa"/>
              <w:left w:w="104" w:type="dxa"/>
              <w:bottom w:w="0" w:type="dxa"/>
              <w:right w:w="104" w:type="dxa"/>
            </w:tcMar>
            <w:vAlign w:val="center"/>
          </w:tcPr>
          <w:p w14:paraId="0F7DB905" w14:textId="1ABB7847" w:rsidR="00134095" w:rsidRPr="00812658" w:rsidRDefault="00812658" w:rsidP="00FC34E1">
            <w:pPr>
              <w:jc w:val="center"/>
              <w:rPr>
                <w:rFonts w:eastAsia="Arial" w:cs="Arial"/>
                <w:sz w:val="16"/>
                <w:szCs w:val="16"/>
              </w:rPr>
            </w:pPr>
            <w:r w:rsidRPr="00812658">
              <w:rPr>
                <w:rFonts w:eastAsia="Arial" w:cs="Arial"/>
                <w:sz w:val="16"/>
                <w:szCs w:val="16"/>
              </w:rPr>
              <w:t>Medium risk       (</w:t>
            </w:r>
            <w:r w:rsidR="00134095" w:rsidRPr="00812658">
              <w:rPr>
                <w:rFonts w:eastAsia="Arial" w:cs="Arial"/>
                <w:sz w:val="16"/>
                <w:szCs w:val="16"/>
              </w:rPr>
              <w:t>San Isidro)</w:t>
            </w:r>
          </w:p>
        </w:tc>
        <w:tc>
          <w:tcPr>
            <w:tcW w:w="1766" w:type="dxa"/>
            <w:tcBorders>
              <w:top w:val="single" w:sz="12" w:space="0" w:color="538135"/>
              <w:left w:val="single" w:sz="12" w:space="0" w:color="538135"/>
              <w:bottom w:val="single" w:sz="12" w:space="0" w:color="538135"/>
              <w:right w:val="single" w:sz="12" w:space="0" w:color="538135"/>
            </w:tcBorders>
            <w:shd w:val="clear" w:color="auto" w:fill="FFFF00"/>
            <w:tcMar>
              <w:top w:w="15" w:type="dxa"/>
              <w:left w:w="104" w:type="dxa"/>
              <w:bottom w:w="0" w:type="dxa"/>
              <w:right w:w="104" w:type="dxa"/>
            </w:tcMar>
            <w:vAlign w:val="center"/>
          </w:tcPr>
          <w:p w14:paraId="652FB21B" w14:textId="42BCD0A4" w:rsidR="00134095" w:rsidRPr="00812658" w:rsidRDefault="00812658" w:rsidP="00FC34E1">
            <w:pPr>
              <w:jc w:val="center"/>
              <w:rPr>
                <w:rFonts w:eastAsia="Arial" w:cs="Arial"/>
                <w:sz w:val="16"/>
                <w:szCs w:val="16"/>
              </w:rPr>
            </w:pPr>
            <w:r w:rsidRPr="00812658">
              <w:rPr>
                <w:rFonts w:eastAsia="Arial" w:cs="Arial"/>
                <w:sz w:val="16"/>
                <w:szCs w:val="16"/>
              </w:rPr>
              <w:t>Medium risk</w:t>
            </w:r>
            <w:r w:rsidR="00134095" w:rsidRPr="00812658">
              <w:rPr>
                <w:rFonts w:eastAsia="Arial" w:cs="Arial"/>
                <w:sz w:val="16"/>
                <w:szCs w:val="16"/>
              </w:rPr>
              <w:t xml:space="preserve"> </w:t>
            </w:r>
            <w:r w:rsidRPr="00812658">
              <w:rPr>
                <w:rFonts w:eastAsia="Arial" w:cs="Arial"/>
                <w:sz w:val="16"/>
                <w:szCs w:val="16"/>
              </w:rPr>
              <w:t xml:space="preserve">             (</w:t>
            </w:r>
            <w:r w:rsidR="00134095" w:rsidRPr="00812658">
              <w:rPr>
                <w:rFonts w:eastAsia="Arial" w:cs="Arial"/>
                <w:sz w:val="16"/>
                <w:szCs w:val="16"/>
              </w:rPr>
              <w:t>Barranco)</w:t>
            </w:r>
          </w:p>
        </w:tc>
        <w:tc>
          <w:tcPr>
            <w:tcW w:w="1766" w:type="dxa"/>
            <w:tcBorders>
              <w:top w:val="single" w:sz="12" w:space="0" w:color="538135"/>
              <w:left w:val="single" w:sz="12" w:space="0" w:color="538135"/>
              <w:bottom w:val="single" w:sz="12" w:space="0" w:color="538135"/>
              <w:right w:val="single" w:sz="12" w:space="0" w:color="538135"/>
            </w:tcBorders>
            <w:shd w:val="clear" w:color="auto" w:fill="FFC000"/>
            <w:tcMar>
              <w:top w:w="15" w:type="dxa"/>
              <w:left w:w="104" w:type="dxa"/>
              <w:bottom w:w="0" w:type="dxa"/>
              <w:right w:w="104" w:type="dxa"/>
            </w:tcMar>
            <w:vAlign w:val="center"/>
          </w:tcPr>
          <w:p w14:paraId="71D0A5F9" w14:textId="24DDD7A7" w:rsidR="00134095" w:rsidRPr="00812658" w:rsidRDefault="00812658" w:rsidP="00FC34E1">
            <w:pPr>
              <w:jc w:val="center"/>
              <w:rPr>
                <w:rFonts w:eastAsia="Arial" w:cs="Arial"/>
                <w:sz w:val="16"/>
                <w:szCs w:val="16"/>
              </w:rPr>
            </w:pPr>
            <w:r w:rsidRPr="00812658">
              <w:rPr>
                <w:rFonts w:eastAsia="Arial" w:cs="Arial"/>
                <w:sz w:val="16"/>
                <w:szCs w:val="16"/>
              </w:rPr>
              <w:t>High risk</w:t>
            </w:r>
          </w:p>
        </w:tc>
      </w:tr>
      <w:tr w:rsidR="00FC34E1" w14:paraId="5F8CA2AE" w14:textId="77777777" w:rsidTr="008D71CF">
        <w:trPr>
          <w:trHeight w:val="551"/>
        </w:trPr>
        <w:tc>
          <w:tcPr>
            <w:tcW w:w="1765" w:type="dxa"/>
            <w:tcBorders>
              <w:top w:val="single" w:sz="12" w:space="0" w:color="538135"/>
              <w:left w:val="single" w:sz="12" w:space="0" w:color="538135"/>
              <w:bottom w:val="single" w:sz="12" w:space="0" w:color="538135"/>
              <w:right w:val="single" w:sz="12" w:space="0" w:color="538135"/>
            </w:tcBorders>
            <w:shd w:val="clear" w:color="auto" w:fill="00B050"/>
            <w:tcMar>
              <w:top w:w="15" w:type="dxa"/>
              <w:left w:w="104" w:type="dxa"/>
              <w:bottom w:w="0" w:type="dxa"/>
              <w:right w:w="104" w:type="dxa"/>
            </w:tcMar>
            <w:vAlign w:val="center"/>
          </w:tcPr>
          <w:p w14:paraId="757427A0" w14:textId="4A19208B" w:rsidR="00134095" w:rsidRPr="00812658" w:rsidRDefault="00FC34E1" w:rsidP="00FC34E1">
            <w:pPr>
              <w:jc w:val="center"/>
              <w:rPr>
                <w:rFonts w:eastAsia="Arial" w:cs="Arial"/>
                <w:sz w:val="16"/>
                <w:szCs w:val="16"/>
              </w:rPr>
            </w:pPr>
            <w:r w:rsidRPr="00812658">
              <w:rPr>
                <w:rFonts w:eastAsia="Arial" w:cs="Arial"/>
                <w:sz w:val="16"/>
                <w:szCs w:val="16"/>
              </w:rPr>
              <w:t>Low hazard</w:t>
            </w:r>
          </w:p>
        </w:tc>
        <w:tc>
          <w:tcPr>
            <w:tcW w:w="1766" w:type="dxa"/>
            <w:tcBorders>
              <w:top w:val="single" w:sz="12" w:space="0" w:color="538135"/>
              <w:left w:val="single" w:sz="12" w:space="0" w:color="538135"/>
              <w:bottom w:val="single" w:sz="12" w:space="0" w:color="538135"/>
              <w:right w:val="single" w:sz="12" w:space="0" w:color="538135"/>
            </w:tcBorders>
            <w:shd w:val="clear" w:color="auto" w:fill="00B050"/>
            <w:tcMar>
              <w:top w:w="15" w:type="dxa"/>
              <w:left w:w="104" w:type="dxa"/>
              <w:bottom w:w="0" w:type="dxa"/>
              <w:right w:w="104" w:type="dxa"/>
            </w:tcMar>
            <w:vAlign w:val="center"/>
          </w:tcPr>
          <w:p w14:paraId="04211658" w14:textId="7CBACA50" w:rsidR="00134095" w:rsidRPr="00812658" w:rsidRDefault="00812658" w:rsidP="00FC34E1">
            <w:pPr>
              <w:jc w:val="center"/>
              <w:rPr>
                <w:rFonts w:eastAsia="Arial" w:cs="Arial"/>
                <w:sz w:val="16"/>
                <w:szCs w:val="16"/>
              </w:rPr>
            </w:pPr>
            <w:r w:rsidRPr="00812658">
              <w:rPr>
                <w:rFonts w:eastAsia="Arial" w:cs="Arial"/>
                <w:sz w:val="16"/>
                <w:szCs w:val="16"/>
              </w:rPr>
              <w:t>Low risk</w:t>
            </w:r>
          </w:p>
        </w:tc>
        <w:tc>
          <w:tcPr>
            <w:tcW w:w="1766" w:type="dxa"/>
            <w:tcBorders>
              <w:top w:val="single" w:sz="12" w:space="0" w:color="538135"/>
              <w:left w:val="single" w:sz="12" w:space="0" w:color="538135"/>
              <w:bottom w:val="single" w:sz="12" w:space="0" w:color="538135"/>
              <w:right w:val="single" w:sz="12" w:space="0" w:color="538135"/>
            </w:tcBorders>
            <w:shd w:val="clear" w:color="auto" w:fill="00B050"/>
            <w:tcMar>
              <w:top w:w="15" w:type="dxa"/>
              <w:left w:w="104" w:type="dxa"/>
              <w:bottom w:w="0" w:type="dxa"/>
              <w:right w:w="104" w:type="dxa"/>
            </w:tcMar>
            <w:vAlign w:val="center"/>
          </w:tcPr>
          <w:p w14:paraId="0462F322" w14:textId="32336018" w:rsidR="00134095" w:rsidRPr="00812658" w:rsidRDefault="00812658" w:rsidP="00FC34E1">
            <w:pPr>
              <w:jc w:val="center"/>
              <w:rPr>
                <w:rFonts w:eastAsia="Arial" w:cs="Arial"/>
                <w:sz w:val="16"/>
                <w:szCs w:val="16"/>
              </w:rPr>
            </w:pPr>
            <w:r w:rsidRPr="00812658">
              <w:rPr>
                <w:rFonts w:eastAsia="Arial" w:cs="Arial"/>
                <w:sz w:val="16"/>
                <w:szCs w:val="16"/>
              </w:rPr>
              <w:t>Low risk</w:t>
            </w:r>
          </w:p>
        </w:tc>
        <w:tc>
          <w:tcPr>
            <w:tcW w:w="1766" w:type="dxa"/>
            <w:tcBorders>
              <w:top w:val="single" w:sz="12" w:space="0" w:color="538135"/>
              <w:left w:val="single" w:sz="12" w:space="0" w:color="538135"/>
              <w:bottom w:val="single" w:sz="12" w:space="0" w:color="538135"/>
              <w:right w:val="single" w:sz="12" w:space="0" w:color="538135"/>
            </w:tcBorders>
            <w:shd w:val="clear" w:color="auto" w:fill="FFFF00"/>
            <w:tcMar>
              <w:top w:w="15" w:type="dxa"/>
              <w:left w:w="104" w:type="dxa"/>
              <w:bottom w:w="0" w:type="dxa"/>
              <w:right w:w="104" w:type="dxa"/>
            </w:tcMar>
            <w:vAlign w:val="center"/>
          </w:tcPr>
          <w:p w14:paraId="63160590" w14:textId="0ED5E24E" w:rsidR="00134095" w:rsidRPr="00812658" w:rsidRDefault="00812658" w:rsidP="00FC34E1">
            <w:pPr>
              <w:jc w:val="center"/>
              <w:rPr>
                <w:rFonts w:eastAsia="Arial" w:cs="Arial"/>
                <w:sz w:val="16"/>
                <w:szCs w:val="16"/>
              </w:rPr>
            </w:pPr>
            <w:r w:rsidRPr="00812658">
              <w:rPr>
                <w:rFonts w:eastAsia="Arial" w:cs="Arial"/>
                <w:sz w:val="16"/>
                <w:szCs w:val="16"/>
              </w:rPr>
              <w:t>Medium risk</w:t>
            </w:r>
          </w:p>
        </w:tc>
        <w:tc>
          <w:tcPr>
            <w:tcW w:w="1766" w:type="dxa"/>
            <w:tcBorders>
              <w:top w:val="single" w:sz="12" w:space="0" w:color="538135"/>
              <w:left w:val="single" w:sz="12" w:space="0" w:color="538135"/>
              <w:bottom w:val="single" w:sz="12" w:space="0" w:color="538135"/>
              <w:right w:val="single" w:sz="12" w:space="0" w:color="538135"/>
            </w:tcBorders>
            <w:shd w:val="clear" w:color="auto" w:fill="FFC000"/>
            <w:tcMar>
              <w:top w:w="15" w:type="dxa"/>
              <w:left w:w="104" w:type="dxa"/>
              <w:bottom w:w="0" w:type="dxa"/>
              <w:right w:w="104" w:type="dxa"/>
            </w:tcMar>
            <w:vAlign w:val="center"/>
          </w:tcPr>
          <w:p w14:paraId="5EE05794" w14:textId="2CD1E42F" w:rsidR="00134095" w:rsidRPr="00812658" w:rsidRDefault="00812658" w:rsidP="00FC34E1">
            <w:pPr>
              <w:jc w:val="center"/>
              <w:rPr>
                <w:rFonts w:eastAsia="Arial" w:cs="Arial"/>
                <w:sz w:val="16"/>
                <w:szCs w:val="16"/>
              </w:rPr>
            </w:pPr>
            <w:r w:rsidRPr="00812658">
              <w:rPr>
                <w:rFonts w:eastAsia="Arial" w:cs="Arial"/>
                <w:sz w:val="16"/>
                <w:szCs w:val="16"/>
              </w:rPr>
              <w:t>High risk</w:t>
            </w:r>
          </w:p>
        </w:tc>
      </w:tr>
      <w:tr w:rsidR="00FC34E1" w14:paraId="2C8F036E" w14:textId="77777777" w:rsidTr="008D71CF">
        <w:trPr>
          <w:trHeight w:val="551"/>
        </w:trPr>
        <w:tc>
          <w:tcPr>
            <w:tcW w:w="1765" w:type="dxa"/>
            <w:tcBorders>
              <w:top w:val="single" w:sz="12" w:space="0" w:color="538135"/>
              <w:right w:val="single" w:sz="12" w:space="0" w:color="538135"/>
            </w:tcBorders>
            <w:shd w:val="clear" w:color="auto" w:fill="auto"/>
            <w:tcMar>
              <w:top w:w="15" w:type="dxa"/>
              <w:left w:w="104" w:type="dxa"/>
              <w:bottom w:w="0" w:type="dxa"/>
              <w:right w:w="104" w:type="dxa"/>
            </w:tcMar>
            <w:vAlign w:val="center"/>
          </w:tcPr>
          <w:p w14:paraId="3149C5DA" w14:textId="5B3269D9" w:rsidR="00134095" w:rsidRPr="00812658" w:rsidRDefault="00134095" w:rsidP="00FC34E1">
            <w:pPr>
              <w:jc w:val="center"/>
              <w:rPr>
                <w:rFonts w:eastAsia="Arial" w:cs="Arial"/>
                <w:sz w:val="16"/>
                <w:szCs w:val="16"/>
              </w:rPr>
            </w:pPr>
          </w:p>
        </w:tc>
        <w:tc>
          <w:tcPr>
            <w:tcW w:w="1766" w:type="dxa"/>
            <w:tcBorders>
              <w:top w:val="single" w:sz="12" w:space="0" w:color="538135"/>
              <w:left w:val="single" w:sz="12" w:space="0" w:color="538135"/>
              <w:bottom w:val="single" w:sz="12" w:space="0" w:color="538135"/>
              <w:right w:val="single" w:sz="12" w:space="0" w:color="538135"/>
            </w:tcBorders>
            <w:shd w:val="clear" w:color="auto" w:fill="00B050"/>
            <w:tcMar>
              <w:top w:w="15" w:type="dxa"/>
              <w:left w:w="104" w:type="dxa"/>
              <w:bottom w:w="0" w:type="dxa"/>
              <w:right w:w="104" w:type="dxa"/>
            </w:tcMar>
            <w:vAlign w:val="center"/>
          </w:tcPr>
          <w:p w14:paraId="76381176" w14:textId="08260295" w:rsidR="00134095" w:rsidRPr="00812658" w:rsidRDefault="00812658" w:rsidP="00812658">
            <w:pPr>
              <w:jc w:val="center"/>
              <w:rPr>
                <w:rFonts w:eastAsia="Arial" w:cs="Arial"/>
                <w:sz w:val="16"/>
                <w:szCs w:val="16"/>
              </w:rPr>
            </w:pPr>
            <w:r w:rsidRPr="00812658">
              <w:rPr>
                <w:rFonts w:eastAsia="Arial" w:cs="Arial"/>
                <w:sz w:val="16"/>
                <w:szCs w:val="16"/>
              </w:rPr>
              <w:t xml:space="preserve">Low </w:t>
            </w:r>
            <w:r w:rsidRPr="00812658">
              <w:rPr>
                <w:sz w:val="16"/>
                <w:szCs w:val="16"/>
              </w:rPr>
              <w:t>High vulnerability</w:t>
            </w:r>
          </w:p>
        </w:tc>
        <w:tc>
          <w:tcPr>
            <w:tcW w:w="1766" w:type="dxa"/>
            <w:tcBorders>
              <w:top w:val="single" w:sz="12" w:space="0" w:color="538135"/>
              <w:left w:val="single" w:sz="12" w:space="0" w:color="538135"/>
              <w:bottom w:val="single" w:sz="12" w:space="0" w:color="538135"/>
              <w:right w:val="single" w:sz="12" w:space="0" w:color="538135"/>
            </w:tcBorders>
            <w:shd w:val="clear" w:color="auto" w:fill="FFFF00"/>
            <w:tcMar>
              <w:top w:w="15" w:type="dxa"/>
              <w:left w:w="104" w:type="dxa"/>
              <w:bottom w:w="0" w:type="dxa"/>
              <w:right w:w="104" w:type="dxa"/>
            </w:tcMar>
            <w:vAlign w:val="center"/>
          </w:tcPr>
          <w:p w14:paraId="6002D0D4" w14:textId="77777777" w:rsidR="00134095" w:rsidRPr="00812658" w:rsidRDefault="00134095" w:rsidP="00FC34E1">
            <w:pPr>
              <w:jc w:val="center"/>
              <w:rPr>
                <w:rFonts w:eastAsia="Arial" w:cs="Arial"/>
                <w:sz w:val="16"/>
                <w:szCs w:val="16"/>
              </w:rPr>
            </w:pPr>
            <w:r w:rsidRPr="00812658">
              <w:rPr>
                <w:rFonts w:eastAsia="Arial" w:cs="Arial"/>
                <w:sz w:val="16"/>
                <w:szCs w:val="16"/>
              </w:rPr>
              <w:t>Vulnerabilidad media</w:t>
            </w:r>
          </w:p>
        </w:tc>
        <w:tc>
          <w:tcPr>
            <w:tcW w:w="1766" w:type="dxa"/>
            <w:tcBorders>
              <w:top w:val="single" w:sz="12" w:space="0" w:color="538135"/>
              <w:left w:val="single" w:sz="12" w:space="0" w:color="538135"/>
              <w:bottom w:val="single" w:sz="12" w:space="0" w:color="538135"/>
              <w:right w:val="single" w:sz="12" w:space="0" w:color="538135"/>
            </w:tcBorders>
            <w:shd w:val="clear" w:color="auto" w:fill="FFC000"/>
            <w:tcMar>
              <w:top w:w="15" w:type="dxa"/>
              <w:left w:w="104" w:type="dxa"/>
              <w:bottom w:w="0" w:type="dxa"/>
              <w:right w:w="104" w:type="dxa"/>
            </w:tcMar>
            <w:vAlign w:val="center"/>
          </w:tcPr>
          <w:p w14:paraId="671243AF" w14:textId="4E15301D" w:rsidR="00134095" w:rsidRPr="00812658" w:rsidRDefault="00812658" w:rsidP="00FC34E1">
            <w:pPr>
              <w:jc w:val="center"/>
              <w:rPr>
                <w:rFonts w:eastAsia="Arial" w:cs="Arial"/>
                <w:sz w:val="16"/>
                <w:szCs w:val="16"/>
              </w:rPr>
            </w:pPr>
            <w:r w:rsidRPr="00812658">
              <w:rPr>
                <w:sz w:val="16"/>
                <w:szCs w:val="16"/>
              </w:rPr>
              <w:t>High vulnerability</w:t>
            </w:r>
          </w:p>
        </w:tc>
        <w:tc>
          <w:tcPr>
            <w:tcW w:w="1766" w:type="dxa"/>
            <w:tcBorders>
              <w:top w:val="single" w:sz="12" w:space="0" w:color="538135"/>
              <w:left w:val="single" w:sz="12" w:space="0" w:color="538135"/>
              <w:bottom w:val="single" w:sz="12" w:space="0" w:color="538135"/>
              <w:right w:val="single" w:sz="12" w:space="0" w:color="538135"/>
            </w:tcBorders>
            <w:shd w:val="clear" w:color="auto" w:fill="FF0000"/>
            <w:tcMar>
              <w:top w:w="15" w:type="dxa"/>
              <w:left w:w="104" w:type="dxa"/>
              <w:bottom w:w="0" w:type="dxa"/>
              <w:right w:w="104" w:type="dxa"/>
            </w:tcMar>
            <w:vAlign w:val="center"/>
          </w:tcPr>
          <w:p w14:paraId="42BB7547" w14:textId="58D70BB7" w:rsidR="00134095" w:rsidRPr="00812658" w:rsidRDefault="00812658" w:rsidP="00FC34E1">
            <w:pPr>
              <w:jc w:val="center"/>
              <w:rPr>
                <w:rFonts w:eastAsia="Arial" w:cs="Arial"/>
                <w:sz w:val="16"/>
                <w:szCs w:val="16"/>
              </w:rPr>
            </w:pPr>
            <w:r w:rsidRPr="00812658">
              <w:rPr>
                <w:sz w:val="16"/>
                <w:szCs w:val="16"/>
              </w:rPr>
              <w:t>Very high vulnerability</w:t>
            </w:r>
          </w:p>
        </w:tc>
      </w:tr>
    </w:tbl>
    <w:p w14:paraId="7DCF67F9" w14:textId="443DEFAB" w:rsidR="00D82616" w:rsidRPr="00C14646" w:rsidRDefault="00C14646" w:rsidP="00C14646">
      <w:pPr>
        <w:pStyle w:val="CETHeading1"/>
        <w:tabs>
          <w:tab w:val="right" w:pos="7100"/>
        </w:tabs>
        <w:jc w:val="both"/>
      </w:pPr>
      <w:r w:rsidRPr="00C14646">
        <w:t xml:space="preserve">4. </w:t>
      </w:r>
      <w:r w:rsidR="00B911EE" w:rsidRPr="00C14646">
        <w:t>Conclusions</w:t>
      </w:r>
    </w:p>
    <w:p w14:paraId="774F58ED" w14:textId="0E18742E" w:rsidR="00F956B6" w:rsidRPr="00D82616" w:rsidRDefault="0038301E" w:rsidP="00B911EE">
      <w:pPr>
        <w:pStyle w:val="CETBodytext"/>
      </w:pPr>
      <w:r w:rsidRPr="0038301E">
        <w:t>The field assessment in the Costa Verde cliffs identified 6 hazard scenarios such as rock fall, earthquakes, construction, environmental contamination, lack of vegetation and soil quality. The hazard in the study area was of medium level in zones Z3 (San Isidro) and Z5 (Barranco), and of high level in zones Z1 (San Miguel), Z2 (Magdalena del Mar), Z4 (Miraflores) and Z6 (Chorrillos). The vulnerability analysis showed that zones Z3 and Z5 have a medium level of vulnerability, and zones Z1, Z2, Z4 and Z6 have a high level of vulnerability. Likewise, the risk estimation in the analytical aspect determined that zones Z1, Z2, Z5 and Z6 presented a medium level, and zones Z3 and Z4 presented a low level. Already, the descriptive aspect showed that Z3, Z4 and Z5 have a medium risk level, while Z1, Z</w:t>
      </w:r>
      <w:r>
        <w:t>2 and Z6 have a high risk level</w:t>
      </w:r>
      <w:r w:rsidR="00D82616" w:rsidRPr="00AA0D1E">
        <w:t>.</w:t>
      </w:r>
    </w:p>
    <w:p w14:paraId="459D05E6" w14:textId="77777777" w:rsidR="00600535" w:rsidRPr="00C14646" w:rsidRDefault="00600535" w:rsidP="00600535">
      <w:pPr>
        <w:pStyle w:val="CETAcknowledgementstitle"/>
        <w:rPr>
          <w:lang w:val="en-US"/>
        </w:rPr>
      </w:pPr>
      <w:r w:rsidRPr="00C14646">
        <w:rPr>
          <w:lang w:val="en-US"/>
        </w:rPr>
        <w:t>Acknowledgments</w:t>
      </w:r>
    </w:p>
    <w:p w14:paraId="4F1F7825" w14:textId="27122D80" w:rsidR="00D82616" w:rsidRDefault="0048329B" w:rsidP="00600535">
      <w:pPr>
        <w:pStyle w:val="CETBodytext"/>
      </w:pPr>
      <w:r w:rsidRPr="0048329B">
        <w:t>The authors would like to thank "Investiga UCV" of the Universidad César Vallejo for financial support for t</w:t>
      </w:r>
      <w:r>
        <w:t>he publication of this research</w:t>
      </w:r>
      <w:r w:rsidR="00D82616">
        <w:t>.</w:t>
      </w:r>
    </w:p>
    <w:p w14:paraId="1A932306" w14:textId="77777777" w:rsidR="00A139B1" w:rsidRPr="00D82616" w:rsidRDefault="00A139B1" w:rsidP="00600535">
      <w:pPr>
        <w:pStyle w:val="CETBodytext"/>
      </w:pPr>
    </w:p>
    <w:p w14:paraId="15470804" w14:textId="13C7798E" w:rsidR="0005578F" w:rsidRPr="00A139B1" w:rsidRDefault="00600535" w:rsidP="00A139B1">
      <w:pPr>
        <w:pStyle w:val="CETReference"/>
      </w:pPr>
      <w:r w:rsidRPr="00B57B36">
        <w:lastRenderedPageBreak/>
        <w:t>Referenc</w:t>
      </w:r>
      <w:bookmarkStart w:id="0" w:name="_GoBack"/>
      <w:bookmarkEnd w:id="0"/>
      <w:r w:rsidRPr="00B57B36">
        <w:t>es</w:t>
      </w:r>
      <w:r w:rsidR="00B911EE" w:rsidRPr="00B911EE">
        <w:rPr>
          <w:sz w:val="24"/>
          <w:szCs w:val="24"/>
          <w:lang w:val="pt-BR"/>
        </w:rPr>
        <w:fldChar w:fldCharType="begin" w:fldLock="1"/>
      </w:r>
      <w:r w:rsidR="00B911EE" w:rsidRPr="00B911EE">
        <w:instrText xml:space="preserve">ADDIN Mendeley Bibliography CSL_BIBLIOGRAPHY </w:instrText>
      </w:r>
      <w:r w:rsidR="00B911EE" w:rsidRPr="00B911EE">
        <w:rPr>
          <w:sz w:val="24"/>
          <w:szCs w:val="24"/>
          <w:lang w:val="pt-BR"/>
        </w:rPr>
        <w:fldChar w:fldCharType="separate"/>
      </w:r>
    </w:p>
    <w:p w14:paraId="4F231076" w14:textId="68ADAA01" w:rsidR="008D71CF" w:rsidRPr="008D71CF" w:rsidRDefault="008D71CF" w:rsidP="0005578F">
      <w:pPr>
        <w:pStyle w:val="NormalWeb"/>
        <w:ind w:left="284" w:hanging="284"/>
        <w:rPr>
          <w:rFonts w:cs="Arial"/>
          <w:color w:val="000000"/>
          <w:sz w:val="18"/>
          <w:szCs w:val="18"/>
          <w:lang w:val="en-US"/>
        </w:rPr>
      </w:pPr>
      <w:r w:rsidRPr="008D71CF">
        <w:rPr>
          <w:rFonts w:cs="Arial"/>
          <w:color w:val="000000"/>
          <w:sz w:val="18"/>
          <w:szCs w:val="18"/>
          <w:lang w:val="en-US"/>
        </w:rPr>
        <w:t>Chiara B., Citro L., Gagliardi R., Sacile R., Tomasoni A., 2010, Accident ocurrance evaluation in the pipeline transport of dangerous goods, Chemical engineering transactions, 19, 1-6.</w:t>
      </w:r>
    </w:p>
    <w:p w14:paraId="7BCAB40E" w14:textId="77777777" w:rsidR="008D71CF" w:rsidRPr="008D71CF" w:rsidRDefault="008D71CF" w:rsidP="008D71CF">
      <w:pPr>
        <w:pStyle w:val="NormalWeb"/>
        <w:ind w:left="284" w:hanging="284"/>
        <w:rPr>
          <w:sz w:val="18"/>
          <w:szCs w:val="18"/>
          <w:lang w:val="en-US"/>
        </w:rPr>
      </w:pPr>
      <w:r w:rsidRPr="008D71CF">
        <w:rPr>
          <w:sz w:val="18"/>
          <w:szCs w:val="18"/>
          <w:lang w:val="en-US"/>
        </w:rPr>
        <w:t>Choi E., Ha J., Hahm, D., Kim M., 2021, A review of multihazard risk assessment: Progress, potential, and challenges in the application to nuclear power plants, International Journal of Disaster Risk Reduction, 53, 1 - 13.</w:t>
      </w:r>
    </w:p>
    <w:p w14:paraId="2A6A87DB" w14:textId="417E5656" w:rsidR="008D71CF" w:rsidRPr="008D71CF" w:rsidRDefault="008D71CF" w:rsidP="008D71CF">
      <w:pPr>
        <w:pStyle w:val="NormalWeb"/>
        <w:ind w:left="284" w:hanging="284"/>
        <w:rPr>
          <w:sz w:val="18"/>
          <w:szCs w:val="18"/>
          <w:lang w:val="es-PE"/>
        </w:rPr>
      </w:pPr>
      <w:r w:rsidRPr="008D71CF">
        <w:rPr>
          <w:sz w:val="18"/>
          <w:szCs w:val="18"/>
          <w:lang w:val="es-PE"/>
        </w:rPr>
        <w:t>COEN, 2019, Reporte de peligro inminente por derrumbe en los acantilados de la Costa Verde -  Lima. Centro de operaciones de e</w:t>
      </w:r>
      <w:r w:rsidR="00A139B1">
        <w:rPr>
          <w:sz w:val="18"/>
          <w:szCs w:val="18"/>
          <w:lang w:val="es-PE"/>
        </w:rPr>
        <w:t>mergencia nacional &lt;</w:t>
      </w:r>
      <w:r w:rsidRPr="008D71CF">
        <w:rPr>
          <w:sz w:val="18"/>
          <w:szCs w:val="18"/>
          <w:lang w:val="es-PE"/>
        </w:rPr>
        <w:t>indeci.gob.pe/wp-content/uploads/2019/11/REPORTE-DE-PELIGRO-INMINENTE-N%C2%BA-008-8NOV2019-PELIGRO-INMINENTE-POR-DERRUMBE-EN-LOS-ACANTILADOS-DE-LA-COSTA-VERDE-LIMA-08.pdf&gt; accessed 20.05.2021.</w:t>
      </w:r>
    </w:p>
    <w:p w14:paraId="53EA9F52" w14:textId="77777777" w:rsidR="008D71CF" w:rsidRPr="008D71CF" w:rsidRDefault="008D71CF" w:rsidP="008D71CF">
      <w:pPr>
        <w:pStyle w:val="NormalWeb"/>
        <w:ind w:left="284" w:hanging="284"/>
        <w:rPr>
          <w:sz w:val="18"/>
          <w:szCs w:val="18"/>
          <w:lang w:val="en-US"/>
        </w:rPr>
      </w:pPr>
      <w:r w:rsidRPr="008D71CF">
        <w:rPr>
          <w:sz w:val="18"/>
          <w:szCs w:val="18"/>
          <w:lang w:val="en-US"/>
        </w:rPr>
        <w:t>Cozzani V, 2010, Towards the inclusion of external factors in quantitative risk assessment: the analysis of Natech accident scenarios, Chemical engineering transactions, 19, 1-6.</w:t>
      </w:r>
    </w:p>
    <w:p w14:paraId="6AEEE08E" w14:textId="2D63A3FE" w:rsidR="008D71CF" w:rsidRPr="008D71CF" w:rsidRDefault="008D71CF" w:rsidP="008D71CF">
      <w:pPr>
        <w:pStyle w:val="NormalWeb"/>
        <w:ind w:left="284" w:hanging="284"/>
        <w:rPr>
          <w:sz w:val="18"/>
          <w:szCs w:val="18"/>
          <w:lang w:val="es-PE"/>
        </w:rPr>
      </w:pPr>
      <w:r w:rsidRPr="008D71CF">
        <w:rPr>
          <w:sz w:val="18"/>
          <w:szCs w:val="18"/>
          <w:lang w:val="en-US"/>
        </w:rPr>
        <w:t xml:space="preserve">Garcia, J., 2020, Risk Perception and Fear of Urban Hazard. </w:t>
      </w:r>
      <w:r w:rsidRPr="008D71CF">
        <w:rPr>
          <w:sz w:val="18"/>
          <w:szCs w:val="18"/>
          <w:lang w:val="es-PE"/>
        </w:rPr>
        <w:t xml:space="preserve">Instituto de Geografía, 1, 2448-7279. </w:t>
      </w:r>
    </w:p>
    <w:p w14:paraId="6929AAA2" w14:textId="043E6684" w:rsidR="008D71CF" w:rsidRPr="008D71CF" w:rsidRDefault="008D71CF" w:rsidP="008D71CF">
      <w:pPr>
        <w:pStyle w:val="NormalWeb"/>
        <w:ind w:left="284" w:hanging="284"/>
        <w:rPr>
          <w:sz w:val="18"/>
          <w:szCs w:val="18"/>
          <w:lang w:val="es-PE"/>
        </w:rPr>
      </w:pPr>
      <w:r w:rsidRPr="008D71CF">
        <w:rPr>
          <w:sz w:val="18"/>
          <w:szCs w:val="18"/>
          <w:lang w:val="es-PE"/>
        </w:rPr>
        <w:t>IGP, 2019, Plan estratégico institucional. Insti</w:t>
      </w:r>
      <w:r w:rsidR="00A139B1">
        <w:rPr>
          <w:sz w:val="18"/>
          <w:szCs w:val="18"/>
          <w:lang w:val="es-PE"/>
        </w:rPr>
        <w:t>tuto Geofísico del Perú&lt;</w:t>
      </w:r>
      <w:r w:rsidRPr="008D71CF">
        <w:rPr>
          <w:sz w:val="18"/>
          <w:szCs w:val="18"/>
          <w:lang w:val="es-PE"/>
        </w:rPr>
        <w:t>cdn.www.gob.pe/uploads/document/file/489868/IGP_PEI_2020-2024.pdf&gt; accessed 10.05.2021.</w:t>
      </w:r>
    </w:p>
    <w:p w14:paraId="7E83FD36" w14:textId="0705A854" w:rsidR="008D71CF" w:rsidRPr="008D71CF" w:rsidRDefault="008D71CF" w:rsidP="008D71CF">
      <w:pPr>
        <w:pStyle w:val="NormalWeb"/>
        <w:ind w:left="284" w:hanging="284"/>
        <w:rPr>
          <w:sz w:val="18"/>
          <w:szCs w:val="18"/>
          <w:lang w:val="es-PE"/>
        </w:rPr>
      </w:pPr>
      <w:r w:rsidRPr="008D71CF">
        <w:rPr>
          <w:sz w:val="18"/>
          <w:szCs w:val="18"/>
          <w:lang w:val="es-PE"/>
        </w:rPr>
        <w:t>INDECI, 2006, PERÚ: Manual Básico para la Estimación del Riesgo. Instituto Nac</w:t>
      </w:r>
      <w:r w:rsidR="00A139B1">
        <w:rPr>
          <w:sz w:val="18"/>
          <w:szCs w:val="18"/>
          <w:lang w:val="es-PE"/>
        </w:rPr>
        <w:t>ional de Defensa Civil &lt;</w:t>
      </w:r>
      <w:r w:rsidRPr="008D71CF">
        <w:rPr>
          <w:sz w:val="18"/>
          <w:szCs w:val="18"/>
          <w:lang w:val="es-PE"/>
        </w:rPr>
        <w:t>bvpad.indeci.gob.pe/doc/pdf/esp/doc319/doc319_contenido.pdf&gt;accessed 04.03.2021.</w:t>
      </w:r>
    </w:p>
    <w:p w14:paraId="1E2BA425" w14:textId="4FF05143" w:rsidR="008D71CF" w:rsidRPr="008D71CF" w:rsidRDefault="008D71CF" w:rsidP="00A139B1">
      <w:pPr>
        <w:pStyle w:val="NormalWeb"/>
        <w:ind w:left="284" w:hanging="284"/>
        <w:rPr>
          <w:sz w:val="18"/>
          <w:szCs w:val="18"/>
          <w:lang w:val="en-US"/>
        </w:rPr>
      </w:pPr>
      <w:r w:rsidRPr="00A139B1">
        <w:rPr>
          <w:sz w:val="18"/>
          <w:szCs w:val="18"/>
          <w:lang w:val="en-US"/>
        </w:rPr>
        <w:t xml:space="preserve">IPCC, 2018, Intergovernmental Panel On Climate. </w:t>
      </w:r>
      <w:r w:rsidRPr="008D71CF">
        <w:rPr>
          <w:sz w:val="18"/>
          <w:szCs w:val="18"/>
          <w:lang w:val="en-US"/>
        </w:rPr>
        <w:t>Climate Change Adaptation. A Special Report of Working Groups I and II of the Intergovernmental Panel on Cli</w:t>
      </w:r>
      <w:r w:rsidR="00A139B1">
        <w:rPr>
          <w:sz w:val="18"/>
          <w:szCs w:val="18"/>
          <w:lang w:val="en-US"/>
        </w:rPr>
        <w:t>mate Change, Geneva Switzerland &lt;</w:t>
      </w:r>
      <w:r w:rsidRPr="008D71CF">
        <w:rPr>
          <w:sz w:val="18"/>
          <w:szCs w:val="18"/>
          <w:lang w:val="en-US"/>
        </w:rPr>
        <w:t>ipcc.ch/&gt;accesed 30.07.2021.</w:t>
      </w:r>
    </w:p>
    <w:p w14:paraId="0B44D8D7" w14:textId="77777777" w:rsidR="008D71CF" w:rsidRPr="008D71CF" w:rsidRDefault="008D71CF" w:rsidP="008D71CF">
      <w:pPr>
        <w:pStyle w:val="NormalWeb"/>
        <w:ind w:left="284" w:hanging="284"/>
        <w:rPr>
          <w:sz w:val="18"/>
          <w:szCs w:val="18"/>
          <w:lang w:val="en-US"/>
        </w:rPr>
      </w:pPr>
      <w:r w:rsidRPr="008D71CF">
        <w:rPr>
          <w:sz w:val="18"/>
          <w:szCs w:val="18"/>
          <w:lang w:val="en-US"/>
        </w:rPr>
        <w:t>Irham M., Rusydi H., Haridhi H,.Setiawan I., Ilhamsyah Y., Deli, A., Rusdi M., Mardiah, A,  2021, Coastal vulnerability of the west coast of aceh besar: A coastal morphology assessment, Journal of Marine Science and Engineering, 9, 1-15.</w:t>
      </w:r>
    </w:p>
    <w:p w14:paraId="6B3F68D3" w14:textId="7C5A59A4" w:rsidR="008D71CF" w:rsidRPr="008D71CF" w:rsidRDefault="008D71CF" w:rsidP="008D71CF">
      <w:pPr>
        <w:pStyle w:val="NormalWeb"/>
        <w:ind w:left="284" w:hanging="284"/>
        <w:rPr>
          <w:sz w:val="18"/>
          <w:szCs w:val="18"/>
          <w:lang w:val="es-PE"/>
        </w:rPr>
      </w:pPr>
      <w:r w:rsidRPr="008D71CF">
        <w:rPr>
          <w:sz w:val="18"/>
          <w:szCs w:val="18"/>
          <w:lang w:val="es-PE"/>
        </w:rPr>
        <w:t>MTC, 2016, Operación e implementación de mantenimiento de sistema de mensajería de alerta temprana de emer</w:t>
      </w:r>
      <w:r w:rsidR="00A139B1">
        <w:rPr>
          <w:sz w:val="18"/>
          <w:szCs w:val="18"/>
          <w:lang w:val="es-PE"/>
        </w:rPr>
        <w:t>gencias &lt;</w:t>
      </w:r>
      <w:r w:rsidRPr="008D71CF">
        <w:rPr>
          <w:sz w:val="18"/>
          <w:szCs w:val="18"/>
          <w:lang w:val="es-PE"/>
        </w:rPr>
        <w:t>extwprlegs1.fao.org/docs/pdf/per160730.pdf&gt;accessed 09.09.2021.</w:t>
      </w:r>
    </w:p>
    <w:p w14:paraId="7AA553BF" w14:textId="19BDB6C6" w:rsidR="008D71CF" w:rsidRPr="008D71CF" w:rsidRDefault="00A139B1" w:rsidP="008D71CF">
      <w:pPr>
        <w:pStyle w:val="NormalWeb"/>
        <w:ind w:left="284" w:hanging="284"/>
        <w:rPr>
          <w:sz w:val="18"/>
          <w:szCs w:val="18"/>
          <w:lang w:val="en-US"/>
        </w:rPr>
      </w:pPr>
      <w:r>
        <w:rPr>
          <w:sz w:val="18"/>
          <w:szCs w:val="18"/>
          <w:lang w:val="en-US"/>
        </w:rPr>
        <w:t xml:space="preserve">Nguyen T., </w:t>
      </w:r>
      <w:r w:rsidR="008D71CF" w:rsidRPr="008D71CF">
        <w:rPr>
          <w:sz w:val="18"/>
          <w:szCs w:val="18"/>
          <w:lang w:val="en-US"/>
        </w:rPr>
        <w:t>Bonetti J.,Rogers K., Woodroffe C.,2016,   Indicator-based assessment of climate-change impacts on coasts: A review of concepts, methodological approaches and vulnerability indices, Ocean and Coastal Management, 123, 18 - 43.</w:t>
      </w:r>
    </w:p>
    <w:p w14:paraId="338AB236" w14:textId="77777777" w:rsidR="008D71CF" w:rsidRPr="008D71CF" w:rsidRDefault="008D71CF" w:rsidP="008D71CF">
      <w:pPr>
        <w:pStyle w:val="NormalWeb"/>
        <w:ind w:left="284" w:hanging="284"/>
        <w:rPr>
          <w:sz w:val="18"/>
          <w:szCs w:val="18"/>
          <w:lang w:val="en-US"/>
        </w:rPr>
      </w:pPr>
      <w:r w:rsidRPr="008D71CF">
        <w:rPr>
          <w:sz w:val="18"/>
          <w:szCs w:val="18"/>
          <w:lang w:val="en-US"/>
        </w:rPr>
        <w:t>Omena, B., Goldenfum, J., Michel, G., Albuquerque, R., 2021, Terminology of natural hazards and disasters: A review and the case of Brazil. International Journal of Disaster Risk, 52, 1- 22.</w:t>
      </w:r>
    </w:p>
    <w:p w14:paraId="6AE383C7" w14:textId="77777777" w:rsidR="008D71CF" w:rsidRPr="008D71CF" w:rsidRDefault="008D71CF" w:rsidP="008D71CF">
      <w:pPr>
        <w:pStyle w:val="NormalWeb"/>
        <w:ind w:left="284" w:hanging="284"/>
        <w:rPr>
          <w:sz w:val="18"/>
          <w:szCs w:val="18"/>
          <w:lang w:val="en-US"/>
        </w:rPr>
      </w:pPr>
      <w:r w:rsidRPr="008D71CF">
        <w:rPr>
          <w:sz w:val="18"/>
          <w:szCs w:val="18"/>
          <w:lang w:val="en-US"/>
        </w:rPr>
        <w:t>Rusk J.,Mahajan A., Tiwari P., Chen T., Shneiderman S., Turin M., Seto K .,2021, Multi-hazard susceptibility and exposure assessment of the Hindu Kush Himalaya, Science of The Total Environment. 804, 1- 14.</w:t>
      </w:r>
    </w:p>
    <w:p w14:paraId="3543520B" w14:textId="3A1F23A5" w:rsidR="008D71CF" w:rsidRPr="008D71CF" w:rsidRDefault="008D71CF" w:rsidP="008D71CF">
      <w:pPr>
        <w:pStyle w:val="NormalWeb"/>
        <w:ind w:left="284" w:hanging="284"/>
        <w:rPr>
          <w:sz w:val="18"/>
          <w:szCs w:val="18"/>
          <w:lang w:val="en-US"/>
        </w:rPr>
      </w:pPr>
      <w:r w:rsidRPr="008D71CF">
        <w:rPr>
          <w:sz w:val="18"/>
          <w:szCs w:val="18"/>
          <w:lang w:val="en-US"/>
        </w:rPr>
        <w:t>Scavi</w:t>
      </w:r>
      <w:r w:rsidR="00A139B1">
        <w:rPr>
          <w:sz w:val="18"/>
          <w:szCs w:val="18"/>
          <w:lang w:val="en-US"/>
        </w:rPr>
        <w:t xml:space="preserve">a C., Barbero M., Castelli  M., </w:t>
      </w:r>
      <w:r w:rsidRPr="008D71CF">
        <w:rPr>
          <w:sz w:val="18"/>
          <w:szCs w:val="18"/>
          <w:lang w:val="en-US"/>
        </w:rPr>
        <w:t>Peila D., Torsello G., Vallero G., 2020, Evaluating rockfall risk: Some critical aspects, Geosciences (Switzerland), 10, 1-29.</w:t>
      </w:r>
    </w:p>
    <w:p w14:paraId="72AF476F" w14:textId="639568C6" w:rsidR="008D71CF" w:rsidRPr="008D71CF" w:rsidRDefault="008D71CF" w:rsidP="008D71CF">
      <w:pPr>
        <w:pStyle w:val="NormalWeb"/>
        <w:ind w:left="284" w:hanging="284"/>
        <w:rPr>
          <w:sz w:val="18"/>
          <w:szCs w:val="18"/>
          <w:lang w:val="es-PE"/>
        </w:rPr>
      </w:pPr>
      <w:r w:rsidRPr="008D71CF">
        <w:rPr>
          <w:sz w:val="18"/>
          <w:szCs w:val="18"/>
          <w:lang w:val="es-PE"/>
        </w:rPr>
        <w:t>SIGRID, 2019, Plan de prevención y reducción del riesgo de desastres de Lima Metropolitana 2019 – 2022. Sistema de Información para la Gestión del</w:t>
      </w:r>
      <w:r w:rsidR="002A745D">
        <w:rPr>
          <w:sz w:val="18"/>
          <w:szCs w:val="18"/>
          <w:lang w:val="es-PE"/>
        </w:rPr>
        <w:t xml:space="preserve"> Riesgo de Desastres&lt;</w:t>
      </w:r>
      <w:r w:rsidRPr="008D71CF">
        <w:rPr>
          <w:sz w:val="18"/>
          <w:szCs w:val="18"/>
          <w:lang w:val="es-PE"/>
        </w:rPr>
        <w:t>sigrid.cenepred.gob.pe/sigridv3/storage/biblioteca//7679_plan-de-prevencion-y-reduccion-del-riesgo-de-desastres-de-lima-metropolitana-2019-2022.pdf&gt;accessed 01.04.2021.</w:t>
      </w:r>
    </w:p>
    <w:p w14:paraId="49546C8D" w14:textId="08615D16" w:rsidR="008D71CF" w:rsidRPr="008D71CF" w:rsidRDefault="00A139B1" w:rsidP="008D71CF">
      <w:pPr>
        <w:pStyle w:val="NormalWeb"/>
        <w:ind w:left="284" w:hanging="284"/>
        <w:rPr>
          <w:sz w:val="18"/>
          <w:szCs w:val="18"/>
          <w:lang w:val="en-US"/>
        </w:rPr>
      </w:pPr>
      <w:r>
        <w:rPr>
          <w:sz w:val="18"/>
          <w:szCs w:val="18"/>
          <w:lang w:val="en-US"/>
        </w:rPr>
        <w:t xml:space="preserve">Thiery Y., </w:t>
      </w:r>
      <w:r w:rsidR="008D71CF" w:rsidRPr="008D71CF">
        <w:rPr>
          <w:sz w:val="18"/>
          <w:szCs w:val="18"/>
          <w:lang w:val="en-US"/>
        </w:rPr>
        <w:t>Terrier M., Colas  B., Fressard  M., Maquiare  O.,Grandjean G., Gourdier S.  ,2020, Improvement of landslide hazard assessments for regulatory zoning in France: STATE–OF–THE-ART perspectives and considerations, International Journal of Disaster Risk Reduction, 47, 1- 25.</w:t>
      </w:r>
    </w:p>
    <w:p w14:paraId="46D5478C" w14:textId="51D0AA61" w:rsidR="008D71CF" w:rsidRPr="008D71CF" w:rsidRDefault="008D71CF" w:rsidP="008D71CF">
      <w:pPr>
        <w:pStyle w:val="NormalWeb"/>
        <w:ind w:left="284" w:hanging="284"/>
        <w:rPr>
          <w:sz w:val="18"/>
          <w:szCs w:val="18"/>
          <w:lang w:val="es-PE"/>
        </w:rPr>
      </w:pPr>
      <w:r w:rsidRPr="008D71CF">
        <w:rPr>
          <w:sz w:val="18"/>
          <w:szCs w:val="18"/>
          <w:lang w:val="es-PE"/>
        </w:rPr>
        <w:t xml:space="preserve">Thomansz O., Eriz M., 2018, Medición de la vulnerabilidad socioeconómica: desde el indicador de NBI a los índices de vulnerabilidad al riesgo climático, Repositorio Digital Institucional de la Universidad de Buenos Aires, </w:t>
      </w:r>
      <w:r w:rsidR="00A139B1" w:rsidRPr="00A139B1">
        <w:rPr>
          <w:sz w:val="18"/>
          <w:szCs w:val="18"/>
          <w:lang w:val="es-PE"/>
        </w:rPr>
        <w:t>&lt;</w:t>
      </w:r>
      <w:r w:rsidRPr="008D71CF">
        <w:rPr>
          <w:sz w:val="18"/>
          <w:szCs w:val="18"/>
          <w:lang w:val="es-PE"/>
        </w:rPr>
        <w:t>bibliotecadigital.econ.uba.ar/download/libros/Thomasz-Eriz_Medicion-de-la-vulnerabilidad-socioeconomica-2018.pdf&gt;</w:t>
      </w:r>
      <w:r w:rsidR="00A139B1">
        <w:rPr>
          <w:sz w:val="18"/>
          <w:szCs w:val="18"/>
          <w:lang w:val="es-PE"/>
        </w:rPr>
        <w:t xml:space="preserve"> </w:t>
      </w:r>
      <w:r w:rsidRPr="008D71CF">
        <w:rPr>
          <w:sz w:val="18"/>
          <w:szCs w:val="18"/>
          <w:lang w:val="es-PE"/>
        </w:rPr>
        <w:t>accessed 08.08.2021.</w:t>
      </w:r>
    </w:p>
    <w:p w14:paraId="7F269607" w14:textId="77777777" w:rsidR="008D71CF" w:rsidRPr="008D71CF" w:rsidRDefault="008D71CF" w:rsidP="008D71CF">
      <w:pPr>
        <w:pStyle w:val="NormalWeb"/>
        <w:ind w:left="284" w:hanging="284"/>
        <w:rPr>
          <w:sz w:val="18"/>
          <w:szCs w:val="18"/>
          <w:lang w:val="en-US"/>
        </w:rPr>
      </w:pPr>
      <w:r w:rsidRPr="008D71CF">
        <w:rPr>
          <w:sz w:val="18"/>
          <w:szCs w:val="18"/>
          <w:lang w:val="en-US"/>
        </w:rPr>
        <w:t>Tragaki, A., Gallousi, C., Karymbalis, E., 2018, Coastal Hazard Vulnerability Assessment Based on Geomorphic, Oceanographic and Demographic Parameters: The Case of the Peloponnese (Southern Greece), Land,7, 1 - 16.</w:t>
      </w:r>
    </w:p>
    <w:p w14:paraId="06569863" w14:textId="19067E0A" w:rsidR="008D71CF" w:rsidRPr="008D71CF" w:rsidRDefault="008D71CF" w:rsidP="008D71CF">
      <w:pPr>
        <w:pStyle w:val="NormalWeb"/>
        <w:ind w:left="284" w:hanging="284"/>
        <w:rPr>
          <w:sz w:val="18"/>
          <w:szCs w:val="18"/>
          <w:lang w:val="en-US"/>
        </w:rPr>
      </w:pPr>
      <w:r w:rsidRPr="008D71CF">
        <w:rPr>
          <w:sz w:val="18"/>
          <w:szCs w:val="18"/>
          <w:lang w:val="en-US"/>
        </w:rPr>
        <w:t>UNDRR, 2017, United Nations Disaster Risk Reduction -</w:t>
      </w:r>
      <w:r w:rsidR="002A745D">
        <w:rPr>
          <w:sz w:val="18"/>
          <w:szCs w:val="18"/>
          <w:lang w:val="en-US"/>
        </w:rPr>
        <w:t>Terminology—UNDRR &lt;</w:t>
      </w:r>
      <w:r w:rsidRPr="008D71CF">
        <w:rPr>
          <w:sz w:val="18"/>
          <w:szCs w:val="18"/>
          <w:lang w:val="en-US"/>
        </w:rPr>
        <w:t>unbonn.org/UNISDR#:~:text=(%20UNDRR%20),coordination%20o</w:t>
      </w:r>
      <w:r w:rsidR="00A139B1">
        <w:rPr>
          <w:sz w:val="18"/>
          <w:szCs w:val="18"/>
          <w:lang w:val="en-US"/>
        </w:rPr>
        <w:t>f%20disaster%20risk%20reduction</w:t>
      </w:r>
      <w:r w:rsidRPr="008D71CF">
        <w:rPr>
          <w:sz w:val="18"/>
          <w:szCs w:val="18"/>
          <w:lang w:val="en-US"/>
        </w:rPr>
        <w:t>&gt;accessed 09.09.2021.</w:t>
      </w:r>
    </w:p>
    <w:p w14:paraId="4320BB99" w14:textId="77777777" w:rsidR="008D71CF" w:rsidRPr="008D71CF" w:rsidRDefault="008D71CF" w:rsidP="008D71CF">
      <w:pPr>
        <w:pStyle w:val="NormalWeb"/>
        <w:ind w:left="284" w:hanging="284"/>
        <w:rPr>
          <w:sz w:val="18"/>
          <w:szCs w:val="18"/>
          <w:lang w:val="en-US"/>
        </w:rPr>
      </w:pPr>
      <w:r w:rsidRPr="008D71CF">
        <w:rPr>
          <w:sz w:val="18"/>
          <w:szCs w:val="18"/>
          <w:lang w:val="en-US"/>
        </w:rPr>
        <w:t>Zhao  J., Zhang  Q., Zhu  X., Shen Z., Yu  H</w:t>
      </w:r>
      <w:r w:rsidRPr="008D71CF">
        <w:rPr>
          <w:sz w:val="18"/>
          <w:szCs w:val="18"/>
          <w:lang w:val="en-US"/>
        </w:rPr>
        <w:tab/>
        <w:t xml:space="preserve">., 2020, Drought risk assessment in china: Evaluation framework and influencing factors, Geography and Sustainability, 1,1-9. </w:t>
      </w:r>
    </w:p>
    <w:p w14:paraId="67FC078D" w14:textId="59C9A7CF" w:rsidR="008D71CF" w:rsidRPr="008D71CF" w:rsidRDefault="008D71CF" w:rsidP="008D71CF">
      <w:pPr>
        <w:pStyle w:val="NormalWeb"/>
        <w:ind w:left="284" w:hanging="284"/>
        <w:rPr>
          <w:sz w:val="18"/>
          <w:szCs w:val="18"/>
          <w:lang w:val="en-US"/>
        </w:rPr>
      </w:pPr>
      <w:r w:rsidRPr="008D71CF">
        <w:rPr>
          <w:sz w:val="18"/>
          <w:szCs w:val="18"/>
          <w:lang w:val="en-US"/>
        </w:rPr>
        <w:t>Xu S., Zhang M., Yu M., Liu J., Wang Y.,Ma X., Chen J., 2021,  Multiclassification Method of Landslide Risk Assessment in Consideration of Disaster Levels: A Case Study of Xianyang City, Shaanxi Province, ISPRS International Journal of Geo-Information, 10,  1-20.</w:t>
      </w:r>
    </w:p>
    <w:p w14:paraId="3657C47F" w14:textId="610B353A" w:rsidR="00B911EE" w:rsidRPr="00B911EE" w:rsidRDefault="0005578F" w:rsidP="0005578F">
      <w:pPr>
        <w:pStyle w:val="CETReferencetext"/>
        <w:rPr>
          <w:lang w:val="en-US"/>
        </w:rPr>
      </w:pPr>
      <w:r w:rsidRPr="00B911EE">
        <w:t xml:space="preserve"> </w:t>
      </w:r>
      <w:r w:rsidR="00B911EE" w:rsidRPr="00B911EE">
        <w:fldChar w:fldCharType="end"/>
      </w:r>
    </w:p>
    <w:p w14:paraId="5E3140FA" w14:textId="77777777" w:rsidR="004628D2" w:rsidRPr="005D64B3" w:rsidRDefault="004628D2" w:rsidP="005D64B3">
      <w:pPr>
        <w:pStyle w:val="CETBodytext"/>
        <w:jc w:val="center"/>
      </w:pPr>
    </w:p>
    <w:sectPr w:rsidR="004628D2" w:rsidRPr="005D64B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FD49" w14:textId="77777777" w:rsidR="002E3641" w:rsidRDefault="002E3641" w:rsidP="004F5E36">
      <w:r>
        <w:separator/>
      </w:r>
    </w:p>
  </w:endnote>
  <w:endnote w:type="continuationSeparator" w:id="0">
    <w:p w14:paraId="4F4F4D16" w14:textId="77777777" w:rsidR="002E3641" w:rsidRDefault="002E364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08692" w14:textId="77777777" w:rsidR="002E3641" w:rsidRDefault="002E3641" w:rsidP="004F5E36">
      <w:r>
        <w:separator/>
      </w:r>
    </w:p>
  </w:footnote>
  <w:footnote w:type="continuationSeparator" w:id="0">
    <w:p w14:paraId="0A2D9BF6" w14:textId="77777777" w:rsidR="002E3641" w:rsidRDefault="002E364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03097F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284"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471EEE"/>
    <w:multiLevelType w:val="multilevel"/>
    <w:tmpl w:val="A31CDD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6C"/>
    <w:rsid w:val="0000090B"/>
    <w:rsid w:val="000027C0"/>
    <w:rsid w:val="00005040"/>
    <w:rsid w:val="000052FB"/>
    <w:rsid w:val="000117CB"/>
    <w:rsid w:val="00030070"/>
    <w:rsid w:val="0003148D"/>
    <w:rsid w:val="00051566"/>
    <w:rsid w:val="0005487D"/>
    <w:rsid w:val="0005578F"/>
    <w:rsid w:val="00062A9A"/>
    <w:rsid w:val="00065058"/>
    <w:rsid w:val="0007746B"/>
    <w:rsid w:val="00077999"/>
    <w:rsid w:val="00086C39"/>
    <w:rsid w:val="00086E6C"/>
    <w:rsid w:val="000A03B2"/>
    <w:rsid w:val="000A53A2"/>
    <w:rsid w:val="000D0268"/>
    <w:rsid w:val="000D34BE"/>
    <w:rsid w:val="000E102F"/>
    <w:rsid w:val="000E36F1"/>
    <w:rsid w:val="000E3A73"/>
    <w:rsid w:val="000E414A"/>
    <w:rsid w:val="000E4600"/>
    <w:rsid w:val="000F093C"/>
    <w:rsid w:val="000F787B"/>
    <w:rsid w:val="0011455D"/>
    <w:rsid w:val="0012091F"/>
    <w:rsid w:val="00126BC2"/>
    <w:rsid w:val="001308B6"/>
    <w:rsid w:val="0013121F"/>
    <w:rsid w:val="00131FE6"/>
    <w:rsid w:val="0013263F"/>
    <w:rsid w:val="00134095"/>
    <w:rsid w:val="00134DE4"/>
    <w:rsid w:val="0014034D"/>
    <w:rsid w:val="00150E59"/>
    <w:rsid w:val="00152DE3"/>
    <w:rsid w:val="00156B3F"/>
    <w:rsid w:val="00164CF9"/>
    <w:rsid w:val="001667A6"/>
    <w:rsid w:val="00184AD6"/>
    <w:rsid w:val="001A4AF7"/>
    <w:rsid w:val="001B0349"/>
    <w:rsid w:val="001B2860"/>
    <w:rsid w:val="001B65C1"/>
    <w:rsid w:val="001C684B"/>
    <w:rsid w:val="001C74E4"/>
    <w:rsid w:val="001D53FC"/>
    <w:rsid w:val="001E5B19"/>
    <w:rsid w:val="001F2E24"/>
    <w:rsid w:val="001F30CD"/>
    <w:rsid w:val="001F42A5"/>
    <w:rsid w:val="001F54FE"/>
    <w:rsid w:val="001F67BF"/>
    <w:rsid w:val="001F7B9D"/>
    <w:rsid w:val="002057BA"/>
    <w:rsid w:val="00210A1D"/>
    <w:rsid w:val="00212627"/>
    <w:rsid w:val="002224B4"/>
    <w:rsid w:val="002447EF"/>
    <w:rsid w:val="00251550"/>
    <w:rsid w:val="0025375A"/>
    <w:rsid w:val="00263B05"/>
    <w:rsid w:val="00266A4B"/>
    <w:rsid w:val="0027221A"/>
    <w:rsid w:val="00275B61"/>
    <w:rsid w:val="00282656"/>
    <w:rsid w:val="00296B83"/>
    <w:rsid w:val="002A745D"/>
    <w:rsid w:val="002B2956"/>
    <w:rsid w:val="002B78CE"/>
    <w:rsid w:val="002C2FB6"/>
    <w:rsid w:val="002E3641"/>
    <w:rsid w:val="002F227D"/>
    <w:rsid w:val="002F3309"/>
    <w:rsid w:val="003009B7"/>
    <w:rsid w:val="00300E56"/>
    <w:rsid w:val="0030469C"/>
    <w:rsid w:val="00305BB2"/>
    <w:rsid w:val="00321CA6"/>
    <w:rsid w:val="00323763"/>
    <w:rsid w:val="003253BA"/>
    <w:rsid w:val="00334C09"/>
    <w:rsid w:val="003723D4"/>
    <w:rsid w:val="00381905"/>
    <w:rsid w:val="0038301E"/>
    <w:rsid w:val="00384CC8"/>
    <w:rsid w:val="003871FD"/>
    <w:rsid w:val="003A1E30"/>
    <w:rsid w:val="003A6561"/>
    <w:rsid w:val="003A7D1C"/>
    <w:rsid w:val="003B304B"/>
    <w:rsid w:val="003B3146"/>
    <w:rsid w:val="003F015E"/>
    <w:rsid w:val="003F1137"/>
    <w:rsid w:val="003F5544"/>
    <w:rsid w:val="00400414"/>
    <w:rsid w:val="00403780"/>
    <w:rsid w:val="00412957"/>
    <w:rsid w:val="0041446B"/>
    <w:rsid w:val="004268B5"/>
    <w:rsid w:val="0044329C"/>
    <w:rsid w:val="00457780"/>
    <w:rsid w:val="004577FE"/>
    <w:rsid w:val="00457B9C"/>
    <w:rsid w:val="0046164A"/>
    <w:rsid w:val="004628D2"/>
    <w:rsid w:val="00462DCD"/>
    <w:rsid w:val="004648AD"/>
    <w:rsid w:val="004703A9"/>
    <w:rsid w:val="00475927"/>
    <w:rsid w:val="004760DE"/>
    <w:rsid w:val="004763D7"/>
    <w:rsid w:val="0048329B"/>
    <w:rsid w:val="004A004E"/>
    <w:rsid w:val="004A24CF"/>
    <w:rsid w:val="004B38F8"/>
    <w:rsid w:val="004C0883"/>
    <w:rsid w:val="004C3D1D"/>
    <w:rsid w:val="004C7913"/>
    <w:rsid w:val="004E4DD6"/>
    <w:rsid w:val="004F558C"/>
    <w:rsid w:val="004F5E36"/>
    <w:rsid w:val="00500A1A"/>
    <w:rsid w:val="00507A22"/>
    <w:rsid w:val="00507B47"/>
    <w:rsid w:val="00507BEF"/>
    <w:rsid w:val="00507CC9"/>
    <w:rsid w:val="005119A5"/>
    <w:rsid w:val="00525ADF"/>
    <w:rsid w:val="005278B7"/>
    <w:rsid w:val="00532016"/>
    <w:rsid w:val="005346C8"/>
    <w:rsid w:val="00543E7D"/>
    <w:rsid w:val="00547A68"/>
    <w:rsid w:val="005531C9"/>
    <w:rsid w:val="00570C43"/>
    <w:rsid w:val="00582C63"/>
    <w:rsid w:val="0059481B"/>
    <w:rsid w:val="005B2110"/>
    <w:rsid w:val="005B61E6"/>
    <w:rsid w:val="005C77E1"/>
    <w:rsid w:val="005D64B3"/>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45369"/>
    <w:rsid w:val="00660E3E"/>
    <w:rsid w:val="006610AF"/>
    <w:rsid w:val="00662E74"/>
    <w:rsid w:val="006644D6"/>
    <w:rsid w:val="00674B35"/>
    <w:rsid w:val="00680C23"/>
    <w:rsid w:val="00693766"/>
    <w:rsid w:val="006A3281"/>
    <w:rsid w:val="006B4888"/>
    <w:rsid w:val="006C2E45"/>
    <w:rsid w:val="006C359C"/>
    <w:rsid w:val="006C5579"/>
    <w:rsid w:val="006D108B"/>
    <w:rsid w:val="006D6E8B"/>
    <w:rsid w:val="006E737D"/>
    <w:rsid w:val="00701C6C"/>
    <w:rsid w:val="00720A24"/>
    <w:rsid w:val="00732386"/>
    <w:rsid w:val="0073514D"/>
    <w:rsid w:val="007447F3"/>
    <w:rsid w:val="0075499F"/>
    <w:rsid w:val="007661C8"/>
    <w:rsid w:val="007705EF"/>
    <w:rsid w:val="0077098D"/>
    <w:rsid w:val="00775A55"/>
    <w:rsid w:val="007931FA"/>
    <w:rsid w:val="007A4861"/>
    <w:rsid w:val="007A7BBA"/>
    <w:rsid w:val="007B0C50"/>
    <w:rsid w:val="007B265D"/>
    <w:rsid w:val="007B34D1"/>
    <w:rsid w:val="007C1A43"/>
    <w:rsid w:val="007D4C19"/>
    <w:rsid w:val="007E5687"/>
    <w:rsid w:val="007F4033"/>
    <w:rsid w:val="0080013E"/>
    <w:rsid w:val="00812658"/>
    <w:rsid w:val="00813288"/>
    <w:rsid w:val="00815A19"/>
    <w:rsid w:val="008168FC"/>
    <w:rsid w:val="00830996"/>
    <w:rsid w:val="008345F1"/>
    <w:rsid w:val="00865B07"/>
    <w:rsid w:val="008667EA"/>
    <w:rsid w:val="0087637F"/>
    <w:rsid w:val="00881CEC"/>
    <w:rsid w:val="00892AD5"/>
    <w:rsid w:val="008A1512"/>
    <w:rsid w:val="008A46E5"/>
    <w:rsid w:val="008B156C"/>
    <w:rsid w:val="008D32B9"/>
    <w:rsid w:val="008D433B"/>
    <w:rsid w:val="008D5B0A"/>
    <w:rsid w:val="008D71CF"/>
    <w:rsid w:val="008E566E"/>
    <w:rsid w:val="0090161A"/>
    <w:rsid w:val="00901EB6"/>
    <w:rsid w:val="00904C62"/>
    <w:rsid w:val="00922BA8"/>
    <w:rsid w:val="00924DAC"/>
    <w:rsid w:val="00927058"/>
    <w:rsid w:val="00942127"/>
    <w:rsid w:val="00942750"/>
    <w:rsid w:val="009450CE"/>
    <w:rsid w:val="009454CD"/>
    <w:rsid w:val="00947179"/>
    <w:rsid w:val="0095164B"/>
    <w:rsid w:val="00954090"/>
    <w:rsid w:val="009573E7"/>
    <w:rsid w:val="00963E05"/>
    <w:rsid w:val="00964AE6"/>
    <w:rsid w:val="00967843"/>
    <w:rsid w:val="00967D54"/>
    <w:rsid w:val="00971028"/>
    <w:rsid w:val="0099418D"/>
    <w:rsid w:val="00996483"/>
    <w:rsid w:val="00996F5A"/>
    <w:rsid w:val="009B041A"/>
    <w:rsid w:val="009C37C3"/>
    <w:rsid w:val="009C7C86"/>
    <w:rsid w:val="009D1AC8"/>
    <w:rsid w:val="009D2FF7"/>
    <w:rsid w:val="009E7884"/>
    <w:rsid w:val="009E788A"/>
    <w:rsid w:val="009F0E08"/>
    <w:rsid w:val="009F1258"/>
    <w:rsid w:val="009F4ABF"/>
    <w:rsid w:val="00A139B1"/>
    <w:rsid w:val="00A14554"/>
    <w:rsid w:val="00A1763D"/>
    <w:rsid w:val="00A17CEC"/>
    <w:rsid w:val="00A278E9"/>
    <w:rsid w:val="00A27EF0"/>
    <w:rsid w:val="00A42361"/>
    <w:rsid w:val="00A42589"/>
    <w:rsid w:val="00A475A3"/>
    <w:rsid w:val="00A50B20"/>
    <w:rsid w:val="00A51390"/>
    <w:rsid w:val="00A5292A"/>
    <w:rsid w:val="00A60D13"/>
    <w:rsid w:val="00A70A76"/>
    <w:rsid w:val="00A72745"/>
    <w:rsid w:val="00A76EFC"/>
    <w:rsid w:val="00A91010"/>
    <w:rsid w:val="00A91531"/>
    <w:rsid w:val="00A956F0"/>
    <w:rsid w:val="00A9741F"/>
    <w:rsid w:val="00A97F29"/>
    <w:rsid w:val="00AA0D1E"/>
    <w:rsid w:val="00AA702E"/>
    <w:rsid w:val="00AB0964"/>
    <w:rsid w:val="00AB5011"/>
    <w:rsid w:val="00AB6233"/>
    <w:rsid w:val="00AB6B3C"/>
    <w:rsid w:val="00AC290F"/>
    <w:rsid w:val="00AC726E"/>
    <w:rsid w:val="00AC7368"/>
    <w:rsid w:val="00AC756E"/>
    <w:rsid w:val="00AD16B9"/>
    <w:rsid w:val="00AE377D"/>
    <w:rsid w:val="00AF0EBA"/>
    <w:rsid w:val="00B02C8A"/>
    <w:rsid w:val="00B07A08"/>
    <w:rsid w:val="00B17FBD"/>
    <w:rsid w:val="00B24754"/>
    <w:rsid w:val="00B315A6"/>
    <w:rsid w:val="00B31813"/>
    <w:rsid w:val="00B33365"/>
    <w:rsid w:val="00B5767D"/>
    <w:rsid w:val="00B57B36"/>
    <w:rsid w:val="00B671E5"/>
    <w:rsid w:val="00B70DD8"/>
    <w:rsid w:val="00B8686D"/>
    <w:rsid w:val="00B911EE"/>
    <w:rsid w:val="00B949DA"/>
    <w:rsid w:val="00BB1DDC"/>
    <w:rsid w:val="00BC30C9"/>
    <w:rsid w:val="00BE3E58"/>
    <w:rsid w:val="00C01616"/>
    <w:rsid w:val="00C0162B"/>
    <w:rsid w:val="00C068ED"/>
    <w:rsid w:val="00C14646"/>
    <w:rsid w:val="00C345B1"/>
    <w:rsid w:val="00C40142"/>
    <w:rsid w:val="00C564EA"/>
    <w:rsid w:val="00C57182"/>
    <w:rsid w:val="00C57863"/>
    <w:rsid w:val="00C655FD"/>
    <w:rsid w:val="00C75407"/>
    <w:rsid w:val="00C81B13"/>
    <w:rsid w:val="00C870A8"/>
    <w:rsid w:val="00C94434"/>
    <w:rsid w:val="00CA0D75"/>
    <w:rsid w:val="00CA1C95"/>
    <w:rsid w:val="00CA5A9C"/>
    <w:rsid w:val="00CC4C20"/>
    <w:rsid w:val="00CD3517"/>
    <w:rsid w:val="00CD3E46"/>
    <w:rsid w:val="00CD5FE2"/>
    <w:rsid w:val="00CE7C68"/>
    <w:rsid w:val="00D02B4C"/>
    <w:rsid w:val="00D040C4"/>
    <w:rsid w:val="00D3452A"/>
    <w:rsid w:val="00D37CF9"/>
    <w:rsid w:val="00D57C84"/>
    <w:rsid w:val="00D6057D"/>
    <w:rsid w:val="00D82616"/>
    <w:rsid w:val="00D836C5"/>
    <w:rsid w:val="00D84576"/>
    <w:rsid w:val="00D8620B"/>
    <w:rsid w:val="00D95FA1"/>
    <w:rsid w:val="00DA1399"/>
    <w:rsid w:val="00DA24C6"/>
    <w:rsid w:val="00DA4D7B"/>
    <w:rsid w:val="00DB0D4E"/>
    <w:rsid w:val="00DB580B"/>
    <w:rsid w:val="00DE264A"/>
    <w:rsid w:val="00DF5072"/>
    <w:rsid w:val="00E02D18"/>
    <w:rsid w:val="00E041E7"/>
    <w:rsid w:val="00E23CA1"/>
    <w:rsid w:val="00E409A8"/>
    <w:rsid w:val="00E46B51"/>
    <w:rsid w:val="00E50C12"/>
    <w:rsid w:val="00E65B91"/>
    <w:rsid w:val="00E7209D"/>
    <w:rsid w:val="00E77223"/>
    <w:rsid w:val="00E8528B"/>
    <w:rsid w:val="00E85B94"/>
    <w:rsid w:val="00E86F4A"/>
    <w:rsid w:val="00E978D0"/>
    <w:rsid w:val="00EA4613"/>
    <w:rsid w:val="00EA7F91"/>
    <w:rsid w:val="00EB04A8"/>
    <w:rsid w:val="00EB1523"/>
    <w:rsid w:val="00EC0E49"/>
    <w:rsid w:val="00EC101F"/>
    <w:rsid w:val="00EC1D9F"/>
    <w:rsid w:val="00EE0131"/>
    <w:rsid w:val="00EE033E"/>
    <w:rsid w:val="00EE17B0"/>
    <w:rsid w:val="00EF06D9"/>
    <w:rsid w:val="00F27845"/>
    <w:rsid w:val="00F30C64"/>
    <w:rsid w:val="00F31BC5"/>
    <w:rsid w:val="00F32CDB"/>
    <w:rsid w:val="00F404BE"/>
    <w:rsid w:val="00F404DE"/>
    <w:rsid w:val="00F4385D"/>
    <w:rsid w:val="00F47338"/>
    <w:rsid w:val="00F565FE"/>
    <w:rsid w:val="00F63A70"/>
    <w:rsid w:val="00F84164"/>
    <w:rsid w:val="00F93DBB"/>
    <w:rsid w:val="00F956B6"/>
    <w:rsid w:val="00FA21D0"/>
    <w:rsid w:val="00FA5F5F"/>
    <w:rsid w:val="00FB730C"/>
    <w:rsid w:val="00FC2695"/>
    <w:rsid w:val="00FC34E1"/>
    <w:rsid w:val="00FC3E03"/>
    <w:rsid w:val="00FC3FC1"/>
    <w:rsid w:val="00FD387D"/>
    <w:rsid w:val="00FD3E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5375A"/>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5375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pple-tab-span">
    <w:name w:val="apple-tab-span"/>
    <w:basedOn w:val="Fontepargpadro"/>
    <w:rsid w:val="000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190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63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caralcaso@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7C687-3EF2-4D4E-A1EB-FB41B714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3056</Words>
  <Characters>16809</Characters>
  <Application>Microsoft Office Word</Application>
  <DocSecurity>0</DocSecurity>
  <Lines>140</Lines>
  <Paragraphs>39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13</cp:revision>
  <cp:lastPrinted>2015-05-12T18:31:00Z</cp:lastPrinted>
  <dcterms:created xsi:type="dcterms:W3CDTF">2021-12-30T05:43:00Z</dcterms:created>
  <dcterms:modified xsi:type="dcterms:W3CDTF">2022-02-27T23:27:00Z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