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PE"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BED1033"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C81B13">
              <w:rPr>
                <w:rFonts w:cs="Arial"/>
                <w:b/>
                <w:bCs/>
                <w:i/>
                <w:iCs/>
                <w:color w:val="000066"/>
                <w:sz w:val="22"/>
                <w:szCs w:val="22"/>
                <w:lang w:eastAsia="it-IT"/>
              </w:rPr>
              <w:t>92</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C81B13">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PE"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20152819" w14:textId="77777777" w:rsidR="00C81B13" w:rsidRPr="0044071E" w:rsidRDefault="00C81B13" w:rsidP="00C81B13">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Rubens Maciel Filho</w:t>
            </w:r>
            <w:r>
              <w:rPr>
                <w:rFonts w:ascii="Tahoma" w:hAnsi="Tahoma" w:cs="Tahoma"/>
                <w:color w:val="000000"/>
                <w:sz w:val="14"/>
                <w:szCs w:val="14"/>
                <w:shd w:val="clear" w:color="auto" w:fill="FFFFFF"/>
                <w:lang w:val="it-IT"/>
              </w:rPr>
              <w:t>,</w:t>
            </w:r>
            <w:r w:rsidRPr="0044071E">
              <w:rPr>
                <w:rFonts w:ascii="Tahoma" w:hAnsi="Tahoma" w:cs="Tahoma"/>
                <w:color w:val="000000"/>
                <w:sz w:val="14"/>
                <w:szCs w:val="14"/>
                <w:shd w:val="clear" w:color="auto" w:fill="FFFFFF"/>
                <w:lang w:val="it-IT"/>
              </w:rPr>
              <w:t xml:space="preserve"> Eliseo Ranzi</w:t>
            </w:r>
            <w:r>
              <w:rPr>
                <w:rFonts w:ascii="Tahoma" w:hAnsi="Tahoma" w:cs="Tahoma"/>
                <w:color w:val="000000"/>
                <w:sz w:val="14"/>
                <w:szCs w:val="14"/>
                <w:shd w:val="clear" w:color="auto" w:fill="FFFFFF"/>
                <w:lang w:val="it-IT"/>
              </w:rPr>
              <w:t>, Leonardo Tognotti</w:t>
            </w:r>
          </w:p>
          <w:p w14:paraId="1B0F1814" w14:textId="66AFF84F" w:rsidR="000A03B2" w:rsidRPr="00B57B36" w:rsidRDefault="00C81B13" w:rsidP="00C81B13">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-90-7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6B176E68" w:rsidR="00E978D0" w:rsidRPr="007705EF" w:rsidRDefault="00B60E13" w:rsidP="007F4033">
      <w:pPr>
        <w:pStyle w:val="CETTitle"/>
        <w:rPr>
          <w:lang w:val="en-US"/>
        </w:rPr>
      </w:pPr>
      <w:r w:rsidRPr="00B60E13">
        <w:rPr>
          <w:bCs/>
          <w:iCs/>
          <w:lang w:val="en-US"/>
        </w:rPr>
        <w:t>Air deterioration gases in the social confinement period by COVID-19 in Bogotá, Quito, Lima, Santiago de Chile and Buenos Aires</w:t>
      </w:r>
    </w:p>
    <w:p w14:paraId="2B3CA35C" w14:textId="34FA838C" w:rsidR="00E978D0" w:rsidRPr="00EA58A4" w:rsidRDefault="00EA58A4" w:rsidP="007F4033">
      <w:pPr>
        <w:pStyle w:val="CETAuthors"/>
        <w:rPr>
          <w:bCs/>
          <w:lang w:val="en-US"/>
        </w:rPr>
      </w:pPr>
      <w:r w:rsidRPr="00EA58A4">
        <w:rPr>
          <w:bCs/>
          <w:lang w:val="en-US"/>
        </w:rPr>
        <w:t>Manuel</w:t>
      </w:r>
      <w:r w:rsidR="00F63B2F">
        <w:rPr>
          <w:bCs/>
          <w:lang w:val="en-US"/>
        </w:rPr>
        <w:t xml:space="preserve"> A.</w:t>
      </w:r>
      <w:r w:rsidRPr="00EA58A4">
        <w:rPr>
          <w:bCs/>
          <w:lang w:val="en-US"/>
        </w:rPr>
        <w:t xml:space="preserve"> Ortega Mamani</w:t>
      </w:r>
      <w:r>
        <w:rPr>
          <w:bCs/>
          <w:lang w:val="en-US"/>
        </w:rPr>
        <w:t xml:space="preserve">, </w:t>
      </w:r>
      <w:r w:rsidR="00F63B2F">
        <w:rPr>
          <w:bCs/>
        </w:rPr>
        <w:t>Carlos A. Castañeda-</w:t>
      </w:r>
      <w:r w:rsidR="007F4033" w:rsidRPr="00C14646">
        <w:rPr>
          <w:bCs/>
        </w:rPr>
        <w:t>Olivera*</w:t>
      </w:r>
      <w:r>
        <w:rPr>
          <w:bCs/>
        </w:rPr>
        <w:t xml:space="preserve">, </w:t>
      </w:r>
      <w:r w:rsidRPr="00EA58A4">
        <w:rPr>
          <w:bCs/>
          <w:lang w:val="en-US"/>
        </w:rPr>
        <w:t>Elmer G. Benites Alfaro</w:t>
      </w:r>
    </w:p>
    <w:p w14:paraId="3AE11478" w14:textId="1ED6C82C" w:rsidR="00F84164" w:rsidRPr="00F63B2F" w:rsidRDefault="00412957" w:rsidP="00F84164">
      <w:pPr>
        <w:pStyle w:val="CETAddress"/>
        <w:rPr>
          <w:lang w:val="en-US"/>
        </w:rPr>
      </w:pPr>
      <w:r w:rsidRPr="00F63B2F">
        <w:rPr>
          <w:lang w:val="en-US"/>
        </w:rPr>
        <w:t xml:space="preserve">Universidad </w:t>
      </w:r>
      <w:r w:rsidR="00F31BC5" w:rsidRPr="00F63B2F">
        <w:rPr>
          <w:lang w:val="en-US"/>
        </w:rPr>
        <w:t>César Vallejo</w:t>
      </w:r>
      <w:r w:rsidRPr="00F63B2F">
        <w:rPr>
          <w:lang w:val="en-US"/>
        </w:rPr>
        <w:t xml:space="preserve">, </w:t>
      </w:r>
      <w:r w:rsidR="007705EF" w:rsidRPr="00F63B2F">
        <w:rPr>
          <w:lang w:val="en-US"/>
        </w:rPr>
        <w:t xml:space="preserve">Campus Los Olivos, </w:t>
      </w:r>
      <w:r w:rsidRPr="00F63B2F">
        <w:rPr>
          <w:lang w:val="en-US"/>
        </w:rPr>
        <w:t>Lima</w:t>
      </w:r>
      <w:r w:rsidR="007F4033" w:rsidRPr="00F63B2F">
        <w:rPr>
          <w:lang w:val="en-US"/>
        </w:rPr>
        <w:t>, Perú</w:t>
      </w:r>
    </w:p>
    <w:p w14:paraId="0127A28D" w14:textId="59122D71" w:rsidR="00E978D0" w:rsidRPr="00A42589" w:rsidRDefault="005C7515" w:rsidP="00E978D0">
      <w:pPr>
        <w:pStyle w:val="CETemail"/>
        <w:rPr>
          <w:lang w:val="en-US"/>
        </w:rPr>
      </w:pPr>
      <w:hyperlink r:id="rId10" w:history="1">
        <w:r w:rsidR="00412957" w:rsidRPr="00A42589">
          <w:rPr>
            <w:rStyle w:val="Hyperlink"/>
            <w:vertAlign w:val="superscript"/>
            <w:lang w:val="en-US"/>
          </w:rPr>
          <w:t>*</w:t>
        </w:r>
        <w:r w:rsidR="00412957" w:rsidRPr="00A42589">
          <w:rPr>
            <w:rStyle w:val="Hyperlink"/>
            <w:lang w:val="en-US"/>
          </w:rPr>
          <w:t>caralcaso@gmail.com</w:t>
        </w:r>
      </w:hyperlink>
    </w:p>
    <w:p w14:paraId="3374162F" w14:textId="7C3B1256" w:rsidR="00D24CD1" w:rsidRPr="00C108F4" w:rsidRDefault="00D24CD1" w:rsidP="00D24CD1">
      <w:pPr>
        <w:spacing w:before="240" w:after="240"/>
        <w:rPr>
          <w:rFonts w:cs="Arial"/>
          <w:szCs w:val="18"/>
          <w:lang w:val="en-US"/>
        </w:rPr>
      </w:pPr>
      <w:r w:rsidRPr="00C108F4">
        <w:rPr>
          <w:rFonts w:cs="Arial"/>
          <w:szCs w:val="18"/>
          <w:lang w:val="en-US"/>
        </w:rPr>
        <w:t>Restrictions on industry and vehicular and pedestrian traffic during the COVID-19 public health emergency were explored to determine associations with increases or decreases in air-impairing gases. Social immobilization is one method of controlling infectious diseases in an emergency and/or quarantine context, resulting in a decrease in environmental contamination. Therefore, this research evaluated the influence of CO, NO</w:t>
      </w:r>
      <w:r w:rsidRPr="005C0286">
        <w:rPr>
          <w:rFonts w:cs="Arial"/>
          <w:szCs w:val="18"/>
          <w:vertAlign w:val="subscript"/>
          <w:lang w:val="en-US"/>
        </w:rPr>
        <w:t>2</w:t>
      </w:r>
      <w:r w:rsidRPr="00C108F4">
        <w:rPr>
          <w:rFonts w:cs="Arial"/>
          <w:szCs w:val="18"/>
          <w:lang w:val="en-US"/>
        </w:rPr>
        <w:t>, O</w:t>
      </w:r>
      <w:r w:rsidRPr="005C0286">
        <w:rPr>
          <w:rFonts w:cs="Arial"/>
          <w:szCs w:val="18"/>
          <w:vertAlign w:val="subscript"/>
          <w:lang w:val="en-US"/>
        </w:rPr>
        <w:t>3</w:t>
      </w:r>
      <w:r w:rsidRPr="00C108F4">
        <w:rPr>
          <w:rFonts w:cs="Arial"/>
          <w:szCs w:val="18"/>
          <w:lang w:val="en-US"/>
        </w:rPr>
        <w:t xml:space="preserve"> and SO</w:t>
      </w:r>
      <w:r w:rsidRPr="005C0286">
        <w:rPr>
          <w:rFonts w:cs="Arial"/>
          <w:szCs w:val="18"/>
          <w:vertAlign w:val="subscript"/>
          <w:lang w:val="en-US"/>
        </w:rPr>
        <w:t>2</w:t>
      </w:r>
      <w:r w:rsidRPr="00C108F4">
        <w:rPr>
          <w:rFonts w:cs="Arial"/>
          <w:szCs w:val="18"/>
          <w:lang w:val="en-US"/>
        </w:rPr>
        <w:t xml:space="preserve"> gases in the cities of Bogota, Buenos Aires, Lima, Quito and Santiago. Data f</w:t>
      </w:r>
      <w:r w:rsidR="0043341A">
        <w:rPr>
          <w:rFonts w:cs="Arial"/>
          <w:szCs w:val="18"/>
          <w:lang w:val="en-US"/>
        </w:rPr>
        <w:t>rom Sentinel-5P netCDF files were</w:t>
      </w:r>
      <w:r w:rsidRPr="00C108F4">
        <w:rPr>
          <w:rFonts w:cs="Arial"/>
          <w:szCs w:val="18"/>
          <w:lang w:val="en-US"/>
        </w:rPr>
        <w:t xml:space="preserve"> used with the help of SNAP Desktop and Qgis software, and governmental regulations dictated by the different governments of each country were also reviewed. The results showed that the cities of Bogota, Buenos Aires, Lima and Quito had significant negative decreases and associations for CO, NO</w:t>
      </w:r>
      <w:r w:rsidRPr="005C0286">
        <w:rPr>
          <w:rFonts w:cs="Arial"/>
          <w:szCs w:val="18"/>
          <w:vertAlign w:val="subscript"/>
          <w:lang w:val="en-US"/>
        </w:rPr>
        <w:t>2</w:t>
      </w:r>
      <w:r w:rsidRPr="00C108F4">
        <w:rPr>
          <w:rFonts w:cs="Arial"/>
          <w:szCs w:val="18"/>
          <w:lang w:val="en-US"/>
        </w:rPr>
        <w:t xml:space="preserve"> and O</w:t>
      </w:r>
      <w:r w:rsidRPr="005C0286">
        <w:rPr>
          <w:rFonts w:cs="Arial"/>
          <w:szCs w:val="18"/>
          <w:vertAlign w:val="subscript"/>
          <w:lang w:val="en-US"/>
        </w:rPr>
        <w:t>3</w:t>
      </w:r>
      <w:r w:rsidRPr="00C108F4">
        <w:rPr>
          <w:rFonts w:cs="Arial"/>
          <w:szCs w:val="18"/>
          <w:lang w:val="en-US"/>
        </w:rPr>
        <w:t xml:space="preserve"> gases, and SO</w:t>
      </w:r>
      <w:r w:rsidRPr="005C0286">
        <w:rPr>
          <w:rFonts w:cs="Arial"/>
          <w:szCs w:val="18"/>
          <w:vertAlign w:val="subscript"/>
          <w:lang w:val="en-US"/>
        </w:rPr>
        <w:t>2</w:t>
      </w:r>
      <w:r w:rsidRPr="00C108F4">
        <w:rPr>
          <w:rFonts w:cs="Arial"/>
          <w:szCs w:val="18"/>
          <w:lang w:val="en-US"/>
        </w:rPr>
        <w:t xml:space="preserve"> gas was statistically disregarded. In addition, the city of Santiago de Chile showed an increase in CO gas. Finally, it is concluded that social immobilization positively influenced the reduction of air pollutant gases and consequently improved the environmental quality of each city.</w:t>
      </w:r>
    </w:p>
    <w:p w14:paraId="476B2F2E" w14:textId="23C2B55A" w:rsidR="00600535" w:rsidRPr="00B57B36" w:rsidRDefault="00C14646" w:rsidP="00600535">
      <w:pPr>
        <w:pStyle w:val="CETHeading1"/>
        <w:rPr>
          <w:lang w:val="en-GB"/>
        </w:rPr>
      </w:pPr>
      <w:r>
        <w:rPr>
          <w:lang w:val="en-GB"/>
        </w:rPr>
        <w:t xml:space="preserve">1. </w:t>
      </w:r>
      <w:r w:rsidR="00600535" w:rsidRPr="00B57B36">
        <w:rPr>
          <w:lang w:val="en-GB"/>
        </w:rPr>
        <w:t>Introduction</w:t>
      </w:r>
    </w:p>
    <w:p w14:paraId="685315BC" w14:textId="013B5C4A" w:rsidR="00D24CD1" w:rsidRDefault="00D24CD1" w:rsidP="00D24CD1">
      <w:pPr>
        <w:pStyle w:val="CETBodytext"/>
      </w:pPr>
      <w:r>
        <w:t>Traditional energy consumption, population density, urban agglomeration, infrastructure and transportation cause the reduction of air quality and are responsible for PM10, CO, CO</w:t>
      </w:r>
      <w:r w:rsidRPr="0074319F">
        <w:rPr>
          <w:vertAlign w:val="subscript"/>
        </w:rPr>
        <w:t>2</w:t>
      </w:r>
      <w:r>
        <w:t>, SO</w:t>
      </w:r>
      <w:r w:rsidRPr="0074319F">
        <w:rPr>
          <w:vertAlign w:val="subscript"/>
        </w:rPr>
        <w:t>X</w:t>
      </w:r>
      <w:r>
        <w:t>, NO</w:t>
      </w:r>
      <w:r w:rsidRPr="0074319F">
        <w:rPr>
          <w:vertAlign w:val="subscript"/>
        </w:rPr>
        <w:t>X</w:t>
      </w:r>
      <w:r>
        <w:t xml:space="preserve"> and volatile organic compounds, exposing the population to different air pollutants (Wang et al. 2019; Islam et al. 2020). These activities were prevented by the governments of each country in the presence of SARS-CoV-2, as a social mobility control measure to avoid the proliferation of contagions in the human population (Kraemer et al. 2020). With this measure of social confinement by COVID-19 there was a significant favo</w:t>
      </w:r>
      <w:r w:rsidR="0043341A">
        <w:t>u</w:t>
      </w:r>
      <w:r>
        <w:t>rable correlation because there was a reduction in the concentrations of pollutants present in the air, determining that there is a positive impact on environmental quality (Abdullah et al. 2020; Zhu, Xie, Huang and Cao, 2020; Fareed et al. 2020).</w:t>
      </w:r>
    </w:p>
    <w:p w14:paraId="5675B7D8" w14:textId="40168FA4" w:rsidR="00D24CD1" w:rsidRDefault="00D24CD1" w:rsidP="00D24CD1">
      <w:pPr>
        <w:pStyle w:val="CETBodytext"/>
      </w:pPr>
      <w:r>
        <w:t>Different studies mention that algorithmic models can quantify air pollutants, and their implementation in monitoring is of vital importance because t</w:t>
      </w:r>
      <w:r w:rsidR="0043341A">
        <w:t xml:space="preserve">hey are accurate in achieving </w:t>
      </w:r>
      <w:r>
        <w:t xml:space="preserve">replication of observed concentrations through proper characterization of the stochastic nature of atmospheric processes (Lee et al. 2020; Araki, Shima and Yamamoto, 2020; Rao et al. 2020). Other studies used land-use regression (LUR) models to assess the influence of air pollution on lung function, inflammation and aging (Altuğ et al. 2020), as well as regional air quality models such as CHIMERE, LOTOS-EUROS, EMEP MSC-W, etc. to investigate atmospheric composition on a regional scale (Blechschmidt et al. 2020). </w:t>
      </w:r>
    </w:p>
    <w:p w14:paraId="7D1ABE8B" w14:textId="77777777" w:rsidR="00D24CD1" w:rsidRDefault="00D24CD1" w:rsidP="00D24CD1">
      <w:pPr>
        <w:pStyle w:val="CETBodytext"/>
      </w:pPr>
      <w:r>
        <w:t xml:space="preserve">Social restrictions improve environmental quality, reducing atmospheric emissions and consequently improving air quality (Cheng et al. 2020; Raffaelli et al. 2020; Dantas et al. 2020). Moreover, these partial and total blocking measures to social mobility generally reduce air deterioration gases (Collivignarelli et al. 2020). These environmental policies are framed in environmental improvement and minimization of negative environmental impacts. The implementation of these control measures in gaseous emissions regulates and reduces pollution, identifying exposure risks and preventing the increase of volatile organic compounds and aerosols (Biggart et al. 2020; Calla and Lujan 2018; Islam et al. 2020). Also as an environmental policy, there is the reduction of </w:t>
      </w:r>
      <w:r>
        <w:lastRenderedPageBreak/>
        <w:t>greenhouse gases (GHG) that involves the management of friendly alternatives in energy production that are embodied in the improvement of the environment (Akdag and Yildirim, 2020; Ma and Kang, 2020; Shi and Brasseur, 2020).</w:t>
      </w:r>
    </w:p>
    <w:p w14:paraId="060CDBFA" w14:textId="50AB7F4E" w:rsidR="00D24CD1" w:rsidRDefault="00D24CD1" w:rsidP="00D24CD1">
      <w:pPr>
        <w:pStyle w:val="CETBodytext"/>
      </w:pPr>
      <w:r>
        <w:t>Incomplete combustion of hydrocarbons from sources such as transportation, industry and living areas produce secondary pollutants that pose a risk to ecosystems through so-called acid rain (Panagi et al. 2020; Feng et al. 2020). This exposure to harmful particles and gases contributes to the presence of cardiovascular and respiratory diseases, and also contributes to increased cases of COVID-19 contagion, which has generally been found to be associated with more severe coronavirus outcomes (Moelling and Broecker, 2020; Isaifan, 2020; Fareed et al. 2020). Transportation and industrial activity constitute the most important sources of CO, NO</w:t>
      </w:r>
      <w:r w:rsidRPr="0074319F">
        <w:rPr>
          <w:vertAlign w:val="subscript"/>
        </w:rPr>
        <w:t>X</w:t>
      </w:r>
      <w:r>
        <w:t>, hydrocarbon, PM, and smog emissions, causing air quality decline in urban cities (Aguil</w:t>
      </w:r>
      <w:r w:rsidR="001070CD">
        <w:t>era et al. 2018</w:t>
      </w:r>
      <w:r>
        <w:t>; Angatha and Mehar, 2019). On the other hand, emissions from vehicular traffic during the period of social confinement by COVID-19 were decreased and showed positive effects on air quality (Gautam, 2020; Andersson et al. 2020).</w:t>
      </w:r>
    </w:p>
    <w:p w14:paraId="57471DCE" w14:textId="365FB480" w:rsidR="004268B5" w:rsidRPr="00B07A08" w:rsidRDefault="00D24CD1" w:rsidP="00D24CD1">
      <w:pPr>
        <w:pStyle w:val="CETBodytext"/>
      </w:pPr>
      <w:r>
        <w:t>For the aforementioned reasons, the research determined the level of reduction of gases that deteriorate the atmosphere with the use of satellite images obtained from the Sentinel-5P sensor of the European Space Agency (ESA) Copernicus platform, in the context of social confinement by COVID-19 in the cities of Bogota, Quito, Lima, Santiago de Chile and Buenos Aires. For this purpose, the governmental regulations issued in each of the study countries were reviewed and the SNAP Desktop and Qgis programs were used for data and information analysis</w:t>
      </w:r>
      <w:r w:rsidR="004268B5" w:rsidRPr="00B07A08">
        <w:t>.</w:t>
      </w:r>
    </w:p>
    <w:p w14:paraId="6D526EAA" w14:textId="34341936" w:rsidR="00AC756E" w:rsidRPr="00B57B36" w:rsidRDefault="00C14646" w:rsidP="00AC756E">
      <w:pPr>
        <w:pStyle w:val="CETHeading1"/>
        <w:rPr>
          <w:lang w:val="en-GB"/>
        </w:rPr>
      </w:pPr>
      <w:r>
        <w:rPr>
          <w:lang w:val="en-GB"/>
        </w:rPr>
        <w:t xml:space="preserve">2. </w:t>
      </w:r>
      <w:r w:rsidR="00AC756E">
        <w:rPr>
          <w:lang w:val="en-GB"/>
        </w:rPr>
        <w:t>Materials and m</w:t>
      </w:r>
      <w:r w:rsidR="00AC756E" w:rsidRPr="00AC756E">
        <w:rPr>
          <w:lang w:val="en-GB"/>
        </w:rPr>
        <w:t>ethods</w:t>
      </w:r>
    </w:p>
    <w:p w14:paraId="036DAF1A" w14:textId="3F454A3A" w:rsidR="0099418D" w:rsidRPr="003E6D91" w:rsidRDefault="0099418D" w:rsidP="003E6D91">
      <w:pPr>
        <w:pStyle w:val="CETheadingx"/>
        <w:spacing w:before="120" w:after="120"/>
      </w:pPr>
      <w:r w:rsidRPr="003E6D91">
        <w:t xml:space="preserve">2.1 </w:t>
      </w:r>
      <w:r w:rsidR="001A08FA" w:rsidRPr="004F1F68">
        <w:t>Study area</w:t>
      </w:r>
    </w:p>
    <w:p w14:paraId="09546196" w14:textId="7127300F" w:rsidR="0099418D" w:rsidRPr="00B07A08" w:rsidRDefault="001A08FA" w:rsidP="0099418D">
      <w:pPr>
        <w:pStyle w:val="CETBodytext"/>
      </w:pPr>
      <w:r w:rsidRPr="004F1F68">
        <w:rPr>
          <w:rFonts w:cs="Arial"/>
          <w:szCs w:val="18"/>
        </w:rPr>
        <w:t>The study area included the most important cities (capitals) of the countries of Colombia, Ecuador, Peru, Chile and Argentina, which are located in the South American region of the Amer</w:t>
      </w:r>
      <w:r>
        <w:rPr>
          <w:rFonts w:cs="Arial"/>
          <w:szCs w:val="18"/>
        </w:rPr>
        <w:t>ican continent</w:t>
      </w:r>
      <w:r w:rsidRPr="004F1F68">
        <w:rPr>
          <w:rFonts w:cs="Arial"/>
          <w:szCs w:val="18"/>
        </w:rPr>
        <w:t>. These cities correspond to Bogotá, Quito</w:t>
      </w:r>
      <w:r w:rsidRPr="00297665">
        <w:rPr>
          <w:rFonts w:cs="Arial"/>
          <w:szCs w:val="18"/>
        </w:rPr>
        <w:t>, Lima, Santiago de Chile and Buenos Aires</w:t>
      </w:r>
      <w:r w:rsidR="0099418D" w:rsidRPr="00B07A08">
        <w:t>.</w:t>
      </w:r>
    </w:p>
    <w:p w14:paraId="2435619B" w14:textId="5CDEA74A" w:rsidR="0099418D" w:rsidRPr="003E6D91" w:rsidRDefault="0099418D" w:rsidP="003E6D91">
      <w:pPr>
        <w:pStyle w:val="CETheadingx"/>
        <w:spacing w:before="120" w:after="120"/>
      </w:pPr>
      <w:r w:rsidRPr="003E6D91">
        <w:t xml:space="preserve">2.2 </w:t>
      </w:r>
      <w:r w:rsidR="001A08FA" w:rsidRPr="003E6D91">
        <w:t>Obtaining the concentration values of the gases</w:t>
      </w:r>
    </w:p>
    <w:p w14:paraId="5F86FDAD" w14:textId="2A6E92A3" w:rsidR="001A08FA" w:rsidRDefault="0074319F" w:rsidP="001A08FA">
      <w:pPr>
        <w:pStyle w:val="CETBodytext"/>
      </w:pPr>
      <w:r>
        <w:t>The main sources of NO</w:t>
      </w:r>
      <w:r w:rsidRPr="0074319F">
        <w:rPr>
          <w:vertAlign w:val="subscript"/>
        </w:rPr>
        <w:t>X</w:t>
      </w:r>
      <w:r w:rsidR="003A55C6" w:rsidRPr="003A55C6">
        <w:t xml:space="preserve"> emissions are industries and transportation; for CO, transportation and power generation; for CO</w:t>
      </w:r>
      <w:r w:rsidR="003A55C6" w:rsidRPr="0074319F">
        <w:rPr>
          <w:vertAlign w:val="subscript"/>
        </w:rPr>
        <w:t xml:space="preserve">2 </w:t>
      </w:r>
      <w:r w:rsidR="003A55C6" w:rsidRPr="003A55C6">
        <w:t>and SO</w:t>
      </w:r>
      <w:r w:rsidR="003A55C6" w:rsidRPr="0074319F">
        <w:rPr>
          <w:vertAlign w:val="subscript"/>
        </w:rPr>
        <w:t>2</w:t>
      </w:r>
      <w:r w:rsidR="003A55C6" w:rsidRPr="003A55C6">
        <w:t>, fossil fuel, construction cement, vehicle combustion and power generation; for particulate matter (PM10, PM 2.5 and others), emissions from vehicle exhaust, construction, improper disposal of solid waste, among others.</w:t>
      </w:r>
      <w:r w:rsidR="003A55C6">
        <w:t xml:space="preserve"> </w:t>
      </w:r>
      <w:r w:rsidR="001A08FA" w:rsidRPr="001A08FA">
        <w:t>The concentration values of air-deteriorating gases (SO</w:t>
      </w:r>
      <w:r w:rsidR="001A08FA" w:rsidRPr="001A08FA">
        <w:rPr>
          <w:vertAlign w:val="subscript"/>
        </w:rPr>
        <w:t>2</w:t>
      </w:r>
      <w:r w:rsidR="001A08FA" w:rsidRPr="001A08FA">
        <w:t>, NO</w:t>
      </w:r>
      <w:r w:rsidR="001A08FA" w:rsidRPr="001A08FA">
        <w:rPr>
          <w:vertAlign w:val="subscript"/>
        </w:rPr>
        <w:t>2</w:t>
      </w:r>
      <w:r w:rsidR="001A08FA" w:rsidRPr="001A08FA">
        <w:t>, O</w:t>
      </w:r>
      <w:r w:rsidR="001A08FA" w:rsidRPr="001A08FA">
        <w:rPr>
          <w:vertAlign w:val="subscript"/>
        </w:rPr>
        <w:t>3</w:t>
      </w:r>
      <w:r w:rsidR="001A08FA" w:rsidRPr="001A08FA">
        <w:t xml:space="preserve"> and CO) were obtained from the .netCDF files of the Copernicus platform. These files store the information of the different atmospheric components obtained by the Copernicus program of the European Space Agency that has the Sentinel-5P Pre-Operations Data Hub service (Richter, 2015). In the research, 4 groups with different study periods were worked to make the comparisons and determine the increase and/or decrease of gas concentrations in each city (Table 1).</w:t>
      </w:r>
    </w:p>
    <w:p w14:paraId="46EB3AFD" w14:textId="4341195C" w:rsidR="001A08FA" w:rsidRPr="001A08FA" w:rsidRDefault="001A08FA" w:rsidP="001A08FA">
      <w:pPr>
        <w:pStyle w:val="CETTabletitle"/>
        <w:rPr>
          <w:lang w:val="en-US"/>
        </w:rPr>
      </w:pPr>
      <w:r w:rsidRPr="001A08FA">
        <w:rPr>
          <w:lang w:val="en-US"/>
        </w:rPr>
        <w:t>Table 1: Range of dates studied in the research</w:t>
      </w:r>
    </w:p>
    <w:tbl>
      <w:tblPr>
        <w:tblW w:w="6025" w:type="dxa"/>
        <w:tblBorders>
          <w:top w:val="single" w:sz="12" w:space="0" w:color="008000"/>
          <w:bottom w:val="single" w:sz="12" w:space="0" w:color="008000"/>
        </w:tblBorders>
        <w:tblLayout w:type="fixed"/>
        <w:tblLook w:val="0600" w:firstRow="0" w:lastRow="0" w:firstColumn="0" w:lastColumn="0" w:noHBand="1" w:noVBand="1"/>
      </w:tblPr>
      <w:tblGrid>
        <w:gridCol w:w="1100"/>
        <w:gridCol w:w="2343"/>
        <w:gridCol w:w="2582"/>
      </w:tblGrid>
      <w:tr w:rsidR="001A08FA" w:rsidRPr="00C108F4" w14:paraId="66F5EB09" w14:textId="77777777" w:rsidTr="001A4DA4">
        <w:trPr>
          <w:trHeight w:val="249"/>
        </w:trPr>
        <w:tc>
          <w:tcPr>
            <w:tcW w:w="1100" w:type="dxa"/>
            <w:tcBorders>
              <w:top w:val="single" w:sz="12" w:space="0" w:color="008000"/>
              <w:bottom w:val="single" w:sz="6" w:space="0" w:color="008000"/>
            </w:tcBorders>
            <w:tcMar>
              <w:top w:w="0" w:type="dxa"/>
              <w:left w:w="0" w:type="dxa"/>
              <w:bottom w:w="0" w:type="dxa"/>
              <w:right w:w="0" w:type="dxa"/>
            </w:tcMar>
          </w:tcPr>
          <w:p w14:paraId="0BDBAB01" w14:textId="77777777" w:rsidR="001A08FA" w:rsidRPr="00C108F4" w:rsidRDefault="001A08FA" w:rsidP="0043341A">
            <w:pPr>
              <w:spacing w:line="240" w:lineRule="auto"/>
              <w:jc w:val="center"/>
              <w:rPr>
                <w:rFonts w:cs="Arial"/>
                <w:szCs w:val="18"/>
              </w:rPr>
            </w:pPr>
            <w:r w:rsidRPr="00C108F4">
              <w:rPr>
                <w:rFonts w:cs="Arial"/>
                <w:szCs w:val="18"/>
              </w:rPr>
              <w:t>Gr</w:t>
            </w:r>
            <w:r>
              <w:rPr>
                <w:rFonts w:cs="Arial"/>
                <w:szCs w:val="18"/>
              </w:rPr>
              <w:t>oup</w:t>
            </w:r>
            <w:r w:rsidRPr="00C108F4">
              <w:rPr>
                <w:rFonts w:cs="Arial"/>
                <w:szCs w:val="18"/>
              </w:rPr>
              <w:t>s</w:t>
            </w:r>
          </w:p>
        </w:tc>
        <w:tc>
          <w:tcPr>
            <w:tcW w:w="2343" w:type="dxa"/>
            <w:tcBorders>
              <w:top w:val="single" w:sz="12" w:space="0" w:color="008000"/>
              <w:bottom w:val="single" w:sz="6" w:space="0" w:color="008000"/>
            </w:tcBorders>
            <w:tcMar>
              <w:top w:w="0" w:type="dxa"/>
              <w:left w:w="0" w:type="dxa"/>
              <w:bottom w:w="0" w:type="dxa"/>
              <w:right w:w="0" w:type="dxa"/>
            </w:tcMar>
          </w:tcPr>
          <w:p w14:paraId="053BF060" w14:textId="77777777" w:rsidR="001A08FA" w:rsidRPr="00C108F4" w:rsidRDefault="001A08FA" w:rsidP="0043341A">
            <w:pPr>
              <w:spacing w:line="240" w:lineRule="auto"/>
              <w:jc w:val="center"/>
              <w:rPr>
                <w:rFonts w:cs="Arial"/>
                <w:szCs w:val="18"/>
              </w:rPr>
            </w:pPr>
            <w:r>
              <w:rPr>
                <w:rFonts w:cs="Arial"/>
                <w:szCs w:val="18"/>
              </w:rPr>
              <w:t>Date range</w:t>
            </w:r>
          </w:p>
        </w:tc>
        <w:tc>
          <w:tcPr>
            <w:tcW w:w="2582" w:type="dxa"/>
            <w:tcBorders>
              <w:top w:val="single" w:sz="12" w:space="0" w:color="008000"/>
              <w:bottom w:val="single" w:sz="6" w:space="0" w:color="008000"/>
            </w:tcBorders>
            <w:tcMar>
              <w:top w:w="0" w:type="dxa"/>
              <w:left w:w="0" w:type="dxa"/>
              <w:bottom w:w="0" w:type="dxa"/>
              <w:right w:w="0" w:type="dxa"/>
            </w:tcMar>
          </w:tcPr>
          <w:p w14:paraId="67815064" w14:textId="77777777" w:rsidR="001A08FA" w:rsidRPr="00C108F4" w:rsidRDefault="001A08FA" w:rsidP="0043341A">
            <w:pPr>
              <w:spacing w:line="240" w:lineRule="auto"/>
              <w:jc w:val="center"/>
              <w:rPr>
                <w:rFonts w:cs="Arial"/>
                <w:szCs w:val="18"/>
              </w:rPr>
            </w:pPr>
            <w:r>
              <w:rPr>
                <w:rFonts w:cs="Arial"/>
                <w:szCs w:val="18"/>
              </w:rPr>
              <w:t>Time (week</w:t>
            </w:r>
            <w:r w:rsidRPr="00C108F4">
              <w:rPr>
                <w:rFonts w:cs="Arial"/>
                <w:szCs w:val="18"/>
              </w:rPr>
              <w:t>s)</w:t>
            </w:r>
          </w:p>
        </w:tc>
      </w:tr>
      <w:tr w:rsidR="001A08FA" w:rsidRPr="00C108F4" w14:paraId="30674ACB" w14:textId="77777777" w:rsidTr="001A4DA4">
        <w:trPr>
          <w:trHeight w:val="174"/>
        </w:trPr>
        <w:tc>
          <w:tcPr>
            <w:tcW w:w="1100" w:type="dxa"/>
            <w:tcBorders>
              <w:top w:val="single" w:sz="6" w:space="0" w:color="008000"/>
            </w:tcBorders>
            <w:tcMar>
              <w:top w:w="0" w:type="dxa"/>
              <w:left w:w="0" w:type="dxa"/>
              <w:bottom w:w="0" w:type="dxa"/>
              <w:right w:w="0" w:type="dxa"/>
            </w:tcMar>
          </w:tcPr>
          <w:p w14:paraId="0346A8E4" w14:textId="77777777" w:rsidR="001A08FA" w:rsidRPr="001A4DA4" w:rsidRDefault="001A08FA" w:rsidP="0043341A">
            <w:pPr>
              <w:spacing w:line="240" w:lineRule="auto"/>
              <w:jc w:val="center"/>
              <w:rPr>
                <w:rFonts w:cs="Arial"/>
                <w:sz w:val="16"/>
                <w:szCs w:val="16"/>
              </w:rPr>
            </w:pPr>
            <w:r w:rsidRPr="001A4DA4">
              <w:rPr>
                <w:rFonts w:cs="Arial"/>
                <w:sz w:val="16"/>
                <w:szCs w:val="16"/>
              </w:rPr>
              <w:t>1</w:t>
            </w:r>
          </w:p>
        </w:tc>
        <w:tc>
          <w:tcPr>
            <w:tcW w:w="2343" w:type="dxa"/>
            <w:tcBorders>
              <w:top w:val="single" w:sz="6" w:space="0" w:color="008000"/>
            </w:tcBorders>
            <w:tcMar>
              <w:top w:w="0" w:type="dxa"/>
              <w:left w:w="0" w:type="dxa"/>
              <w:bottom w:w="0" w:type="dxa"/>
              <w:right w:w="0" w:type="dxa"/>
            </w:tcMar>
          </w:tcPr>
          <w:p w14:paraId="48C9E687" w14:textId="77777777" w:rsidR="001A08FA" w:rsidRPr="001A4DA4" w:rsidRDefault="001A08FA" w:rsidP="0043341A">
            <w:pPr>
              <w:spacing w:line="240" w:lineRule="auto"/>
              <w:jc w:val="center"/>
              <w:rPr>
                <w:rFonts w:cs="Arial"/>
                <w:sz w:val="16"/>
                <w:szCs w:val="16"/>
              </w:rPr>
            </w:pPr>
            <w:r w:rsidRPr="001A4DA4">
              <w:rPr>
                <w:rFonts w:cs="Arial"/>
                <w:sz w:val="16"/>
                <w:szCs w:val="16"/>
              </w:rPr>
              <w:t>15-03-2019 / 28-03-2019</w:t>
            </w:r>
          </w:p>
        </w:tc>
        <w:tc>
          <w:tcPr>
            <w:tcW w:w="2582" w:type="dxa"/>
            <w:tcBorders>
              <w:top w:val="single" w:sz="6" w:space="0" w:color="008000"/>
            </w:tcBorders>
            <w:tcMar>
              <w:top w:w="0" w:type="dxa"/>
              <w:left w:w="0" w:type="dxa"/>
              <w:bottom w:w="0" w:type="dxa"/>
              <w:right w:w="0" w:type="dxa"/>
            </w:tcMar>
          </w:tcPr>
          <w:p w14:paraId="049DAFA0" w14:textId="77777777" w:rsidR="001A08FA" w:rsidRPr="001A4DA4" w:rsidRDefault="001A08FA" w:rsidP="0043341A">
            <w:pPr>
              <w:spacing w:line="240" w:lineRule="auto"/>
              <w:jc w:val="center"/>
              <w:rPr>
                <w:rFonts w:cs="Arial"/>
                <w:sz w:val="16"/>
                <w:szCs w:val="16"/>
              </w:rPr>
            </w:pPr>
            <w:r w:rsidRPr="001A4DA4">
              <w:rPr>
                <w:rFonts w:cs="Arial"/>
                <w:sz w:val="16"/>
                <w:szCs w:val="16"/>
              </w:rPr>
              <w:t>2</w:t>
            </w:r>
          </w:p>
        </w:tc>
      </w:tr>
      <w:tr w:rsidR="001A08FA" w:rsidRPr="00C108F4" w14:paraId="05506C9D" w14:textId="77777777" w:rsidTr="001A4DA4">
        <w:trPr>
          <w:trHeight w:val="191"/>
        </w:trPr>
        <w:tc>
          <w:tcPr>
            <w:tcW w:w="1100" w:type="dxa"/>
            <w:tcMar>
              <w:top w:w="0" w:type="dxa"/>
              <w:left w:w="0" w:type="dxa"/>
              <w:bottom w:w="0" w:type="dxa"/>
              <w:right w:w="0" w:type="dxa"/>
            </w:tcMar>
          </w:tcPr>
          <w:p w14:paraId="05AD1408" w14:textId="77777777" w:rsidR="001A08FA" w:rsidRPr="001A4DA4" w:rsidRDefault="001A08FA" w:rsidP="0043341A">
            <w:pPr>
              <w:spacing w:line="240" w:lineRule="auto"/>
              <w:jc w:val="center"/>
              <w:rPr>
                <w:rFonts w:cs="Arial"/>
                <w:sz w:val="16"/>
                <w:szCs w:val="16"/>
              </w:rPr>
            </w:pPr>
            <w:r w:rsidRPr="001A4DA4">
              <w:rPr>
                <w:rFonts w:cs="Arial"/>
                <w:sz w:val="16"/>
                <w:szCs w:val="16"/>
              </w:rPr>
              <w:t>2</w:t>
            </w:r>
          </w:p>
        </w:tc>
        <w:tc>
          <w:tcPr>
            <w:tcW w:w="2343" w:type="dxa"/>
            <w:tcMar>
              <w:top w:w="0" w:type="dxa"/>
              <w:left w:w="0" w:type="dxa"/>
              <w:bottom w:w="0" w:type="dxa"/>
              <w:right w:w="0" w:type="dxa"/>
            </w:tcMar>
          </w:tcPr>
          <w:p w14:paraId="5BE638EB" w14:textId="77777777" w:rsidR="001A08FA" w:rsidRPr="001A4DA4" w:rsidRDefault="001A08FA" w:rsidP="0043341A">
            <w:pPr>
              <w:spacing w:line="240" w:lineRule="auto"/>
              <w:jc w:val="center"/>
              <w:rPr>
                <w:rFonts w:cs="Arial"/>
                <w:sz w:val="16"/>
                <w:szCs w:val="16"/>
              </w:rPr>
            </w:pPr>
            <w:r w:rsidRPr="001A4DA4">
              <w:rPr>
                <w:rFonts w:cs="Arial"/>
                <w:sz w:val="16"/>
                <w:szCs w:val="16"/>
              </w:rPr>
              <w:t>01-03-2020 / 14-03-2020</w:t>
            </w:r>
          </w:p>
        </w:tc>
        <w:tc>
          <w:tcPr>
            <w:tcW w:w="2582" w:type="dxa"/>
            <w:tcMar>
              <w:top w:w="0" w:type="dxa"/>
              <w:left w:w="0" w:type="dxa"/>
              <w:bottom w:w="0" w:type="dxa"/>
              <w:right w:w="0" w:type="dxa"/>
            </w:tcMar>
          </w:tcPr>
          <w:p w14:paraId="2A226A30" w14:textId="77777777" w:rsidR="001A08FA" w:rsidRPr="001A4DA4" w:rsidRDefault="001A08FA" w:rsidP="0043341A">
            <w:pPr>
              <w:spacing w:line="240" w:lineRule="auto"/>
              <w:jc w:val="center"/>
              <w:rPr>
                <w:rFonts w:cs="Arial"/>
                <w:sz w:val="16"/>
                <w:szCs w:val="16"/>
              </w:rPr>
            </w:pPr>
            <w:r w:rsidRPr="001A4DA4">
              <w:rPr>
                <w:rFonts w:cs="Arial"/>
                <w:sz w:val="16"/>
                <w:szCs w:val="16"/>
              </w:rPr>
              <w:t>2</w:t>
            </w:r>
          </w:p>
        </w:tc>
      </w:tr>
      <w:tr w:rsidR="001A08FA" w:rsidRPr="00C108F4" w14:paraId="0A6349BB" w14:textId="77777777" w:rsidTr="001A4DA4">
        <w:trPr>
          <w:trHeight w:val="209"/>
        </w:trPr>
        <w:tc>
          <w:tcPr>
            <w:tcW w:w="1100" w:type="dxa"/>
            <w:tcMar>
              <w:top w:w="0" w:type="dxa"/>
              <w:left w:w="0" w:type="dxa"/>
              <w:bottom w:w="0" w:type="dxa"/>
              <w:right w:w="0" w:type="dxa"/>
            </w:tcMar>
          </w:tcPr>
          <w:p w14:paraId="796366D9" w14:textId="77777777" w:rsidR="001A08FA" w:rsidRPr="001A4DA4" w:rsidRDefault="001A08FA" w:rsidP="0043341A">
            <w:pPr>
              <w:spacing w:line="240" w:lineRule="auto"/>
              <w:jc w:val="center"/>
              <w:rPr>
                <w:rFonts w:cs="Arial"/>
                <w:sz w:val="16"/>
                <w:szCs w:val="16"/>
              </w:rPr>
            </w:pPr>
            <w:r w:rsidRPr="001A4DA4">
              <w:rPr>
                <w:rFonts w:cs="Arial"/>
                <w:sz w:val="16"/>
                <w:szCs w:val="16"/>
              </w:rPr>
              <w:t>3</w:t>
            </w:r>
          </w:p>
        </w:tc>
        <w:tc>
          <w:tcPr>
            <w:tcW w:w="2343" w:type="dxa"/>
            <w:tcMar>
              <w:top w:w="0" w:type="dxa"/>
              <w:left w:w="0" w:type="dxa"/>
              <w:bottom w:w="0" w:type="dxa"/>
              <w:right w:w="0" w:type="dxa"/>
            </w:tcMar>
          </w:tcPr>
          <w:p w14:paraId="756D8C4A" w14:textId="77777777" w:rsidR="001A08FA" w:rsidRPr="001A4DA4" w:rsidRDefault="001A08FA" w:rsidP="0043341A">
            <w:pPr>
              <w:spacing w:line="240" w:lineRule="auto"/>
              <w:jc w:val="center"/>
              <w:rPr>
                <w:rFonts w:cs="Arial"/>
                <w:sz w:val="16"/>
                <w:szCs w:val="16"/>
              </w:rPr>
            </w:pPr>
            <w:r w:rsidRPr="001A4DA4">
              <w:rPr>
                <w:rFonts w:cs="Arial"/>
                <w:sz w:val="16"/>
                <w:szCs w:val="16"/>
              </w:rPr>
              <w:t>15-03-2020 / 28-03-2020</w:t>
            </w:r>
          </w:p>
        </w:tc>
        <w:tc>
          <w:tcPr>
            <w:tcW w:w="2582" w:type="dxa"/>
            <w:tcMar>
              <w:top w:w="0" w:type="dxa"/>
              <w:left w:w="0" w:type="dxa"/>
              <w:bottom w:w="0" w:type="dxa"/>
              <w:right w:w="0" w:type="dxa"/>
            </w:tcMar>
          </w:tcPr>
          <w:p w14:paraId="06ABDDA9" w14:textId="77777777" w:rsidR="001A08FA" w:rsidRPr="001A4DA4" w:rsidRDefault="001A08FA" w:rsidP="0043341A">
            <w:pPr>
              <w:spacing w:line="240" w:lineRule="auto"/>
              <w:jc w:val="center"/>
              <w:rPr>
                <w:rFonts w:cs="Arial"/>
                <w:sz w:val="16"/>
                <w:szCs w:val="16"/>
              </w:rPr>
            </w:pPr>
            <w:r w:rsidRPr="001A4DA4">
              <w:rPr>
                <w:rFonts w:cs="Arial"/>
                <w:sz w:val="16"/>
                <w:szCs w:val="16"/>
              </w:rPr>
              <w:t>2</w:t>
            </w:r>
          </w:p>
        </w:tc>
      </w:tr>
      <w:tr w:rsidR="001A08FA" w:rsidRPr="00C108F4" w14:paraId="446640A6" w14:textId="77777777" w:rsidTr="001A4DA4">
        <w:trPr>
          <w:trHeight w:val="95"/>
        </w:trPr>
        <w:tc>
          <w:tcPr>
            <w:tcW w:w="1100" w:type="dxa"/>
            <w:tcMar>
              <w:top w:w="0" w:type="dxa"/>
              <w:left w:w="0" w:type="dxa"/>
              <w:bottom w:w="0" w:type="dxa"/>
              <w:right w:w="0" w:type="dxa"/>
            </w:tcMar>
          </w:tcPr>
          <w:p w14:paraId="1E103A4A" w14:textId="77777777" w:rsidR="001A08FA" w:rsidRPr="001A4DA4" w:rsidRDefault="001A08FA" w:rsidP="0043341A">
            <w:pPr>
              <w:spacing w:line="240" w:lineRule="auto"/>
              <w:jc w:val="center"/>
              <w:rPr>
                <w:rFonts w:cs="Arial"/>
                <w:sz w:val="16"/>
                <w:szCs w:val="16"/>
              </w:rPr>
            </w:pPr>
            <w:r w:rsidRPr="001A4DA4">
              <w:rPr>
                <w:rFonts w:cs="Arial"/>
                <w:sz w:val="16"/>
                <w:szCs w:val="16"/>
              </w:rPr>
              <w:t>4</w:t>
            </w:r>
          </w:p>
        </w:tc>
        <w:tc>
          <w:tcPr>
            <w:tcW w:w="2343" w:type="dxa"/>
            <w:tcMar>
              <w:top w:w="0" w:type="dxa"/>
              <w:left w:w="0" w:type="dxa"/>
              <w:bottom w:w="0" w:type="dxa"/>
              <w:right w:w="0" w:type="dxa"/>
            </w:tcMar>
          </w:tcPr>
          <w:p w14:paraId="6F98FAED" w14:textId="77777777" w:rsidR="001A08FA" w:rsidRPr="001A4DA4" w:rsidRDefault="001A08FA" w:rsidP="0043341A">
            <w:pPr>
              <w:spacing w:line="240" w:lineRule="auto"/>
              <w:jc w:val="center"/>
              <w:rPr>
                <w:rFonts w:cs="Arial"/>
                <w:sz w:val="16"/>
                <w:szCs w:val="16"/>
              </w:rPr>
            </w:pPr>
            <w:r w:rsidRPr="001A4DA4">
              <w:rPr>
                <w:rFonts w:cs="Arial"/>
                <w:sz w:val="16"/>
                <w:szCs w:val="16"/>
              </w:rPr>
              <w:t>29-03-2020 / 11-04-2020</w:t>
            </w:r>
          </w:p>
        </w:tc>
        <w:tc>
          <w:tcPr>
            <w:tcW w:w="2582" w:type="dxa"/>
            <w:tcMar>
              <w:top w:w="0" w:type="dxa"/>
              <w:left w:w="0" w:type="dxa"/>
              <w:bottom w:w="0" w:type="dxa"/>
              <w:right w:w="0" w:type="dxa"/>
            </w:tcMar>
          </w:tcPr>
          <w:p w14:paraId="5ADF5254" w14:textId="77777777" w:rsidR="001A08FA" w:rsidRPr="001A4DA4" w:rsidRDefault="001A08FA" w:rsidP="0043341A">
            <w:pPr>
              <w:spacing w:line="240" w:lineRule="auto"/>
              <w:jc w:val="center"/>
              <w:rPr>
                <w:rFonts w:cs="Arial"/>
                <w:sz w:val="16"/>
                <w:szCs w:val="16"/>
              </w:rPr>
            </w:pPr>
            <w:r w:rsidRPr="001A4DA4">
              <w:rPr>
                <w:rFonts w:cs="Arial"/>
                <w:sz w:val="16"/>
                <w:szCs w:val="16"/>
              </w:rPr>
              <w:t>2</w:t>
            </w:r>
          </w:p>
        </w:tc>
      </w:tr>
    </w:tbl>
    <w:p w14:paraId="4251B0CE" w14:textId="77777777" w:rsidR="00240E37" w:rsidRDefault="00240E37" w:rsidP="00240E37">
      <w:pPr>
        <w:pStyle w:val="CETheadingx"/>
      </w:pPr>
    </w:p>
    <w:p w14:paraId="320E3FF0" w14:textId="4020B878" w:rsidR="00AB6233" w:rsidRPr="003E6D91" w:rsidRDefault="00C14646" w:rsidP="003E6D91">
      <w:pPr>
        <w:pStyle w:val="CETheadingx"/>
        <w:spacing w:before="120" w:after="120"/>
      </w:pPr>
      <w:r w:rsidRPr="003E6D91">
        <w:t>2.3</w:t>
      </w:r>
      <w:r w:rsidR="00AB6233" w:rsidRPr="003E6D91">
        <w:t xml:space="preserve"> </w:t>
      </w:r>
      <w:r w:rsidR="003160D0" w:rsidRPr="005C0286">
        <w:t>Sentinel-5P image processing</w:t>
      </w:r>
    </w:p>
    <w:p w14:paraId="0A16C0A6" w14:textId="77777777" w:rsidR="003160D0" w:rsidRPr="005C0286" w:rsidRDefault="003160D0" w:rsidP="003E6D91">
      <w:pPr>
        <w:spacing w:after="240"/>
        <w:rPr>
          <w:rFonts w:cs="Arial"/>
          <w:szCs w:val="18"/>
          <w:lang w:val="en-US"/>
        </w:rPr>
      </w:pPr>
      <w:r w:rsidRPr="005C0286">
        <w:rPr>
          <w:rFonts w:cs="Arial"/>
          <w:szCs w:val="18"/>
          <w:lang w:val="en-US"/>
        </w:rPr>
        <w:t xml:space="preserve">The Sentinel-5P images were downloaded taking into consideration the processing level, the detection period and the quadrant of the study area. SNAP Desktop Software was used to extract the information from the </w:t>
      </w:r>
      <w:r>
        <w:rPr>
          <w:rFonts w:cs="Arial"/>
          <w:szCs w:val="18"/>
          <w:lang w:val="en-US"/>
        </w:rPr>
        <w:t>.</w:t>
      </w:r>
      <w:r w:rsidRPr="005C0286">
        <w:rPr>
          <w:rFonts w:cs="Arial"/>
          <w:szCs w:val="18"/>
          <w:lang w:val="en-US"/>
        </w:rPr>
        <w:t>netCDF files and project them to the WGS-84 system. In addition, Qgis software was used to create the point shape of the ci</w:t>
      </w:r>
      <w:r>
        <w:rPr>
          <w:rFonts w:cs="Arial"/>
          <w:szCs w:val="18"/>
          <w:lang w:val="en-US"/>
        </w:rPr>
        <w:t>ties and store the data in the .</w:t>
      </w:r>
      <w:r w:rsidRPr="005C0286">
        <w:rPr>
          <w:rFonts w:cs="Arial"/>
          <w:szCs w:val="18"/>
          <w:lang w:val="en-US"/>
        </w:rPr>
        <w:t>dbf files to be later worked in Microsoft Excel. Finally, data recording was performed with the values of the gases studied to perform the</w:t>
      </w:r>
      <w:r>
        <w:rPr>
          <w:rFonts w:cs="Arial"/>
          <w:szCs w:val="18"/>
          <w:lang w:val="en-US"/>
        </w:rPr>
        <w:t xml:space="preserve"> statistical analysis</w:t>
      </w:r>
      <w:r w:rsidRPr="005C0286">
        <w:rPr>
          <w:rFonts w:cs="Arial"/>
          <w:szCs w:val="18"/>
          <w:lang w:val="en-US"/>
        </w:rPr>
        <w:t>.</w:t>
      </w:r>
    </w:p>
    <w:p w14:paraId="53916F98" w14:textId="044EDE43" w:rsidR="003160D0" w:rsidRPr="003E6D91" w:rsidRDefault="003160D0" w:rsidP="003E6D91">
      <w:pPr>
        <w:pStyle w:val="CETheadingx"/>
        <w:spacing w:before="120" w:after="120"/>
      </w:pPr>
      <w:r w:rsidRPr="003E6D91">
        <w:t xml:space="preserve">2.5 </w:t>
      </w:r>
      <w:r w:rsidRPr="00297665">
        <w:t>Descriptive and inferential statistical analysis</w:t>
      </w:r>
    </w:p>
    <w:p w14:paraId="1A2D3686" w14:textId="14F8A888" w:rsidR="003160D0" w:rsidRDefault="00240E37" w:rsidP="003E6D91">
      <w:pPr>
        <w:spacing w:after="240"/>
        <w:rPr>
          <w:rFonts w:cs="Arial"/>
          <w:szCs w:val="18"/>
          <w:lang w:val="en-US"/>
        </w:rPr>
      </w:pPr>
      <w:r w:rsidRPr="00240E37">
        <w:rPr>
          <w:rFonts w:cs="Arial"/>
          <w:szCs w:val="18"/>
          <w:lang w:val="en-US"/>
        </w:rPr>
        <w:t>The Shapiro-Wilk statistic was used for normality and Levene's statistic for data homogeneity. In addition, Pearson's correlation was used for parametric data and Spearman's correlation for nonparametric data.</w:t>
      </w:r>
    </w:p>
    <w:p w14:paraId="38DCBA19" w14:textId="33E1E03B" w:rsidR="00D8620B" w:rsidRPr="00C14646" w:rsidRDefault="00C14646" w:rsidP="00C14646">
      <w:pPr>
        <w:pStyle w:val="CETHeading1"/>
        <w:rPr>
          <w:lang w:val="en-GB"/>
        </w:rPr>
      </w:pPr>
      <w:r>
        <w:rPr>
          <w:lang w:val="en-GB"/>
        </w:rPr>
        <w:lastRenderedPageBreak/>
        <w:t xml:space="preserve">3. </w:t>
      </w:r>
      <w:r w:rsidR="00F70BF4">
        <w:t>Results and discussion</w:t>
      </w:r>
    </w:p>
    <w:p w14:paraId="335AD439" w14:textId="05C32B70" w:rsidR="00D8620B" w:rsidRPr="00511A7A" w:rsidRDefault="00C14646" w:rsidP="003E6D91">
      <w:pPr>
        <w:pStyle w:val="CETheadingx"/>
        <w:spacing w:before="120" w:after="120"/>
      </w:pPr>
      <w:r w:rsidRPr="00C14646">
        <w:t>3.1</w:t>
      </w:r>
      <w:r w:rsidR="00D8620B" w:rsidRPr="00C14646">
        <w:t xml:space="preserve"> </w:t>
      </w:r>
      <w:r w:rsidR="00240E37" w:rsidRPr="00240E37">
        <w:t>Pearson's and Spearman's correlations</w:t>
      </w:r>
    </w:p>
    <w:p w14:paraId="3E8C6939" w14:textId="5ED4EB1D" w:rsidR="00D8620B" w:rsidRPr="00D8620B" w:rsidRDefault="00240E37" w:rsidP="00D8620B">
      <w:pPr>
        <w:pStyle w:val="CETBodytext"/>
      </w:pPr>
      <w:r w:rsidRPr="00240E37">
        <w:t>For the statistical analysis, NO</w:t>
      </w:r>
      <w:r w:rsidRPr="00DE5F9E">
        <w:rPr>
          <w:vertAlign w:val="subscript"/>
        </w:rPr>
        <w:t>2</w:t>
      </w:r>
      <w:r w:rsidRPr="00240E37">
        <w:t xml:space="preserve"> and O</w:t>
      </w:r>
      <w:r w:rsidRPr="00DE5F9E">
        <w:rPr>
          <w:vertAlign w:val="subscript"/>
        </w:rPr>
        <w:t>3</w:t>
      </w:r>
      <w:r w:rsidRPr="00240E37">
        <w:t xml:space="preserve"> gases were used in the cities of Bogotá, Quito, Lima, Santiago de Chile and Buenos Aires. The CO gas was worked in the cities of Bogota, Quito, Lima and Santiago de Chile. For SO</w:t>
      </w:r>
      <w:r w:rsidRPr="00DE5F9E">
        <w:rPr>
          <w:vertAlign w:val="subscript"/>
        </w:rPr>
        <w:t>2</w:t>
      </w:r>
      <w:r w:rsidRPr="00240E37">
        <w:t xml:space="preserve"> gas, the data were disregarded because they did not have a good significance. Table 2 shows the Pearson and Spearman correlation coefficients for the gases studied in the different cities.</w:t>
      </w:r>
    </w:p>
    <w:p w14:paraId="44B59072" w14:textId="00BB17B4" w:rsidR="00D8620B" w:rsidRDefault="00240E37" w:rsidP="00D8620B">
      <w:pPr>
        <w:pStyle w:val="CETTabletitle"/>
        <w:rPr>
          <w:lang w:val="en-US"/>
        </w:rPr>
      </w:pPr>
      <w:r>
        <w:rPr>
          <w:lang w:val="en-US"/>
        </w:rPr>
        <w:t>Table 2</w:t>
      </w:r>
      <w:r w:rsidR="00D8620B" w:rsidRPr="00511A7A">
        <w:rPr>
          <w:lang w:val="en-US"/>
        </w:rPr>
        <w:t xml:space="preserve">: </w:t>
      </w:r>
      <w:r w:rsidRPr="00240E37">
        <w:rPr>
          <w:lang w:val="en-US"/>
        </w:rPr>
        <w:t>Summary of correlation coefficients</w:t>
      </w:r>
    </w:p>
    <w:tbl>
      <w:tblPr>
        <w:tblW w:w="7667" w:type="dxa"/>
        <w:tblBorders>
          <w:top w:val="single" w:sz="12" w:space="0" w:color="008000"/>
          <w:bottom w:val="single" w:sz="12" w:space="0" w:color="008000"/>
        </w:tblBorders>
        <w:tblLayout w:type="fixed"/>
        <w:tblLook w:val="0600" w:firstRow="0" w:lastRow="0" w:firstColumn="0" w:lastColumn="0" w:noHBand="1" w:noVBand="1"/>
      </w:tblPr>
      <w:tblGrid>
        <w:gridCol w:w="655"/>
        <w:gridCol w:w="1191"/>
        <w:gridCol w:w="1057"/>
        <w:gridCol w:w="908"/>
        <w:gridCol w:w="1136"/>
        <w:gridCol w:w="915"/>
        <w:gridCol w:w="707"/>
        <w:gridCol w:w="1098"/>
      </w:tblGrid>
      <w:tr w:rsidR="001D374A" w:rsidRPr="00C108F4" w14:paraId="138BE214" w14:textId="77777777" w:rsidTr="00651C99">
        <w:trPr>
          <w:trHeight w:val="38"/>
        </w:trPr>
        <w:tc>
          <w:tcPr>
            <w:tcW w:w="655" w:type="dxa"/>
            <w:vMerge w:val="restart"/>
            <w:tcBorders>
              <w:top w:val="single" w:sz="12" w:space="0" w:color="008000"/>
              <w:bottom w:val="single" w:sz="6" w:space="0" w:color="008000"/>
            </w:tcBorders>
            <w:tcMar>
              <w:top w:w="0" w:type="dxa"/>
              <w:left w:w="0" w:type="dxa"/>
              <w:bottom w:w="0" w:type="dxa"/>
              <w:right w:w="0" w:type="dxa"/>
            </w:tcMar>
            <w:vAlign w:val="center"/>
          </w:tcPr>
          <w:p w14:paraId="37482324" w14:textId="77777777" w:rsidR="003E6D91" w:rsidRPr="00651C99" w:rsidRDefault="003E6D91" w:rsidP="003E6D91">
            <w:pPr>
              <w:spacing w:line="240" w:lineRule="auto"/>
              <w:jc w:val="center"/>
              <w:rPr>
                <w:rFonts w:cs="Arial"/>
                <w:sz w:val="16"/>
                <w:szCs w:val="16"/>
              </w:rPr>
            </w:pPr>
            <w:r w:rsidRPr="00651C99">
              <w:rPr>
                <w:rFonts w:cs="Arial"/>
                <w:sz w:val="16"/>
                <w:szCs w:val="16"/>
              </w:rPr>
              <w:t>Gas</w:t>
            </w:r>
          </w:p>
        </w:tc>
        <w:tc>
          <w:tcPr>
            <w:tcW w:w="1191" w:type="dxa"/>
            <w:vMerge w:val="restart"/>
            <w:tcBorders>
              <w:top w:val="single" w:sz="12" w:space="0" w:color="008000"/>
              <w:bottom w:val="single" w:sz="6" w:space="0" w:color="008000"/>
            </w:tcBorders>
            <w:tcMar>
              <w:top w:w="0" w:type="dxa"/>
              <w:left w:w="0" w:type="dxa"/>
              <w:bottom w:w="0" w:type="dxa"/>
              <w:right w:w="0" w:type="dxa"/>
            </w:tcMar>
            <w:vAlign w:val="center"/>
          </w:tcPr>
          <w:p w14:paraId="6578F637" w14:textId="1282A2D1" w:rsidR="003E6D91" w:rsidRPr="00651C99" w:rsidRDefault="003E6D91" w:rsidP="003E6D91">
            <w:pPr>
              <w:spacing w:line="240" w:lineRule="auto"/>
              <w:jc w:val="center"/>
              <w:rPr>
                <w:rFonts w:cs="Arial"/>
                <w:sz w:val="16"/>
                <w:szCs w:val="16"/>
              </w:rPr>
            </w:pPr>
            <w:r w:rsidRPr="00651C99">
              <w:rPr>
                <w:rFonts w:cs="Arial"/>
                <w:sz w:val="16"/>
                <w:szCs w:val="16"/>
              </w:rPr>
              <w:t>City</w:t>
            </w:r>
          </w:p>
        </w:tc>
        <w:tc>
          <w:tcPr>
            <w:tcW w:w="4016" w:type="dxa"/>
            <w:gridSpan w:val="4"/>
            <w:tcBorders>
              <w:top w:val="single" w:sz="12" w:space="0" w:color="008000"/>
              <w:bottom w:val="single" w:sz="6" w:space="0" w:color="008000"/>
            </w:tcBorders>
            <w:tcMar>
              <w:top w:w="0" w:type="dxa"/>
              <w:left w:w="0" w:type="dxa"/>
              <w:bottom w:w="0" w:type="dxa"/>
              <w:right w:w="0" w:type="dxa"/>
            </w:tcMar>
            <w:vAlign w:val="center"/>
          </w:tcPr>
          <w:p w14:paraId="6C8A8986" w14:textId="7B6ED7F9" w:rsidR="003E6D91" w:rsidRPr="00651C99" w:rsidRDefault="003E6D91" w:rsidP="003E6D91">
            <w:pPr>
              <w:spacing w:line="240" w:lineRule="auto"/>
              <w:jc w:val="center"/>
              <w:rPr>
                <w:rFonts w:cs="Arial"/>
                <w:sz w:val="16"/>
                <w:szCs w:val="16"/>
              </w:rPr>
            </w:pPr>
            <w:r w:rsidRPr="00651C99">
              <w:rPr>
                <w:rFonts w:cs="Arial"/>
                <w:sz w:val="16"/>
                <w:szCs w:val="16"/>
              </w:rPr>
              <w:t>Correlation</w:t>
            </w:r>
          </w:p>
        </w:tc>
        <w:tc>
          <w:tcPr>
            <w:tcW w:w="1805" w:type="dxa"/>
            <w:gridSpan w:val="2"/>
            <w:tcBorders>
              <w:top w:val="single" w:sz="12" w:space="0" w:color="008000"/>
              <w:bottom w:val="single" w:sz="6" w:space="0" w:color="008000"/>
            </w:tcBorders>
            <w:shd w:val="clear" w:color="auto" w:fill="auto"/>
            <w:tcMar>
              <w:top w:w="0" w:type="dxa"/>
              <w:left w:w="0" w:type="dxa"/>
              <w:bottom w:w="0" w:type="dxa"/>
              <w:right w:w="0" w:type="dxa"/>
            </w:tcMar>
            <w:vAlign w:val="center"/>
          </w:tcPr>
          <w:p w14:paraId="19CAC8F3" w14:textId="15BC1347" w:rsidR="003E6D91" w:rsidRPr="00651C99" w:rsidRDefault="003E6D91" w:rsidP="003E6D91">
            <w:pPr>
              <w:spacing w:line="240" w:lineRule="auto"/>
              <w:jc w:val="center"/>
              <w:rPr>
                <w:rFonts w:cs="Arial"/>
                <w:sz w:val="16"/>
                <w:szCs w:val="16"/>
              </w:rPr>
            </w:pPr>
            <w:r w:rsidRPr="00651C99">
              <w:rPr>
                <w:rFonts w:cs="Arial"/>
                <w:sz w:val="16"/>
                <w:szCs w:val="16"/>
              </w:rPr>
              <w:t>Regression</w:t>
            </w:r>
          </w:p>
        </w:tc>
      </w:tr>
      <w:tr w:rsidR="001D374A" w:rsidRPr="00C108F4" w14:paraId="6D7707A4" w14:textId="77777777" w:rsidTr="00651C99">
        <w:trPr>
          <w:trHeight w:val="66"/>
        </w:trPr>
        <w:tc>
          <w:tcPr>
            <w:tcW w:w="655" w:type="dxa"/>
            <w:vMerge/>
            <w:tcBorders>
              <w:top w:val="single" w:sz="6" w:space="0" w:color="008000"/>
              <w:bottom w:val="single" w:sz="6" w:space="0" w:color="008000"/>
            </w:tcBorders>
            <w:shd w:val="clear" w:color="auto" w:fill="auto"/>
            <w:tcMar>
              <w:top w:w="0" w:type="dxa"/>
              <w:left w:w="0" w:type="dxa"/>
              <w:bottom w:w="0" w:type="dxa"/>
              <w:right w:w="0" w:type="dxa"/>
            </w:tcMar>
            <w:vAlign w:val="center"/>
          </w:tcPr>
          <w:p w14:paraId="786CDDE6" w14:textId="77777777" w:rsidR="003E6D91" w:rsidRPr="00651C99" w:rsidRDefault="003E6D91" w:rsidP="003E6D91">
            <w:pPr>
              <w:widowControl w:val="0"/>
              <w:jc w:val="center"/>
              <w:rPr>
                <w:rFonts w:cs="Arial"/>
                <w:sz w:val="16"/>
                <w:szCs w:val="16"/>
              </w:rPr>
            </w:pPr>
          </w:p>
        </w:tc>
        <w:tc>
          <w:tcPr>
            <w:tcW w:w="1191" w:type="dxa"/>
            <w:vMerge/>
            <w:tcBorders>
              <w:top w:val="single" w:sz="6" w:space="0" w:color="008000"/>
              <w:bottom w:val="single" w:sz="6" w:space="0" w:color="008000"/>
            </w:tcBorders>
            <w:shd w:val="clear" w:color="auto" w:fill="auto"/>
            <w:tcMar>
              <w:top w:w="0" w:type="dxa"/>
              <w:left w:w="0" w:type="dxa"/>
              <w:bottom w:w="0" w:type="dxa"/>
              <w:right w:w="0" w:type="dxa"/>
            </w:tcMar>
            <w:vAlign w:val="center"/>
          </w:tcPr>
          <w:p w14:paraId="0389A915" w14:textId="77777777" w:rsidR="003E6D91" w:rsidRPr="00651C99" w:rsidRDefault="003E6D91" w:rsidP="003E6D91">
            <w:pPr>
              <w:widowControl w:val="0"/>
              <w:jc w:val="center"/>
              <w:rPr>
                <w:rFonts w:cs="Arial"/>
                <w:sz w:val="16"/>
                <w:szCs w:val="16"/>
              </w:rPr>
            </w:pPr>
          </w:p>
        </w:tc>
        <w:tc>
          <w:tcPr>
            <w:tcW w:w="1057" w:type="dxa"/>
            <w:tcBorders>
              <w:top w:val="single" w:sz="6" w:space="0" w:color="008000"/>
              <w:bottom w:val="single" w:sz="6" w:space="0" w:color="008000"/>
            </w:tcBorders>
            <w:shd w:val="clear" w:color="auto" w:fill="auto"/>
            <w:tcMar>
              <w:top w:w="0" w:type="dxa"/>
              <w:left w:w="0" w:type="dxa"/>
              <w:bottom w:w="0" w:type="dxa"/>
              <w:right w:w="0" w:type="dxa"/>
            </w:tcMar>
            <w:vAlign w:val="center"/>
          </w:tcPr>
          <w:p w14:paraId="53284D17" w14:textId="77777777" w:rsidR="003E6D91" w:rsidRPr="00651C99" w:rsidRDefault="003E6D91" w:rsidP="003E6D91">
            <w:pPr>
              <w:spacing w:line="240" w:lineRule="auto"/>
              <w:jc w:val="center"/>
              <w:rPr>
                <w:rFonts w:cs="Arial"/>
                <w:sz w:val="16"/>
                <w:szCs w:val="16"/>
              </w:rPr>
            </w:pPr>
            <w:r w:rsidRPr="00651C99">
              <w:rPr>
                <w:rFonts w:cs="Arial"/>
                <w:sz w:val="16"/>
                <w:szCs w:val="16"/>
              </w:rPr>
              <w:t>Pearson</w:t>
            </w:r>
          </w:p>
        </w:tc>
        <w:tc>
          <w:tcPr>
            <w:tcW w:w="908" w:type="dxa"/>
            <w:tcBorders>
              <w:top w:val="single" w:sz="6" w:space="0" w:color="008000"/>
              <w:bottom w:val="single" w:sz="6" w:space="0" w:color="008000"/>
            </w:tcBorders>
            <w:shd w:val="clear" w:color="auto" w:fill="auto"/>
            <w:tcMar>
              <w:top w:w="0" w:type="dxa"/>
              <w:left w:w="0" w:type="dxa"/>
              <w:bottom w:w="0" w:type="dxa"/>
              <w:right w:w="0" w:type="dxa"/>
            </w:tcMar>
            <w:vAlign w:val="center"/>
          </w:tcPr>
          <w:p w14:paraId="4C22499D" w14:textId="77777777" w:rsidR="003E6D91" w:rsidRPr="00651C99" w:rsidRDefault="003E6D91" w:rsidP="003E6D91">
            <w:pPr>
              <w:spacing w:line="240" w:lineRule="auto"/>
              <w:jc w:val="center"/>
              <w:rPr>
                <w:rFonts w:cs="Arial"/>
                <w:sz w:val="16"/>
                <w:szCs w:val="16"/>
              </w:rPr>
            </w:pPr>
            <w:r w:rsidRPr="00651C99">
              <w:rPr>
                <w:rFonts w:cs="Arial"/>
                <w:sz w:val="16"/>
                <w:szCs w:val="16"/>
              </w:rPr>
              <w:t>Sig</w:t>
            </w:r>
          </w:p>
        </w:tc>
        <w:tc>
          <w:tcPr>
            <w:tcW w:w="1136" w:type="dxa"/>
            <w:tcBorders>
              <w:top w:val="single" w:sz="6" w:space="0" w:color="008000"/>
              <w:bottom w:val="single" w:sz="6" w:space="0" w:color="008000"/>
            </w:tcBorders>
            <w:shd w:val="clear" w:color="auto" w:fill="auto"/>
            <w:tcMar>
              <w:top w:w="0" w:type="dxa"/>
              <w:left w:w="0" w:type="dxa"/>
              <w:bottom w:w="0" w:type="dxa"/>
              <w:right w:w="0" w:type="dxa"/>
            </w:tcMar>
            <w:vAlign w:val="center"/>
          </w:tcPr>
          <w:p w14:paraId="5A6EF934" w14:textId="77777777" w:rsidR="003E6D91" w:rsidRPr="00651C99" w:rsidRDefault="003E6D91" w:rsidP="003E6D91">
            <w:pPr>
              <w:spacing w:line="240" w:lineRule="auto"/>
              <w:jc w:val="center"/>
              <w:rPr>
                <w:rFonts w:cs="Arial"/>
                <w:sz w:val="16"/>
                <w:szCs w:val="16"/>
              </w:rPr>
            </w:pPr>
            <w:r w:rsidRPr="00651C99">
              <w:rPr>
                <w:rFonts w:cs="Arial"/>
                <w:sz w:val="16"/>
                <w:szCs w:val="16"/>
              </w:rPr>
              <w:t>Spearman</w:t>
            </w:r>
          </w:p>
        </w:tc>
        <w:tc>
          <w:tcPr>
            <w:tcW w:w="914" w:type="dxa"/>
            <w:tcBorders>
              <w:top w:val="single" w:sz="6" w:space="0" w:color="008000"/>
              <w:bottom w:val="single" w:sz="6" w:space="0" w:color="008000"/>
            </w:tcBorders>
            <w:shd w:val="clear" w:color="auto" w:fill="auto"/>
            <w:tcMar>
              <w:top w:w="0" w:type="dxa"/>
              <w:left w:w="0" w:type="dxa"/>
              <w:bottom w:w="0" w:type="dxa"/>
              <w:right w:w="0" w:type="dxa"/>
            </w:tcMar>
            <w:vAlign w:val="center"/>
          </w:tcPr>
          <w:p w14:paraId="6E5B32AE" w14:textId="77777777" w:rsidR="003E6D91" w:rsidRPr="00651C99" w:rsidRDefault="003E6D91" w:rsidP="003E6D91">
            <w:pPr>
              <w:spacing w:line="240" w:lineRule="auto"/>
              <w:jc w:val="center"/>
              <w:rPr>
                <w:rFonts w:cs="Arial"/>
                <w:sz w:val="16"/>
                <w:szCs w:val="16"/>
              </w:rPr>
            </w:pPr>
            <w:r w:rsidRPr="00651C99">
              <w:rPr>
                <w:rFonts w:cs="Arial"/>
                <w:sz w:val="16"/>
                <w:szCs w:val="16"/>
              </w:rPr>
              <w:t>Sig</w:t>
            </w:r>
          </w:p>
        </w:tc>
        <w:tc>
          <w:tcPr>
            <w:tcW w:w="707" w:type="dxa"/>
            <w:tcBorders>
              <w:top w:val="single" w:sz="6" w:space="0" w:color="008000"/>
              <w:bottom w:val="single" w:sz="6" w:space="0" w:color="008000"/>
            </w:tcBorders>
            <w:shd w:val="clear" w:color="auto" w:fill="auto"/>
            <w:tcMar>
              <w:top w:w="0" w:type="dxa"/>
              <w:left w:w="0" w:type="dxa"/>
              <w:bottom w:w="0" w:type="dxa"/>
              <w:right w:w="0" w:type="dxa"/>
            </w:tcMar>
            <w:vAlign w:val="center"/>
          </w:tcPr>
          <w:p w14:paraId="3BB4218A" w14:textId="77777777" w:rsidR="003E6D91" w:rsidRPr="00651C99" w:rsidRDefault="003E6D91" w:rsidP="003E6D91">
            <w:pPr>
              <w:spacing w:line="240" w:lineRule="auto"/>
              <w:jc w:val="center"/>
              <w:rPr>
                <w:rFonts w:cs="Arial"/>
                <w:sz w:val="16"/>
                <w:szCs w:val="16"/>
              </w:rPr>
            </w:pPr>
            <w:r w:rsidRPr="00651C99">
              <w:rPr>
                <w:rFonts w:cs="Arial"/>
                <w:sz w:val="16"/>
                <w:szCs w:val="16"/>
              </w:rPr>
              <w:t>R</w:t>
            </w:r>
            <w:r w:rsidRPr="00651C99">
              <w:rPr>
                <w:rFonts w:cs="Arial"/>
                <w:sz w:val="16"/>
                <w:szCs w:val="16"/>
                <w:vertAlign w:val="superscript"/>
              </w:rPr>
              <w:t>2</w:t>
            </w:r>
          </w:p>
        </w:tc>
        <w:tc>
          <w:tcPr>
            <w:tcW w:w="1097" w:type="dxa"/>
            <w:tcBorders>
              <w:top w:val="single" w:sz="6" w:space="0" w:color="008000"/>
              <w:bottom w:val="single" w:sz="6" w:space="0" w:color="008000"/>
            </w:tcBorders>
            <w:shd w:val="clear" w:color="auto" w:fill="auto"/>
            <w:tcMar>
              <w:top w:w="0" w:type="dxa"/>
              <w:left w:w="0" w:type="dxa"/>
              <w:bottom w:w="0" w:type="dxa"/>
              <w:right w:w="0" w:type="dxa"/>
            </w:tcMar>
            <w:vAlign w:val="center"/>
          </w:tcPr>
          <w:p w14:paraId="08778D5E" w14:textId="77777777" w:rsidR="003E6D91" w:rsidRPr="00651C99" w:rsidRDefault="003E6D91" w:rsidP="003E6D91">
            <w:pPr>
              <w:spacing w:line="240" w:lineRule="auto"/>
              <w:jc w:val="center"/>
              <w:rPr>
                <w:rFonts w:cs="Arial"/>
                <w:sz w:val="16"/>
                <w:szCs w:val="16"/>
              </w:rPr>
            </w:pPr>
            <w:r w:rsidRPr="00651C99">
              <w:rPr>
                <w:rFonts w:cs="Arial"/>
                <w:sz w:val="16"/>
                <w:szCs w:val="16"/>
              </w:rPr>
              <w:t>Sig ANOVA</w:t>
            </w:r>
          </w:p>
        </w:tc>
      </w:tr>
      <w:tr w:rsidR="001D374A" w:rsidRPr="00C108F4" w14:paraId="106D78BB" w14:textId="77777777" w:rsidTr="00651C99">
        <w:trPr>
          <w:trHeight w:val="124"/>
        </w:trPr>
        <w:tc>
          <w:tcPr>
            <w:tcW w:w="655" w:type="dxa"/>
            <w:vMerge w:val="restart"/>
            <w:tcBorders>
              <w:top w:val="single" w:sz="6" w:space="0" w:color="008000"/>
              <w:bottom w:val="nil"/>
            </w:tcBorders>
            <w:shd w:val="clear" w:color="auto" w:fill="auto"/>
            <w:tcMar>
              <w:top w:w="0" w:type="dxa"/>
              <w:left w:w="0" w:type="dxa"/>
              <w:bottom w:w="0" w:type="dxa"/>
              <w:right w:w="0" w:type="dxa"/>
            </w:tcMar>
            <w:vAlign w:val="center"/>
          </w:tcPr>
          <w:p w14:paraId="0A6D1D23" w14:textId="77777777" w:rsidR="003E6D91" w:rsidRPr="00651C99" w:rsidRDefault="003E6D91" w:rsidP="003E6D91">
            <w:pPr>
              <w:spacing w:line="240" w:lineRule="auto"/>
              <w:jc w:val="center"/>
              <w:rPr>
                <w:rFonts w:cs="Arial"/>
                <w:sz w:val="16"/>
                <w:szCs w:val="16"/>
              </w:rPr>
            </w:pPr>
            <w:r w:rsidRPr="00651C99">
              <w:rPr>
                <w:rFonts w:cs="Arial"/>
                <w:sz w:val="16"/>
                <w:szCs w:val="16"/>
              </w:rPr>
              <w:t>NO2</w:t>
            </w:r>
          </w:p>
        </w:tc>
        <w:tc>
          <w:tcPr>
            <w:tcW w:w="1191" w:type="dxa"/>
            <w:tcBorders>
              <w:top w:val="single" w:sz="6" w:space="0" w:color="008000"/>
              <w:bottom w:val="nil"/>
            </w:tcBorders>
            <w:shd w:val="clear" w:color="auto" w:fill="auto"/>
            <w:tcMar>
              <w:top w:w="0" w:type="dxa"/>
              <w:left w:w="0" w:type="dxa"/>
              <w:bottom w:w="0" w:type="dxa"/>
              <w:right w:w="0" w:type="dxa"/>
            </w:tcMar>
            <w:vAlign w:val="center"/>
          </w:tcPr>
          <w:p w14:paraId="17037340" w14:textId="77777777" w:rsidR="003E6D91" w:rsidRPr="00651C99" w:rsidRDefault="003E6D91" w:rsidP="003E6D91">
            <w:pPr>
              <w:spacing w:line="240" w:lineRule="auto"/>
              <w:jc w:val="center"/>
              <w:rPr>
                <w:rFonts w:cs="Arial"/>
                <w:sz w:val="16"/>
                <w:szCs w:val="16"/>
              </w:rPr>
            </w:pPr>
            <w:r w:rsidRPr="00651C99">
              <w:rPr>
                <w:rFonts w:cs="Arial"/>
                <w:sz w:val="16"/>
                <w:szCs w:val="16"/>
              </w:rPr>
              <w:t>Lima</w:t>
            </w:r>
          </w:p>
        </w:tc>
        <w:tc>
          <w:tcPr>
            <w:tcW w:w="1057" w:type="dxa"/>
            <w:tcBorders>
              <w:top w:val="single" w:sz="6" w:space="0" w:color="008000"/>
              <w:bottom w:val="nil"/>
            </w:tcBorders>
            <w:shd w:val="clear" w:color="auto" w:fill="auto"/>
            <w:tcMar>
              <w:top w:w="0" w:type="dxa"/>
              <w:left w:w="0" w:type="dxa"/>
              <w:bottom w:w="0" w:type="dxa"/>
              <w:right w:w="0" w:type="dxa"/>
            </w:tcMar>
            <w:vAlign w:val="center"/>
          </w:tcPr>
          <w:p w14:paraId="7A69262E" w14:textId="3609BE99"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569</w:t>
            </w:r>
          </w:p>
        </w:tc>
        <w:tc>
          <w:tcPr>
            <w:tcW w:w="908" w:type="dxa"/>
            <w:tcBorders>
              <w:top w:val="single" w:sz="6" w:space="0" w:color="008000"/>
              <w:bottom w:val="nil"/>
            </w:tcBorders>
            <w:shd w:val="clear" w:color="auto" w:fill="auto"/>
            <w:tcMar>
              <w:top w:w="0" w:type="dxa"/>
              <w:left w:w="0" w:type="dxa"/>
              <w:bottom w:w="0" w:type="dxa"/>
              <w:right w:w="0" w:type="dxa"/>
            </w:tcMar>
            <w:vAlign w:val="center"/>
          </w:tcPr>
          <w:p w14:paraId="2EEA9AF0" w14:textId="38CB79A5"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000</w:t>
            </w:r>
          </w:p>
        </w:tc>
        <w:tc>
          <w:tcPr>
            <w:tcW w:w="1136" w:type="dxa"/>
            <w:tcBorders>
              <w:top w:val="single" w:sz="6" w:space="0" w:color="008000"/>
              <w:bottom w:val="nil"/>
            </w:tcBorders>
            <w:shd w:val="clear" w:color="auto" w:fill="auto"/>
            <w:tcMar>
              <w:top w:w="0" w:type="dxa"/>
              <w:left w:w="0" w:type="dxa"/>
              <w:bottom w:w="0" w:type="dxa"/>
              <w:right w:w="0" w:type="dxa"/>
            </w:tcMar>
            <w:vAlign w:val="center"/>
          </w:tcPr>
          <w:p w14:paraId="7946B623"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14" w:type="dxa"/>
            <w:tcBorders>
              <w:top w:val="single" w:sz="6" w:space="0" w:color="008000"/>
              <w:bottom w:val="nil"/>
            </w:tcBorders>
            <w:shd w:val="clear" w:color="auto" w:fill="auto"/>
            <w:tcMar>
              <w:top w:w="0" w:type="dxa"/>
              <w:left w:w="0" w:type="dxa"/>
              <w:bottom w:w="0" w:type="dxa"/>
              <w:right w:w="0" w:type="dxa"/>
            </w:tcMar>
            <w:vAlign w:val="center"/>
          </w:tcPr>
          <w:p w14:paraId="28C64B76"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707" w:type="dxa"/>
            <w:tcBorders>
              <w:top w:val="single" w:sz="6" w:space="0" w:color="008000"/>
              <w:bottom w:val="nil"/>
            </w:tcBorders>
            <w:shd w:val="clear" w:color="auto" w:fill="auto"/>
            <w:tcMar>
              <w:top w:w="0" w:type="dxa"/>
              <w:left w:w="0" w:type="dxa"/>
              <w:bottom w:w="0" w:type="dxa"/>
              <w:right w:w="0" w:type="dxa"/>
            </w:tcMar>
            <w:vAlign w:val="center"/>
          </w:tcPr>
          <w:p w14:paraId="5A49B353" w14:textId="5DD1727E"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511</w:t>
            </w:r>
          </w:p>
        </w:tc>
        <w:tc>
          <w:tcPr>
            <w:tcW w:w="1097" w:type="dxa"/>
            <w:tcBorders>
              <w:top w:val="single" w:sz="6" w:space="0" w:color="008000"/>
              <w:bottom w:val="nil"/>
            </w:tcBorders>
            <w:shd w:val="clear" w:color="auto" w:fill="auto"/>
            <w:tcMar>
              <w:top w:w="0" w:type="dxa"/>
              <w:left w:w="0" w:type="dxa"/>
              <w:bottom w:w="0" w:type="dxa"/>
              <w:right w:w="0" w:type="dxa"/>
            </w:tcMar>
            <w:vAlign w:val="center"/>
          </w:tcPr>
          <w:p w14:paraId="58715F9A" w14:textId="4B0CA915"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0.000</w:t>
            </w:r>
          </w:p>
        </w:tc>
      </w:tr>
      <w:tr w:rsidR="001D374A" w:rsidRPr="00C108F4" w14:paraId="37F128F5" w14:textId="77777777" w:rsidTr="00651C99">
        <w:trPr>
          <w:trHeight w:val="85"/>
        </w:trPr>
        <w:tc>
          <w:tcPr>
            <w:tcW w:w="655" w:type="dxa"/>
            <w:vMerge/>
            <w:tcBorders>
              <w:top w:val="nil"/>
              <w:bottom w:val="nil"/>
            </w:tcBorders>
            <w:shd w:val="clear" w:color="auto" w:fill="auto"/>
            <w:tcMar>
              <w:top w:w="0" w:type="dxa"/>
              <w:left w:w="0" w:type="dxa"/>
              <w:bottom w:w="0" w:type="dxa"/>
              <w:right w:w="0" w:type="dxa"/>
            </w:tcMar>
            <w:vAlign w:val="center"/>
          </w:tcPr>
          <w:p w14:paraId="52BD52FB" w14:textId="77777777" w:rsidR="003E6D91" w:rsidRPr="00651C99" w:rsidRDefault="003E6D91" w:rsidP="003E6D91">
            <w:pPr>
              <w:spacing w:before="240" w:after="240"/>
              <w:jc w:val="center"/>
              <w:rPr>
                <w:rFonts w:cs="Arial"/>
                <w:sz w:val="16"/>
                <w:szCs w:val="16"/>
              </w:rPr>
            </w:pPr>
          </w:p>
        </w:tc>
        <w:tc>
          <w:tcPr>
            <w:tcW w:w="1191" w:type="dxa"/>
            <w:tcBorders>
              <w:top w:val="nil"/>
              <w:bottom w:val="nil"/>
            </w:tcBorders>
            <w:shd w:val="clear" w:color="auto" w:fill="auto"/>
            <w:tcMar>
              <w:top w:w="0" w:type="dxa"/>
              <w:left w:w="0" w:type="dxa"/>
              <w:bottom w:w="0" w:type="dxa"/>
              <w:right w:w="0" w:type="dxa"/>
            </w:tcMar>
            <w:vAlign w:val="center"/>
          </w:tcPr>
          <w:p w14:paraId="4425581A" w14:textId="77777777" w:rsidR="003E6D91" w:rsidRPr="00651C99" w:rsidRDefault="003E6D91" w:rsidP="003E6D91">
            <w:pPr>
              <w:spacing w:line="240" w:lineRule="auto"/>
              <w:jc w:val="center"/>
              <w:rPr>
                <w:rFonts w:cs="Arial"/>
                <w:sz w:val="16"/>
                <w:szCs w:val="16"/>
              </w:rPr>
            </w:pPr>
            <w:r w:rsidRPr="00651C99">
              <w:rPr>
                <w:rFonts w:cs="Arial"/>
                <w:sz w:val="16"/>
                <w:szCs w:val="16"/>
              </w:rPr>
              <w:t>Quito</w:t>
            </w:r>
          </w:p>
        </w:tc>
        <w:tc>
          <w:tcPr>
            <w:tcW w:w="1057" w:type="dxa"/>
            <w:tcBorders>
              <w:top w:val="nil"/>
              <w:bottom w:val="nil"/>
            </w:tcBorders>
            <w:shd w:val="clear" w:color="auto" w:fill="auto"/>
            <w:tcMar>
              <w:top w:w="0" w:type="dxa"/>
              <w:left w:w="0" w:type="dxa"/>
              <w:bottom w:w="0" w:type="dxa"/>
              <w:right w:w="0" w:type="dxa"/>
            </w:tcMar>
            <w:vAlign w:val="center"/>
          </w:tcPr>
          <w:p w14:paraId="67B1AD04" w14:textId="1EEC6051"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632</w:t>
            </w:r>
          </w:p>
        </w:tc>
        <w:tc>
          <w:tcPr>
            <w:tcW w:w="908" w:type="dxa"/>
            <w:tcBorders>
              <w:top w:val="nil"/>
              <w:bottom w:val="nil"/>
            </w:tcBorders>
            <w:shd w:val="clear" w:color="auto" w:fill="auto"/>
            <w:tcMar>
              <w:top w:w="0" w:type="dxa"/>
              <w:left w:w="0" w:type="dxa"/>
              <w:bottom w:w="0" w:type="dxa"/>
              <w:right w:w="0" w:type="dxa"/>
            </w:tcMar>
            <w:vAlign w:val="center"/>
          </w:tcPr>
          <w:p w14:paraId="26476EE9" w14:textId="488590C2"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000</w:t>
            </w:r>
          </w:p>
        </w:tc>
        <w:tc>
          <w:tcPr>
            <w:tcW w:w="1136" w:type="dxa"/>
            <w:tcBorders>
              <w:top w:val="nil"/>
              <w:bottom w:val="nil"/>
            </w:tcBorders>
            <w:shd w:val="clear" w:color="auto" w:fill="auto"/>
            <w:tcMar>
              <w:top w:w="0" w:type="dxa"/>
              <w:left w:w="0" w:type="dxa"/>
              <w:bottom w:w="0" w:type="dxa"/>
              <w:right w:w="0" w:type="dxa"/>
            </w:tcMar>
            <w:vAlign w:val="center"/>
          </w:tcPr>
          <w:p w14:paraId="1D76AF2C"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14" w:type="dxa"/>
            <w:tcBorders>
              <w:top w:val="nil"/>
              <w:bottom w:val="nil"/>
            </w:tcBorders>
            <w:shd w:val="clear" w:color="auto" w:fill="auto"/>
            <w:tcMar>
              <w:top w:w="0" w:type="dxa"/>
              <w:left w:w="0" w:type="dxa"/>
              <w:bottom w:w="0" w:type="dxa"/>
              <w:right w:w="0" w:type="dxa"/>
            </w:tcMar>
            <w:vAlign w:val="center"/>
          </w:tcPr>
          <w:p w14:paraId="6D2AEC3F"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707" w:type="dxa"/>
            <w:tcBorders>
              <w:top w:val="nil"/>
              <w:bottom w:val="nil"/>
            </w:tcBorders>
            <w:shd w:val="clear" w:color="auto" w:fill="auto"/>
            <w:tcMar>
              <w:top w:w="0" w:type="dxa"/>
              <w:left w:w="0" w:type="dxa"/>
              <w:bottom w:w="0" w:type="dxa"/>
              <w:right w:w="0" w:type="dxa"/>
            </w:tcMar>
            <w:vAlign w:val="center"/>
          </w:tcPr>
          <w:p w14:paraId="22B60EBF" w14:textId="7EFF4350"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370</w:t>
            </w:r>
          </w:p>
        </w:tc>
        <w:tc>
          <w:tcPr>
            <w:tcW w:w="1097" w:type="dxa"/>
            <w:tcBorders>
              <w:top w:val="nil"/>
              <w:bottom w:val="nil"/>
            </w:tcBorders>
            <w:shd w:val="clear" w:color="auto" w:fill="auto"/>
            <w:tcMar>
              <w:top w:w="0" w:type="dxa"/>
              <w:left w:w="0" w:type="dxa"/>
              <w:bottom w:w="0" w:type="dxa"/>
              <w:right w:w="0" w:type="dxa"/>
            </w:tcMar>
            <w:vAlign w:val="center"/>
          </w:tcPr>
          <w:p w14:paraId="3D60718E" w14:textId="20F4B3A6"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003</w:t>
            </w:r>
          </w:p>
        </w:tc>
      </w:tr>
      <w:tr w:rsidR="001D374A" w:rsidRPr="00C108F4" w14:paraId="0E374911" w14:textId="77777777" w:rsidTr="00651C99">
        <w:trPr>
          <w:trHeight w:val="68"/>
        </w:trPr>
        <w:tc>
          <w:tcPr>
            <w:tcW w:w="655" w:type="dxa"/>
            <w:vMerge/>
            <w:tcBorders>
              <w:top w:val="nil"/>
              <w:bottom w:val="nil"/>
            </w:tcBorders>
            <w:shd w:val="clear" w:color="auto" w:fill="auto"/>
            <w:tcMar>
              <w:top w:w="0" w:type="dxa"/>
              <w:left w:w="0" w:type="dxa"/>
              <w:bottom w:w="0" w:type="dxa"/>
              <w:right w:w="0" w:type="dxa"/>
            </w:tcMar>
            <w:vAlign w:val="center"/>
          </w:tcPr>
          <w:p w14:paraId="39BD06B6" w14:textId="77777777" w:rsidR="003E6D91" w:rsidRPr="00651C99" w:rsidRDefault="003E6D91" w:rsidP="003E6D91">
            <w:pPr>
              <w:spacing w:before="240" w:after="240"/>
              <w:jc w:val="center"/>
              <w:rPr>
                <w:rFonts w:cs="Arial"/>
                <w:sz w:val="16"/>
                <w:szCs w:val="16"/>
              </w:rPr>
            </w:pPr>
          </w:p>
        </w:tc>
        <w:tc>
          <w:tcPr>
            <w:tcW w:w="1191" w:type="dxa"/>
            <w:tcBorders>
              <w:top w:val="nil"/>
              <w:bottom w:val="nil"/>
            </w:tcBorders>
            <w:shd w:val="clear" w:color="auto" w:fill="auto"/>
            <w:tcMar>
              <w:top w:w="0" w:type="dxa"/>
              <w:left w:w="0" w:type="dxa"/>
              <w:bottom w:w="0" w:type="dxa"/>
              <w:right w:w="0" w:type="dxa"/>
            </w:tcMar>
            <w:vAlign w:val="center"/>
          </w:tcPr>
          <w:p w14:paraId="23B74771" w14:textId="77777777" w:rsidR="003E6D91" w:rsidRPr="00651C99" w:rsidRDefault="003E6D91" w:rsidP="003E6D91">
            <w:pPr>
              <w:spacing w:line="240" w:lineRule="auto"/>
              <w:jc w:val="center"/>
              <w:rPr>
                <w:rFonts w:cs="Arial"/>
                <w:sz w:val="16"/>
                <w:szCs w:val="16"/>
              </w:rPr>
            </w:pPr>
            <w:r w:rsidRPr="00651C99">
              <w:rPr>
                <w:rFonts w:cs="Arial"/>
                <w:sz w:val="16"/>
                <w:szCs w:val="16"/>
              </w:rPr>
              <w:t>Bogotá</w:t>
            </w:r>
          </w:p>
        </w:tc>
        <w:tc>
          <w:tcPr>
            <w:tcW w:w="1057" w:type="dxa"/>
            <w:tcBorders>
              <w:top w:val="nil"/>
              <w:bottom w:val="nil"/>
            </w:tcBorders>
            <w:shd w:val="clear" w:color="auto" w:fill="auto"/>
            <w:tcMar>
              <w:top w:w="0" w:type="dxa"/>
              <w:left w:w="0" w:type="dxa"/>
              <w:bottom w:w="0" w:type="dxa"/>
              <w:right w:w="0" w:type="dxa"/>
            </w:tcMar>
            <w:vAlign w:val="center"/>
          </w:tcPr>
          <w:p w14:paraId="493C6CED" w14:textId="11844599"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604</w:t>
            </w:r>
          </w:p>
        </w:tc>
        <w:tc>
          <w:tcPr>
            <w:tcW w:w="908" w:type="dxa"/>
            <w:tcBorders>
              <w:top w:val="nil"/>
              <w:bottom w:val="nil"/>
            </w:tcBorders>
            <w:shd w:val="clear" w:color="auto" w:fill="auto"/>
            <w:tcMar>
              <w:top w:w="0" w:type="dxa"/>
              <w:left w:w="0" w:type="dxa"/>
              <w:bottom w:w="0" w:type="dxa"/>
              <w:right w:w="0" w:type="dxa"/>
            </w:tcMar>
            <w:vAlign w:val="center"/>
          </w:tcPr>
          <w:p w14:paraId="2E2BA6C0" w14:textId="6526BC92"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000</w:t>
            </w:r>
          </w:p>
        </w:tc>
        <w:tc>
          <w:tcPr>
            <w:tcW w:w="1136" w:type="dxa"/>
            <w:tcBorders>
              <w:top w:val="nil"/>
              <w:bottom w:val="nil"/>
            </w:tcBorders>
            <w:shd w:val="clear" w:color="auto" w:fill="auto"/>
            <w:tcMar>
              <w:top w:w="0" w:type="dxa"/>
              <w:left w:w="0" w:type="dxa"/>
              <w:bottom w:w="0" w:type="dxa"/>
              <w:right w:w="0" w:type="dxa"/>
            </w:tcMar>
            <w:vAlign w:val="center"/>
          </w:tcPr>
          <w:p w14:paraId="5BA8E7BE"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14" w:type="dxa"/>
            <w:tcBorders>
              <w:top w:val="nil"/>
              <w:bottom w:val="nil"/>
            </w:tcBorders>
            <w:shd w:val="clear" w:color="auto" w:fill="auto"/>
            <w:tcMar>
              <w:top w:w="0" w:type="dxa"/>
              <w:left w:w="0" w:type="dxa"/>
              <w:bottom w:w="0" w:type="dxa"/>
              <w:right w:w="0" w:type="dxa"/>
            </w:tcMar>
            <w:vAlign w:val="center"/>
          </w:tcPr>
          <w:p w14:paraId="79CF559D"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707" w:type="dxa"/>
            <w:tcBorders>
              <w:top w:val="nil"/>
              <w:bottom w:val="nil"/>
            </w:tcBorders>
            <w:shd w:val="clear" w:color="auto" w:fill="auto"/>
            <w:tcMar>
              <w:top w:w="0" w:type="dxa"/>
              <w:left w:w="0" w:type="dxa"/>
              <w:bottom w:w="0" w:type="dxa"/>
              <w:right w:w="0" w:type="dxa"/>
            </w:tcMar>
            <w:vAlign w:val="center"/>
          </w:tcPr>
          <w:p w14:paraId="22144FF6" w14:textId="623948CA"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333</w:t>
            </w:r>
          </w:p>
        </w:tc>
        <w:tc>
          <w:tcPr>
            <w:tcW w:w="1097" w:type="dxa"/>
            <w:tcBorders>
              <w:top w:val="nil"/>
              <w:bottom w:val="nil"/>
            </w:tcBorders>
            <w:shd w:val="clear" w:color="auto" w:fill="auto"/>
            <w:tcMar>
              <w:top w:w="0" w:type="dxa"/>
              <w:left w:w="0" w:type="dxa"/>
              <w:bottom w:w="0" w:type="dxa"/>
              <w:right w:w="0" w:type="dxa"/>
            </w:tcMar>
            <w:vAlign w:val="center"/>
          </w:tcPr>
          <w:p w14:paraId="004C67D0" w14:textId="6596FD78"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005</w:t>
            </w:r>
          </w:p>
        </w:tc>
      </w:tr>
      <w:tr w:rsidR="001D374A" w:rsidRPr="00C108F4" w14:paraId="06FC0FC8" w14:textId="77777777" w:rsidTr="00651C99">
        <w:trPr>
          <w:trHeight w:val="68"/>
        </w:trPr>
        <w:tc>
          <w:tcPr>
            <w:tcW w:w="655" w:type="dxa"/>
            <w:vMerge/>
            <w:tcBorders>
              <w:top w:val="nil"/>
              <w:bottom w:val="nil"/>
            </w:tcBorders>
            <w:shd w:val="clear" w:color="auto" w:fill="auto"/>
            <w:tcMar>
              <w:top w:w="0" w:type="dxa"/>
              <w:left w:w="0" w:type="dxa"/>
              <w:bottom w:w="0" w:type="dxa"/>
              <w:right w:w="0" w:type="dxa"/>
            </w:tcMar>
            <w:vAlign w:val="center"/>
          </w:tcPr>
          <w:p w14:paraId="79FAD4FC" w14:textId="77777777" w:rsidR="003E6D91" w:rsidRPr="00651C99" w:rsidRDefault="003E6D91" w:rsidP="003E6D91">
            <w:pPr>
              <w:spacing w:before="240" w:after="240"/>
              <w:jc w:val="center"/>
              <w:rPr>
                <w:rFonts w:cs="Arial"/>
                <w:sz w:val="16"/>
                <w:szCs w:val="16"/>
              </w:rPr>
            </w:pPr>
          </w:p>
        </w:tc>
        <w:tc>
          <w:tcPr>
            <w:tcW w:w="1191" w:type="dxa"/>
            <w:tcBorders>
              <w:top w:val="nil"/>
              <w:bottom w:val="nil"/>
            </w:tcBorders>
            <w:shd w:val="clear" w:color="auto" w:fill="auto"/>
            <w:tcMar>
              <w:top w:w="0" w:type="dxa"/>
              <w:left w:w="0" w:type="dxa"/>
              <w:bottom w:w="0" w:type="dxa"/>
              <w:right w:w="0" w:type="dxa"/>
            </w:tcMar>
            <w:vAlign w:val="center"/>
          </w:tcPr>
          <w:p w14:paraId="26C9BE84" w14:textId="77777777" w:rsidR="003E6D91" w:rsidRPr="00651C99" w:rsidRDefault="003E6D91" w:rsidP="003E6D91">
            <w:pPr>
              <w:spacing w:line="240" w:lineRule="auto"/>
              <w:jc w:val="center"/>
              <w:rPr>
                <w:rFonts w:cs="Arial"/>
                <w:sz w:val="16"/>
                <w:szCs w:val="16"/>
              </w:rPr>
            </w:pPr>
            <w:r w:rsidRPr="00651C99">
              <w:rPr>
                <w:rFonts w:cs="Arial"/>
                <w:sz w:val="16"/>
                <w:szCs w:val="16"/>
              </w:rPr>
              <w:t>Santiago</w:t>
            </w:r>
          </w:p>
        </w:tc>
        <w:tc>
          <w:tcPr>
            <w:tcW w:w="1057" w:type="dxa"/>
            <w:tcBorders>
              <w:top w:val="nil"/>
              <w:bottom w:val="nil"/>
            </w:tcBorders>
            <w:shd w:val="clear" w:color="auto" w:fill="auto"/>
            <w:tcMar>
              <w:top w:w="0" w:type="dxa"/>
              <w:left w:w="0" w:type="dxa"/>
              <w:bottom w:w="0" w:type="dxa"/>
              <w:right w:w="0" w:type="dxa"/>
            </w:tcMar>
            <w:vAlign w:val="center"/>
          </w:tcPr>
          <w:p w14:paraId="249E9A75" w14:textId="4F90BD57"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318</w:t>
            </w:r>
          </w:p>
        </w:tc>
        <w:tc>
          <w:tcPr>
            <w:tcW w:w="908" w:type="dxa"/>
            <w:tcBorders>
              <w:top w:val="nil"/>
              <w:bottom w:val="nil"/>
            </w:tcBorders>
            <w:shd w:val="clear" w:color="auto" w:fill="auto"/>
            <w:tcMar>
              <w:top w:w="0" w:type="dxa"/>
              <w:left w:w="0" w:type="dxa"/>
              <w:bottom w:w="0" w:type="dxa"/>
              <w:right w:w="0" w:type="dxa"/>
            </w:tcMar>
            <w:vAlign w:val="center"/>
          </w:tcPr>
          <w:p w14:paraId="73983F6F" w14:textId="4267ACAB"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048</w:t>
            </w:r>
          </w:p>
        </w:tc>
        <w:tc>
          <w:tcPr>
            <w:tcW w:w="1136" w:type="dxa"/>
            <w:tcBorders>
              <w:top w:val="nil"/>
              <w:bottom w:val="nil"/>
            </w:tcBorders>
            <w:shd w:val="clear" w:color="auto" w:fill="auto"/>
            <w:tcMar>
              <w:top w:w="0" w:type="dxa"/>
              <w:left w:w="0" w:type="dxa"/>
              <w:bottom w:w="0" w:type="dxa"/>
              <w:right w:w="0" w:type="dxa"/>
            </w:tcMar>
            <w:vAlign w:val="center"/>
          </w:tcPr>
          <w:p w14:paraId="32C689B9"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14" w:type="dxa"/>
            <w:tcBorders>
              <w:top w:val="nil"/>
              <w:bottom w:val="nil"/>
            </w:tcBorders>
            <w:shd w:val="clear" w:color="auto" w:fill="auto"/>
            <w:tcMar>
              <w:top w:w="0" w:type="dxa"/>
              <w:left w:w="0" w:type="dxa"/>
              <w:bottom w:w="0" w:type="dxa"/>
              <w:right w:w="0" w:type="dxa"/>
            </w:tcMar>
            <w:vAlign w:val="center"/>
          </w:tcPr>
          <w:p w14:paraId="059E568D"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707" w:type="dxa"/>
            <w:tcBorders>
              <w:top w:val="nil"/>
              <w:bottom w:val="nil"/>
            </w:tcBorders>
            <w:shd w:val="clear" w:color="auto" w:fill="auto"/>
            <w:tcMar>
              <w:top w:w="0" w:type="dxa"/>
              <w:left w:w="0" w:type="dxa"/>
              <w:bottom w:w="0" w:type="dxa"/>
              <w:right w:w="0" w:type="dxa"/>
            </w:tcMar>
            <w:vAlign w:val="center"/>
          </w:tcPr>
          <w:p w14:paraId="266B189F" w14:textId="65AE11E8"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101</w:t>
            </w:r>
          </w:p>
        </w:tc>
        <w:tc>
          <w:tcPr>
            <w:tcW w:w="1097" w:type="dxa"/>
            <w:tcBorders>
              <w:top w:val="nil"/>
              <w:bottom w:val="nil"/>
            </w:tcBorders>
            <w:shd w:val="clear" w:color="auto" w:fill="auto"/>
            <w:tcMar>
              <w:top w:w="0" w:type="dxa"/>
              <w:left w:w="0" w:type="dxa"/>
              <w:bottom w:w="0" w:type="dxa"/>
              <w:right w:w="0" w:type="dxa"/>
            </w:tcMar>
            <w:vAlign w:val="center"/>
          </w:tcPr>
          <w:p w14:paraId="759C447B" w14:textId="512C5225"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048</w:t>
            </w:r>
          </w:p>
        </w:tc>
      </w:tr>
      <w:tr w:rsidR="001D374A" w:rsidRPr="00C108F4" w14:paraId="49027849" w14:textId="77777777" w:rsidTr="00651C99">
        <w:trPr>
          <w:trHeight w:val="92"/>
        </w:trPr>
        <w:tc>
          <w:tcPr>
            <w:tcW w:w="655" w:type="dxa"/>
            <w:vMerge/>
            <w:tcBorders>
              <w:top w:val="nil"/>
              <w:bottom w:val="single" w:sz="6" w:space="0" w:color="008000"/>
            </w:tcBorders>
            <w:shd w:val="clear" w:color="auto" w:fill="auto"/>
            <w:tcMar>
              <w:top w:w="0" w:type="dxa"/>
              <w:left w:w="0" w:type="dxa"/>
              <w:bottom w:w="0" w:type="dxa"/>
              <w:right w:w="0" w:type="dxa"/>
            </w:tcMar>
            <w:vAlign w:val="center"/>
          </w:tcPr>
          <w:p w14:paraId="0EF6311E" w14:textId="77777777" w:rsidR="003E6D91" w:rsidRPr="00651C99" w:rsidRDefault="003E6D91" w:rsidP="003E6D91">
            <w:pPr>
              <w:spacing w:before="240" w:after="240"/>
              <w:jc w:val="center"/>
              <w:rPr>
                <w:rFonts w:cs="Arial"/>
                <w:sz w:val="16"/>
                <w:szCs w:val="16"/>
              </w:rPr>
            </w:pPr>
          </w:p>
        </w:tc>
        <w:tc>
          <w:tcPr>
            <w:tcW w:w="1191" w:type="dxa"/>
            <w:tcBorders>
              <w:top w:val="nil"/>
              <w:bottom w:val="single" w:sz="6" w:space="0" w:color="008000"/>
            </w:tcBorders>
            <w:shd w:val="clear" w:color="auto" w:fill="auto"/>
            <w:tcMar>
              <w:top w:w="0" w:type="dxa"/>
              <w:left w:w="0" w:type="dxa"/>
              <w:bottom w:w="0" w:type="dxa"/>
              <w:right w:w="0" w:type="dxa"/>
            </w:tcMar>
            <w:vAlign w:val="center"/>
          </w:tcPr>
          <w:p w14:paraId="15C70DFD" w14:textId="77777777" w:rsidR="003E6D91" w:rsidRPr="00651C99" w:rsidRDefault="003E6D91" w:rsidP="003E6D91">
            <w:pPr>
              <w:spacing w:line="240" w:lineRule="auto"/>
              <w:jc w:val="center"/>
              <w:rPr>
                <w:rFonts w:cs="Arial"/>
                <w:sz w:val="16"/>
                <w:szCs w:val="16"/>
              </w:rPr>
            </w:pPr>
            <w:r w:rsidRPr="00651C99">
              <w:rPr>
                <w:rFonts w:cs="Arial"/>
                <w:sz w:val="16"/>
                <w:szCs w:val="16"/>
              </w:rPr>
              <w:t>Buenos Aires</w:t>
            </w:r>
          </w:p>
        </w:tc>
        <w:tc>
          <w:tcPr>
            <w:tcW w:w="1057" w:type="dxa"/>
            <w:tcBorders>
              <w:top w:val="nil"/>
              <w:bottom w:val="single" w:sz="6" w:space="0" w:color="008000"/>
            </w:tcBorders>
            <w:shd w:val="clear" w:color="auto" w:fill="auto"/>
            <w:tcMar>
              <w:top w:w="0" w:type="dxa"/>
              <w:left w:w="0" w:type="dxa"/>
              <w:bottom w:w="0" w:type="dxa"/>
              <w:right w:w="0" w:type="dxa"/>
            </w:tcMar>
            <w:vAlign w:val="center"/>
          </w:tcPr>
          <w:p w14:paraId="10705E55"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08" w:type="dxa"/>
            <w:tcBorders>
              <w:top w:val="nil"/>
              <w:bottom w:val="single" w:sz="6" w:space="0" w:color="008000"/>
            </w:tcBorders>
            <w:shd w:val="clear" w:color="auto" w:fill="auto"/>
            <w:tcMar>
              <w:top w:w="0" w:type="dxa"/>
              <w:left w:w="0" w:type="dxa"/>
              <w:bottom w:w="0" w:type="dxa"/>
              <w:right w:w="0" w:type="dxa"/>
            </w:tcMar>
            <w:vAlign w:val="center"/>
          </w:tcPr>
          <w:p w14:paraId="41DF97EE"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1136" w:type="dxa"/>
            <w:tcBorders>
              <w:top w:val="nil"/>
              <w:bottom w:val="single" w:sz="6" w:space="0" w:color="008000"/>
            </w:tcBorders>
            <w:shd w:val="clear" w:color="auto" w:fill="auto"/>
            <w:tcMar>
              <w:top w:w="0" w:type="dxa"/>
              <w:left w:w="0" w:type="dxa"/>
              <w:bottom w:w="0" w:type="dxa"/>
              <w:right w:w="0" w:type="dxa"/>
            </w:tcMar>
            <w:vAlign w:val="center"/>
          </w:tcPr>
          <w:p w14:paraId="39D45004" w14:textId="508DCF52"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678</w:t>
            </w:r>
          </w:p>
        </w:tc>
        <w:tc>
          <w:tcPr>
            <w:tcW w:w="914" w:type="dxa"/>
            <w:tcBorders>
              <w:top w:val="nil"/>
              <w:bottom w:val="single" w:sz="6" w:space="0" w:color="008000"/>
            </w:tcBorders>
            <w:shd w:val="clear" w:color="auto" w:fill="auto"/>
            <w:tcMar>
              <w:top w:w="0" w:type="dxa"/>
              <w:left w:w="0" w:type="dxa"/>
              <w:bottom w:w="0" w:type="dxa"/>
              <w:right w:w="0" w:type="dxa"/>
            </w:tcMar>
            <w:vAlign w:val="center"/>
          </w:tcPr>
          <w:p w14:paraId="210E7907" w14:textId="3CB62860"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000</w:t>
            </w:r>
          </w:p>
        </w:tc>
        <w:tc>
          <w:tcPr>
            <w:tcW w:w="707" w:type="dxa"/>
            <w:tcBorders>
              <w:top w:val="nil"/>
              <w:bottom w:val="single" w:sz="6" w:space="0" w:color="008000"/>
            </w:tcBorders>
            <w:shd w:val="clear" w:color="auto" w:fill="auto"/>
            <w:tcMar>
              <w:top w:w="0" w:type="dxa"/>
              <w:left w:w="0" w:type="dxa"/>
              <w:bottom w:w="0" w:type="dxa"/>
              <w:right w:w="0" w:type="dxa"/>
            </w:tcMar>
            <w:vAlign w:val="center"/>
          </w:tcPr>
          <w:p w14:paraId="4345D7A3" w14:textId="69F57903"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462</w:t>
            </w:r>
          </w:p>
        </w:tc>
        <w:tc>
          <w:tcPr>
            <w:tcW w:w="1097" w:type="dxa"/>
            <w:tcBorders>
              <w:top w:val="nil"/>
              <w:bottom w:val="single" w:sz="6" w:space="0" w:color="008000"/>
            </w:tcBorders>
            <w:shd w:val="clear" w:color="auto" w:fill="auto"/>
            <w:tcMar>
              <w:top w:w="0" w:type="dxa"/>
              <w:left w:w="0" w:type="dxa"/>
              <w:bottom w:w="0" w:type="dxa"/>
              <w:right w:w="0" w:type="dxa"/>
            </w:tcMar>
            <w:vAlign w:val="center"/>
          </w:tcPr>
          <w:p w14:paraId="696E56BD" w14:textId="28744AE2"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899</w:t>
            </w:r>
          </w:p>
        </w:tc>
      </w:tr>
      <w:tr w:rsidR="001D374A" w:rsidRPr="00C108F4" w14:paraId="78180CCD" w14:textId="77777777" w:rsidTr="00651C99">
        <w:trPr>
          <w:trHeight w:val="53"/>
        </w:trPr>
        <w:tc>
          <w:tcPr>
            <w:tcW w:w="655" w:type="dxa"/>
            <w:vMerge w:val="restart"/>
            <w:tcBorders>
              <w:top w:val="single" w:sz="6" w:space="0" w:color="008000"/>
              <w:bottom w:val="nil"/>
            </w:tcBorders>
            <w:shd w:val="clear" w:color="auto" w:fill="auto"/>
            <w:tcMar>
              <w:top w:w="0" w:type="dxa"/>
              <w:left w:w="0" w:type="dxa"/>
              <w:bottom w:w="0" w:type="dxa"/>
              <w:right w:w="0" w:type="dxa"/>
            </w:tcMar>
            <w:vAlign w:val="center"/>
          </w:tcPr>
          <w:p w14:paraId="7ECD6A5F" w14:textId="77777777" w:rsidR="003E6D91" w:rsidRPr="00651C99" w:rsidRDefault="003E6D91" w:rsidP="003E6D91">
            <w:pPr>
              <w:spacing w:line="240" w:lineRule="auto"/>
              <w:jc w:val="center"/>
              <w:rPr>
                <w:rFonts w:cs="Arial"/>
                <w:sz w:val="16"/>
                <w:szCs w:val="16"/>
              </w:rPr>
            </w:pPr>
            <w:r w:rsidRPr="00651C99">
              <w:rPr>
                <w:rFonts w:cs="Arial"/>
                <w:sz w:val="16"/>
                <w:szCs w:val="16"/>
              </w:rPr>
              <w:t>SO2</w:t>
            </w:r>
          </w:p>
        </w:tc>
        <w:tc>
          <w:tcPr>
            <w:tcW w:w="1191" w:type="dxa"/>
            <w:tcBorders>
              <w:top w:val="single" w:sz="6" w:space="0" w:color="008000"/>
              <w:bottom w:val="nil"/>
            </w:tcBorders>
            <w:shd w:val="clear" w:color="auto" w:fill="auto"/>
            <w:tcMar>
              <w:top w:w="0" w:type="dxa"/>
              <w:left w:w="0" w:type="dxa"/>
              <w:bottom w:w="0" w:type="dxa"/>
              <w:right w:w="0" w:type="dxa"/>
            </w:tcMar>
            <w:vAlign w:val="center"/>
          </w:tcPr>
          <w:p w14:paraId="2976C742" w14:textId="77777777" w:rsidR="003E6D91" w:rsidRPr="00651C99" w:rsidRDefault="003E6D91" w:rsidP="003E6D91">
            <w:pPr>
              <w:spacing w:line="240" w:lineRule="auto"/>
              <w:jc w:val="center"/>
              <w:rPr>
                <w:rFonts w:cs="Arial"/>
                <w:sz w:val="16"/>
                <w:szCs w:val="16"/>
              </w:rPr>
            </w:pPr>
            <w:r w:rsidRPr="00651C99">
              <w:rPr>
                <w:rFonts w:cs="Arial"/>
                <w:sz w:val="16"/>
                <w:szCs w:val="16"/>
              </w:rPr>
              <w:t>Lima</w:t>
            </w:r>
          </w:p>
        </w:tc>
        <w:tc>
          <w:tcPr>
            <w:tcW w:w="1057" w:type="dxa"/>
            <w:tcBorders>
              <w:top w:val="single" w:sz="6" w:space="0" w:color="008000"/>
              <w:bottom w:val="nil"/>
            </w:tcBorders>
            <w:shd w:val="clear" w:color="auto" w:fill="auto"/>
            <w:tcMar>
              <w:top w:w="0" w:type="dxa"/>
              <w:left w:w="0" w:type="dxa"/>
              <w:bottom w:w="0" w:type="dxa"/>
              <w:right w:w="0" w:type="dxa"/>
            </w:tcMar>
            <w:vAlign w:val="center"/>
          </w:tcPr>
          <w:p w14:paraId="4CC6F57C"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08" w:type="dxa"/>
            <w:tcBorders>
              <w:top w:val="single" w:sz="6" w:space="0" w:color="008000"/>
              <w:bottom w:val="nil"/>
            </w:tcBorders>
            <w:shd w:val="clear" w:color="auto" w:fill="auto"/>
            <w:tcMar>
              <w:top w:w="0" w:type="dxa"/>
              <w:left w:w="0" w:type="dxa"/>
              <w:bottom w:w="0" w:type="dxa"/>
              <w:right w:w="0" w:type="dxa"/>
            </w:tcMar>
            <w:vAlign w:val="center"/>
          </w:tcPr>
          <w:p w14:paraId="07C46CF8"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1136" w:type="dxa"/>
            <w:tcBorders>
              <w:top w:val="single" w:sz="6" w:space="0" w:color="008000"/>
              <w:bottom w:val="nil"/>
            </w:tcBorders>
            <w:shd w:val="clear" w:color="auto" w:fill="auto"/>
            <w:tcMar>
              <w:top w:w="0" w:type="dxa"/>
              <w:left w:w="0" w:type="dxa"/>
              <w:bottom w:w="0" w:type="dxa"/>
              <w:right w:w="0" w:type="dxa"/>
            </w:tcMar>
            <w:vAlign w:val="center"/>
          </w:tcPr>
          <w:p w14:paraId="15950E2F" w14:textId="0A93CFF1"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187</w:t>
            </w:r>
          </w:p>
        </w:tc>
        <w:tc>
          <w:tcPr>
            <w:tcW w:w="914" w:type="dxa"/>
            <w:tcBorders>
              <w:top w:val="single" w:sz="6" w:space="0" w:color="008000"/>
              <w:bottom w:val="nil"/>
            </w:tcBorders>
            <w:shd w:val="clear" w:color="auto" w:fill="auto"/>
            <w:tcMar>
              <w:top w:w="0" w:type="dxa"/>
              <w:left w:w="0" w:type="dxa"/>
              <w:bottom w:w="0" w:type="dxa"/>
              <w:right w:w="0" w:type="dxa"/>
            </w:tcMar>
            <w:vAlign w:val="center"/>
          </w:tcPr>
          <w:p w14:paraId="124DDB5F" w14:textId="111F8B57"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171</w:t>
            </w:r>
          </w:p>
        </w:tc>
        <w:tc>
          <w:tcPr>
            <w:tcW w:w="707" w:type="dxa"/>
            <w:tcBorders>
              <w:top w:val="single" w:sz="6" w:space="0" w:color="008000"/>
              <w:bottom w:val="nil"/>
            </w:tcBorders>
            <w:shd w:val="clear" w:color="auto" w:fill="auto"/>
            <w:tcMar>
              <w:top w:w="0" w:type="dxa"/>
              <w:left w:w="0" w:type="dxa"/>
              <w:bottom w:w="0" w:type="dxa"/>
              <w:right w:w="0" w:type="dxa"/>
            </w:tcMar>
            <w:vAlign w:val="center"/>
          </w:tcPr>
          <w:p w14:paraId="4FE58B20" w14:textId="4E4B7516"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083</w:t>
            </w:r>
          </w:p>
        </w:tc>
        <w:tc>
          <w:tcPr>
            <w:tcW w:w="1097" w:type="dxa"/>
            <w:tcBorders>
              <w:top w:val="single" w:sz="6" w:space="0" w:color="008000"/>
              <w:bottom w:val="nil"/>
            </w:tcBorders>
            <w:shd w:val="clear" w:color="auto" w:fill="auto"/>
            <w:tcMar>
              <w:top w:w="0" w:type="dxa"/>
              <w:left w:w="0" w:type="dxa"/>
              <w:bottom w:w="0" w:type="dxa"/>
              <w:right w:w="0" w:type="dxa"/>
            </w:tcMar>
            <w:vAlign w:val="center"/>
          </w:tcPr>
          <w:p w14:paraId="34172CA2" w14:textId="2D91FAD0"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163</w:t>
            </w:r>
          </w:p>
        </w:tc>
      </w:tr>
      <w:tr w:rsidR="001D374A" w:rsidRPr="00C108F4" w14:paraId="412EF9F9" w14:textId="77777777" w:rsidTr="00651C99">
        <w:trPr>
          <w:trHeight w:val="68"/>
        </w:trPr>
        <w:tc>
          <w:tcPr>
            <w:tcW w:w="655" w:type="dxa"/>
            <w:vMerge/>
            <w:tcBorders>
              <w:top w:val="nil"/>
              <w:bottom w:val="nil"/>
            </w:tcBorders>
            <w:shd w:val="clear" w:color="auto" w:fill="auto"/>
            <w:tcMar>
              <w:top w:w="0" w:type="dxa"/>
              <w:left w:w="0" w:type="dxa"/>
              <w:bottom w:w="0" w:type="dxa"/>
              <w:right w:w="0" w:type="dxa"/>
            </w:tcMar>
            <w:vAlign w:val="center"/>
          </w:tcPr>
          <w:p w14:paraId="4DB01F64" w14:textId="77777777" w:rsidR="003E6D91" w:rsidRPr="00651C99" w:rsidRDefault="003E6D91" w:rsidP="003E6D91">
            <w:pPr>
              <w:spacing w:before="240" w:after="240"/>
              <w:jc w:val="center"/>
              <w:rPr>
                <w:rFonts w:cs="Arial"/>
                <w:sz w:val="16"/>
                <w:szCs w:val="16"/>
              </w:rPr>
            </w:pPr>
          </w:p>
        </w:tc>
        <w:tc>
          <w:tcPr>
            <w:tcW w:w="1191" w:type="dxa"/>
            <w:tcBorders>
              <w:top w:val="nil"/>
              <w:bottom w:val="nil"/>
            </w:tcBorders>
            <w:shd w:val="clear" w:color="auto" w:fill="auto"/>
            <w:tcMar>
              <w:top w:w="0" w:type="dxa"/>
              <w:left w:w="0" w:type="dxa"/>
              <w:bottom w:w="0" w:type="dxa"/>
              <w:right w:w="0" w:type="dxa"/>
            </w:tcMar>
            <w:vAlign w:val="center"/>
          </w:tcPr>
          <w:p w14:paraId="78B1102C" w14:textId="77777777" w:rsidR="003E6D91" w:rsidRPr="00651C99" w:rsidRDefault="003E6D91" w:rsidP="003E6D91">
            <w:pPr>
              <w:spacing w:line="240" w:lineRule="auto"/>
              <w:jc w:val="center"/>
              <w:rPr>
                <w:rFonts w:cs="Arial"/>
                <w:sz w:val="16"/>
                <w:szCs w:val="16"/>
              </w:rPr>
            </w:pPr>
            <w:r w:rsidRPr="00651C99">
              <w:rPr>
                <w:rFonts w:cs="Arial"/>
                <w:sz w:val="16"/>
                <w:szCs w:val="16"/>
              </w:rPr>
              <w:t>Quito</w:t>
            </w:r>
          </w:p>
        </w:tc>
        <w:tc>
          <w:tcPr>
            <w:tcW w:w="1057" w:type="dxa"/>
            <w:tcBorders>
              <w:top w:val="nil"/>
              <w:bottom w:val="nil"/>
            </w:tcBorders>
            <w:shd w:val="clear" w:color="auto" w:fill="auto"/>
            <w:tcMar>
              <w:top w:w="0" w:type="dxa"/>
              <w:left w:w="0" w:type="dxa"/>
              <w:bottom w:w="0" w:type="dxa"/>
              <w:right w:w="0" w:type="dxa"/>
            </w:tcMar>
            <w:vAlign w:val="center"/>
          </w:tcPr>
          <w:p w14:paraId="3BC667D0" w14:textId="7BEC4192"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020</w:t>
            </w:r>
          </w:p>
        </w:tc>
        <w:tc>
          <w:tcPr>
            <w:tcW w:w="908" w:type="dxa"/>
            <w:tcBorders>
              <w:top w:val="nil"/>
              <w:bottom w:val="nil"/>
            </w:tcBorders>
            <w:shd w:val="clear" w:color="auto" w:fill="auto"/>
            <w:tcMar>
              <w:top w:w="0" w:type="dxa"/>
              <w:left w:w="0" w:type="dxa"/>
              <w:bottom w:w="0" w:type="dxa"/>
              <w:right w:w="0" w:type="dxa"/>
            </w:tcMar>
            <w:vAlign w:val="center"/>
          </w:tcPr>
          <w:p w14:paraId="45896BE8" w14:textId="5FF4B217"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896</w:t>
            </w:r>
          </w:p>
        </w:tc>
        <w:tc>
          <w:tcPr>
            <w:tcW w:w="1136" w:type="dxa"/>
            <w:tcBorders>
              <w:top w:val="nil"/>
              <w:bottom w:val="nil"/>
            </w:tcBorders>
            <w:shd w:val="clear" w:color="auto" w:fill="auto"/>
            <w:tcMar>
              <w:top w:w="0" w:type="dxa"/>
              <w:left w:w="0" w:type="dxa"/>
              <w:bottom w:w="0" w:type="dxa"/>
              <w:right w:w="0" w:type="dxa"/>
            </w:tcMar>
            <w:vAlign w:val="center"/>
          </w:tcPr>
          <w:p w14:paraId="43FD78D9"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14" w:type="dxa"/>
            <w:tcBorders>
              <w:top w:val="nil"/>
              <w:bottom w:val="nil"/>
            </w:tcBorders>
            <w:shd w:val="clear" w:color="auto" w:fill="auto"/>
            <w:tcMar>
              <w:top w:w="0" w:type="dxa"/>
              <w:left w:w="0" w:type="dxa"/>
              <w:bottom w:w="0" w:type="dxa"/>
              <w:right w:w="0" w:type="dxa"/>
            </w:tcMar>
            <w:vAlign w:val="center"/>
          </w:tcPr>
          <w:p w14:paraId="6E12074D"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707" w:type="dxa"/>
            <w:tcBorders>
              <w:top w:val="nil"/>
              <w:bottom w:val="nil"/>
            </w:tcBorders>
            <w:shd w:val="clear" w:color="auto" w:fill="auto"/>
            <w:tcMar>
              <w:top w:w="0" w:type="dxa"/>
              <w:left w:w="0" w:type="dxa"/>
              <w:bottom w:w="0" w:type="dxa"/>
              <w:right w:w="0" w:type="dxa"/>
            </w:tcMar>
            <w:vAlign w:val="center"/>
          </w:tcPr>
          <w:p w14:paraId="44AF1972" w14:textId="65B52353"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007</w:t>
            </w:r>
          </w:p>
        </w:tc>
        <w:tc>
          <w:tcPr>
            <w:tcW w:w="1097" w:type="dxa"/>
            <w:tcBorders>
              <w:top w:val="nil"/>
              <w:bottom w:val="nil"/>
            </w:tcBorders>
            <w:shd w:val="clear" w:color="auto" w:fill="auto"/>
            <w:tcMar>
              <w:top w:w="0" w:type="dxa"/>
              <w:left w:w="0" w:type="dxa"/>
              <w:bottom w:w="0" w:type="dxa"/>
              <w:right w:w="0" w:type="dxa"/>
            </w:tcMar>
            <w:vAlign w:val="center"/>
          </w:tcPr>
          <w:p w14:paraId="0C7009A7" w14:textId="5E87CC2B"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692</w:t>
            </w:r>
          </w:p>
        </w:tc>
      </w:tr>
      <w:tr w:rsidR="001D374A" w:rsidRPr="00C108F4" w14:paraId="5BE973AD" w14:textId="77777777" w:rsidTr="00651C99">
        <w:trPr>
          <w:trHeight w:val="68"/>
        </w:trPr>
        <w:tc>
          <w:tcPr>
            <w:tcW w:w="655" w:type="dxa"/>
            <w:vMerge/>
            <w:tcBorders>
              <w:top w:val="nil"/>
              <w:bottom w:val="nil"/>
            </w:tcBorders>
            <w:shd w:val="clear" w:color="auto" w:fill="auto"/>
            <w:tcMar>
              <w:top w:w="0" w:type="dxa"/>
              <w:left w:w="0" w:type="dxa"/>
              <w:bottom w:w="0" w:type="dxa"/>
              <w:right w:w="0" w:type="dxa"/>
            </w:tcMar>
            <w:vAlign w:val="center"/>
          </w:tcPr>
          <w:p w14:paraId="4238A909" w14:textId="77777777" w:rsidR="003E6D91" w:rsidRPr="00651C99" w:rsidRDefault="003E6D91" w:rsidP="003E6D91">
            <w:pPr>
              <w:spacing w:before="240" w:after="240"/>
              <w:jc w:val="center"/>
              <w:rPr>
                <w:rFonts w:cs="Arial"/>
                <w:sz w:val="16"/>
                <w:szCs w:val="16"/>
              </w:rPr>
            </w:pPr>
          </w:p>
        </w:tc>
        <w:tc>
          <w:tcPr>
            <w:tcW w:w="1191" w:type="dxa"/>
            <w:tcBorders>
              <w:top w:val="nil"/>
              <w:bottom w:val="nil"/>
            </w:tcBorders>
            <w:shd w:val="clear" w:color="auto" w:fill="auto"/>
            <w:tcMar>
              <w:top w:w="0" w:type="dxa"/>
              <w:left w:w="0" w:type="dxa"/>
              <w:bottom w:w="0" w:type="dxa"/>
              <w:right w:w="0" w:type="dxa"/>
            </w:tcMar>
            <w:vAlign w:val="center"/>
          </w:tcPr>
          <w:p w14:paraId="12B9A779" w14:textId="77777777" w:rsidR="003E6D91" w:rsidRPr="00651C99" w:rsidRDefault="003E6D91" w:rsidP="003E6D91">
            <w:pPr>
              <w:spacing w:line="240" w:lineRule="auto"/>
              <w:jc w:val="center"/>
              <w:rPr>
                <w:rFonts w:cs="Arial"/>
                <w:sz w:val="16"/>
                <w:szCs w:val="16"/>
              </w:rPr>
            </w:pPr>
            <w:r w:rsidRPr="00651C99">
              <w:rPr>
                <w:rFonts w:cs="Arial"/>
                <w:sz w:val="16"/>
                <w:szCs w:val="16"/>
              </w:rPr>
              <w:t>Bogotá</w:t>
            </w:r>
          </w:p>
        </w:tc>
        <w:tc>
          <w:tcPr>
            <w:tcW w:w="1057" w:type="dxa"/>
            <w:tcBorders>
              <w:top w:val="nil"/>
              <w:bottom w:val="nil"/>
            </w:tcBorders>
            <w:shd w:val="clear" w:color="auto" w:fill="auto"/>
            <w:tcMar>
              <w:top w:w="0" w:type="dxa"/>
              <w:left w:w="0" w:type="dxa"/>
              <w:bottom w:w="0" w:type="dxa"/>
              <w:right w:w="0" w:type="dxa"/>
            </w:tcMar>
            <w:vAlign w:val="center"/>
          </w:tcPr>
          <w:p w14:paraId="775A8154" w14:textId="1ABF82B5"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123</w:t>
            </w:r>
          </w:p>
        </w:tc>
        <w:tc>
          <w:tcPr>
            <w:tcW w:w="908" w:type="dxa"/>
            <w:tcBorders>
              <w:top w:val="nil"/>
              <w:bottom w:val="nil"/>
            </w:tcBorders>
            <w:shd w:val="clear" w:color="auto" w:fill="auto"/>
            <w:tcMar>
              <w:top w:w="0" w:type="dxa"/>
              <w:left w:w="0" w:type="dxa"/>
              <w:bottom w:w="0" w:type="dxa"/>
              <w:right w:w="0" w:type="dxa"/>
            </w:tcMar>
            <w:vAlign w:val="center"/>
          </w:tcPr>
          <w:p w14:paraId="66207271" w14:textId="64420C03"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431</w:t>
            </w:r>
          </w:p>
        </w:tc>
        <w:tc>
          <w:tcPr>
            <w:tcW w:w="1136" w:type="dxa"/>
            <w:tcBorders>
              <w:top w:val="nil"/>
              <w:bottom w:val="nil"/>
            </w:tcBorders>
            <w:shd w:val="clear" w:color="auto" w:fill="auto"/>
            <w:tcMar>
              <w:top w:w="0" w:type="dxa"/>
              <w:left w:w="0" w:type="dxa"/>
              <w:bottom w:w="0" w:type="dxa"/>
              <w:right w:w="0" w:type="dxa"/>
            </w:tcMar>
            <w:vAlign w:val="center"/>
          </w:tcPr>
          <w:p w14:paraId="05D34DDE"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14" w:type="dxa"/>
            <w:tcBorders>
              <w:top w:val="nil"/>
              <w:bottom w:val="nil"/>
            </w:tcBorders>
            <w:shd w:val="clear" w:color="auto" w:fill="auto"/>
            <w:tcMar>
              <w:top w:w="0" w:type="dxa"/>
              <w:left w:w="0" w:type="dxa"/>
              <w:bottom w:w="0" w:type="dxa"/>
              <w:right w:w="0" w:type="dxa"/>
            </w:tcMar>
            <w:vAlign w:val="center"/>
          </w:tcPr>
          <w:p w14:paraId="165EF7F2"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707" w:type="dxa"/>
            <w:tcBorders>
              <w:top w:val="nil"/>
              <w:bottom w:val="nil"/>
            </w:tcBorders>
            <w:shd w:val="clear" w:color="auto" w:fill="auto"/>
            <w:tcMar>
              <w:top w:w="0" w:type="dxa"/>
              <w:left w:w="0" w:type="dxa"/>
              <w:bottom w:w="0" w:type="dxa"/>
              <w:right w:w="0" w:type="dxa"/>
            </w:tcMar>
            <w:vAlign w:val="center"/>
          </w:tcPr>
          <w:p w14:paraId="545ABE87" w14:textId="25E63C9F"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041</w:t>
            </w:r>
          </w:p>
        </w:tc>
        <w:tc>
          <w:tcPr>
            <w:tcW w:w="1097" w:type="dxa"/>
            <w:tcBorders>
              <w:top w:val="nil"/>
              <w:bottom w:val="nil"/>
            </w:tcBorders>
            <w:shd w:val="clear" w:color="auto" w:fill="auto"/>
            <w:tcMar>
              <w:top w:w="0" w:type="dxa"/>
              <w:left w:w="0" w:type="dxa"/>
              <w:bottom w:w="0" w:type="dxa"/>
              <w:right w:w="0" w:type="dxa"/>
            </w:tcMar>
            <w:vAlign w:val="center"/>
          </w:tcPr>
          <w:p w14:paraId="384C230D" w14:textId="105FF9D9"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334</w:t>
            </w:r>
          </w:p>
        </w:tc>
      </w:tr>
      <w:tr w:rsidR="001D374A" w:rsidRPr="00C108F4" w14:paraId="54B22717" w14:textId="77777777" w:rsidTr="00651C99">
        <w:trPr>
          <w:trHeight w:val="68"/>
        </w:trPr>
        <w:tc>
          <w:tcPr>
            <w:tcW w:w="655" w:type="dxa"/>
            <w:vMerge/>
            <w:tcBorders>
              <w:top w:val="nil"/>
              <w:bottom w:val="nil"/>
            </w:tcBorders>
            <w:shd w:val="clear" w:color="auto" w:fill="auto"/>
            <w:tcMar>
              <w:top w:w="0" w:type="dxa"/>
              <w:left w:w="0" w:type="dxa"/>
              <w:bottom w:w="0" w:type="dxa"/>
              <w:right w:w="0" w:type="dxa"/>
            </w:tcMar>
            <w:vAlign w:val="center"/>
          </w:tcPr>
          <w:p w14:paraId="26079867" w14:textId="77777777" w:rsidR="003E6D91" w:rsidRPr="00651C99" w:rsidRDefault="003E6D91" w:rsidP="003E6D91">
            <w:pPr>
              <w:spacing w:before="240" w:after="240"/>
              <w:jc w:val="center"/>
              <w:rPr>
                <w:rFonts w:cs="Arial"/>
                <w:sz w:val="16"/>
                <w:szCs w:val="16"/>
              </w:rPr>
            </w:pPr>
          </w:p>
        </w:tc>
        <w:tc>
          <w:tcPr>
            <w:tcW w:w="1191" w:type="dxa"/>
            <w:tcBorders>
              <w:top w:val="nil"/>
              <w:bottom w:val="nil"/>
            </w:tcBorders>
            <w:shd w:val="clear" w:color="auto" w:fill="auto"/>
            <w:tcMar>
              <w:top w:w="0" w:type="dxa"/>
              <w:left w:w="0" w:type="dxa"/>
              <w:bottom w:w="0" w:type="dxa"/>
              <w:right w:w="0" w:type="dxa"/>
            </w:tcMar>
            <w:vAlign w:val="center"/>
          </w:tcPr>
          <w:p w14:paraId="0C6E781F" w14:textId="77777777" w:rsidR="003E6D91" w:rsidRPr="00651C99" w:rsidRDefault="003E6D91" w:rsidP="003E6D91">
            <w:pPr>
              <w:spacing w:line="240" w:lineRule="auto"/>
              <w:jc w:val="center"/>
              <w:rPr>
                <w:rFonts w:cs="Arial"/>
                <w:sz w:val="16"/>
                <w:szCs w:val="16"/>
              </w:rPr>
            </w:pPr>
            <w:r w:rsidRPr="00651C99">
              <w:rPr>
                <w:rFonts w:cs="Arial"/>
                <w:sz w:val="16"/>
                <w:szCs w:val="16"/>
              </w:rPr>
              <w:t>Santiago</w:t>
            </w:r>
          </w:p>
        </w:tc>
        <w:tc>
          <w:tcPr>
            <w:tcW w:w="1057" w:type="dxa"/>
            <w:tcBorders>
              <w:top w:val="nil"/>
              <w:bottom w:val="nil"/>
            </w:tcBorders>
            <w:shd w:val="clear" w:color="auto" w:fill="auto"/>
            <w:tcMar>
              <w:top w:w="0" w:type="dxa"/>
              <w:left w:w="0" w:type="dxa"/>
              <w:bottom w:w="0" w:type="dxa"/>
              <w:right w:w="0" w:type="dxa"/>
            </w:tcMar>
            <w:vAlign w:val="center"/>
          </w:tcPr>
          <w:p w14:paraId="0502E26E"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08" w:type="dxa"/>
            <w:tcBorders>
              <w:top w:val="nil"/>
              <w:bottom w:val="nil"/>
            </w:tcBorders>
            <w:shd w:val="clear" w:color="auto" w:fill="auto"/>
            <w:tcMar>
              <w:top w:w="0" w:type="dxa"/>
              <w:left w:w="0" w:type="dxa"/>
              <w:bottom w:w="0" w:type="dxa"/>
              <w:right w:w="0" w:type="dxa"/>
            </w:tcMar>
            <w:vAlign w:val="center"/>
          </w:tcPr>
          <w:p w14:paraId="5AB54D08"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1136" w:type="dxa"/>
            <w:tcBorders>
              <w:top w:val="nil"/>
              <w:bottom w:val="nil"/>
            </w:tcBorders>
            <w:shd w:val="clear" w:color="auto" w:fill="auto"/>
            <w:tcMar>
              <w:top w:w="0" w:type="dxa"/>
              <w:left w:w="0" w:type="dxa"/>
              <w:bottom w:w="0" w:type="dxa"/>
              <w:right w:w="0" w:type="dxa"/>
            </w:tcMar>
            <w:vAlign w:val="center"/>
          </w:tcPr>
          <w:p w14:paraId="78591926" w14:textId="2C52710C"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153</w:t>
            </w:r>
          </w:p>
        </w:tc>
        <w:tc>
          <w:tcPr>
            <w:tcW w:w="914" w:type="dxa"/>
            <w:tcBorders>
              <w:top w:val="nil"/>
              <w:bottom w:val="nil"/>
            </w:tcBorders>
            <w:shd w:val="clear" w:color="auto" w:fill="auto"/>
            <w:tcMar>
              <w:top w:w="0" w:type="dxa"/>
              <w:left w:w="0" w:type="dxa"/>
              <w:bottom w:w="0" w:type="dxa"/>
              <w:right w:w="0" w:type="dxa"/>
            </w:tcMar>
            <w:vAlign w:val="center"/>
          </w:tcPr>
          <w:p w14:paraId="0D26C091" w14:textId="123FAB09"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273</w:t>
            </w:r>
          </w:p>
        </w:tc>
        <w:tc>
          <w:tcPr>
            <w:tcW w:w="707" w:type="dxa"/>
            <w:tcBorders>
              <w:top w:val="nil"/>
              <w:bottom w:val="nil"/>
            </w:tcBorders>
            <w:shd w:val="clear" w:color="auto" w:fill="auto"/>
            <w:tcMar>
              <w:top w:w="0" w:type="dxa"/>
              <w:left w:w="0" w:type="dxa"/>
              <w:bottom w:w="0" w:type="dxa"/>
              <w:right w:w="0" w:type="dxa"/>
            </w:tcMar>
            <w:vAlign w:val="center"/>
          </w:tcPr>
          <w:p w14:paraId="22B63499" w14:textId="5BBEFC82"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191</w:t>
            </w:r>
          </w:p>
        </w:tc>
        <w:tc>
          <w:tcPr>
            <w:tcW w:w="1097" w:type="dxa"/>
            <w:tcBorders>
              <w:top w:val="nil"/>
              <w:bottom w:val="nil"/>
            </w:tcBorders>
            <w:shd w:val="clear" w:color="auto" w:fill="auto"/>
            <w:tcMar>
              <w:top w:w="0" w:type="dxa"/>
              <w:left w:w="0" w:type="dxa"/>
              <w:bottom w:w="0" w:type="dxa"/>
              <w:right w:w="0" w:type="dxa"/>
            </w:tcMar>
            <w:vAlign w:val="center"/>
          </w:tcPr>
          <w:p w14:paraId="430C94B8" w14:textId="4B1817C7"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029</w:t>
            </w:r>
          </w:p>
        </w:tc>
      </w:tr>
      <w:tr w:rsidR="001D374A" w:rsidRPr="00C108F4" w14:paraId="6EC8AF70" w14:textId="77777777" w:rsidTr="00651C99">
        <w:trPr>
          <w:trHeight w:val="68"/>
        </w:trPr>
        <w:tc>
          <w:tcPr>
            <w:tcW w:w="655" w:type="dxa"/>
            <w:vMerge/>
            <w:tcBorders>
              <w:top w:val="nil"/>
              <w:bottom w:val="single" w:sz="6" w:space="0" w:color="008000"/>
            </w:tcBorders>
            <w:shd w:val="clear" w:color="auto" w:fill="auto"/>
            <w:tcMar>
              <w:top w:w="0" w:type="dxa"/>
              <w:left w:w="0" w:type="dxa"/>
              <w:bottom w:w="0" w:type="dxa"/>
              <w:right w:w="0" w:type="dxa"/>
            </w:tcMar>
            <w:vAlign w:val="center"/>
          </w:tcPr>
          <w:p w14:paraId="51928BCD" w14:textId="77777777" w:rsidR="003E6D91" w:rsidRPr="00651C99" w:rsidRDefault="003E6D91" w:rsidP="003E6D91">
            <w:pPr>
              <w:spacing w:before="240" w:after="240"/>
              <w:jc w:val="center"/>
              <w:rPr>
                <w:rFonts w:cs="Arial"/>
                <w:sz w:val="16"/>
                <w:szCs w:val="16"/>
              </w:rPr>
            </w:pPr>
          </w:p>
        </w:tc>
        <w:tc>
          <w:tcPr>
            <w:tcW w:w="1191" w:type="dxa"/>
            <w:tcBorders>
              <w:top w:val="nil"/>
              <w:bottom w:val="single" w:sz="6" w:space="0" w:color="008000"/>
            </w:tcBorders>
            <w:shd w:val="clear" w:color="auto" w:fill="auto"/>
            <w:tcMar>
              <w:top w:w="0" w:type="dxa"/>
              <w:left w:w="0" w:type="dxa"/>
              <w:bottom w:w="0" w:type="dxa"/>
              <w:right w:w="0" w:type="dxa"/>
            </w:tcMar>
            <w:vAlign w:val="center"/>
          </w:tcPr>
          <w:p w14:paraId="7E0A0745" w14:textId="77777777" w:rsidR="003E6D91" w:rsidRPr="00651C99" w:rsidRDefault="003E6D91" w:rsidP="003E6D91">
            <w:pPr>
              <w:spacing w:line="240" w:lineRule="auto"/>
              <w:jc w:val="center"/>
              <w:rPr>
                <w:rFonts w:cs="Arial"/>
                <w:sz w:val="16"/>
                <w:szCs w:val="16"/>
              </w:rPr>
            </w:pPr>
            <w:r w:rsidRPr="00651C99">
              <w:rPr>
                <w:rFonts w:cs="Arial"/>
                <w:sz w:val="16"/>
                <w:szCs w:val="16"/>
              </w:rPr>
              <w:t>Buenos Aires</w:t>
            </w:r>
          </w:p>
        </w:tc>
        <w:tc>
          <w:tcPr>
            <w:tcW w:w="1057" w:type="dxa"/>
            <w:tcBorders>
              <w:top w:val="nil"/>
              <w:bottom w:val="single" w:sz="6" w:space="0" w:color="008000"/>
            </w:tcBorders>
            <w:shd w:val="clear" w:color="auto" w:fill="auto"/>
            <w:tcMar>
              <w:top w:w="0" w:type="dxa"/>
              <w:left w:w="0" w:type="dxa"/>
              <w:bottom w:w="0" w:type="dxa"/>
              <w:right w:w="0" w:type="dxa"/>
            </w:tcMar>
            <w:vAlign w:val="center"/>
          </w:tcPr>
          <w:p w14:paraId="61C5CD10" w14:textId="575AEB9D"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017</w:t>
            </w:r>
          </w:p>
        </w:tc>
        <w:tc>
          <w:tcPr>
            <w:tcW w:w="908" w:type="dxa"/>
            <w:tcBorders>
              <w:top w:val="nil"/>
              <w:bottom w:val="single" w:sz="6" w:space="0" w:color="008000"/>
            </w:tcBorders>
            <w:shd w:val="clear" w:color="auto" w:fill="auto"/>
            <w:tcMar>
              <w:top w:w="0" w:type="dxa"/>
              <w:left w:w="0" w:type="dxa"/>
              <w:bottom w:w="0" w:type="dxa"/>
              <w:right w:w="0" w:type="dxa"/>
            </w:tcMar>
            <w:vAlign w:val="center"/>
          </w:tcPr>
          <w:p w14:paraId="7C58C756" w14:textId="1D21E4E6"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924</w:t>
            </w:r>
          </w:p>
        </w:tc>
        <w:tc>
          <w:tcPr>
            <w:tcW w:w="1136" w:type="dxa"/>
            <w:tcBorders>
              <w:top w:val="nil"/>
              <w:bottom w:val="single" w:sz="6" w:space="0" w:color="008000"/>
            </w:tcBorders>
            <w:shd w:val="clear" w:color="auto" w:fill="auto"/>
            <w:tcMar>
              <w:top w:w="0" w:type="dxa"/>
              <w:left w:w="0" w:type="dxa"/>
              <w:bottom w:w="0" w:type="dxa"/>
              <w:right w:w="0" w:type="dxa"/>
            </w:tcMar>
            <w:vAlign w:val="center"/>
          </w:tcPr>
          <w:p w14:paraId="74E416FD" w14:textId="760A553F" w:rsidR="003E6D91" w:rsidRPr="00651C99" w:rsidRDefault="003E6D91" w:rsidP="003E6D91">
            <w:pPr>
              <w:spacing w:line="240" w:lineRule="auto"/>
              <w:jc w:val="center"/>
              <w:rPr>
                <w:rFonts w:cs="Arial"/>
                <w:sz w:val="16"/>
                <w:szCs w:val="16"/>
              </w:rPr>
            </w:pPr>
          </w:p>
        </w:tc>
        <w:tc>
          <w:tcPr>
            <w:tcW w:w="914" w:type="dxa"/>
            <w:tcBorders>
              <w:top w:val="nil"/>
              <w:bottom w:val="single" w:sz="6" w:space="0" w:color="008000"/>
            </w:tcBorders>
            <w:shd w:val="clear" w:color="auto" w:fill="auto"/>
            <w:tcMar>
              <w:top w:w="0" w:type="dxa"/>
              <w:left w:w="0" w:type="dxa"/>
              <w:bottom w:w="0" w:type="dxa"/>
              <w:right w:w="0" w:type="dxa"/>
            </w:tcMar>
            <w:vAlign w:val="center"/>
          </w:tcPr>
          <w:p w14:paraId="6D52E5B6" w14:textId="05754056" w:rsidR="003E6D91" w:rsidRPr="00651C99" w:rsidRDefault="003E6D91" w:rsidP="003E6D91">
            <w:pPr>
              <w:spacing w:line="240" w:lineRule="auto"/>
              <w:jc w:val="center"/>
              <w:rPr>
                <w:rFonts w:cs="Arial"/>
                <w:sz w:val="16"/>
                <w:szCs w:val="16"/>
              </w:rPr>
            </w:pPr>
          </w:p>
        </w:tc>
        <w:tc>
          <w:tcPr>
            <w:tcW w:w="707" w:type="dxa"/>
            <w:tcBorders>
              <w:top w:val="nil"/>
              <w:bottom w:val="single" w:sz="6" w:space="0" w:color="008000"/>
            </w:tcBorders>
            <w:shd w:val="clear" w:color="auto" w:fill="auto"/>
            <w:tcMar>
              <w:top w:w="0" w:type="dxa"/>
              <w:left w:w="0" w:type="dxa"/>
              <w:bottom w:w="0" w:type="dxa"/>
              <w:right w:w="0" w:type="dxa"/>
            </w:tcMar>
            <w:vAlign w:val="center"/>
          </w:tcPr>
          <w:p w14:paraId="2043766C" w14:textId="4D38E01A"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009</w:t>
            </w:r>
          </w:p>
        </w:tc>
        <w:tc>
          <w:tcPr>
            <w:tcW w:w="1097" w:type="dxa"/>
            <w:tcBorders>
              <w:top w:val="nil"/>
              <w:bottom w:val="single" w:sz="6" w:space="0" w:color="008000"/>
            </w:tcBorders>
            <w:shd w:val="clear" w:color="auto" w:fill="auto"/>
            <w:tcMar>
              <w:top w:w="0" w:type="dxa"/>
              <w:left w:w="0" w:type="dxa"/>
              <w:bottom w:w="0" w:type="dxa"/>
              <w:right w:w="0" w:type="dxa"/>
            </w:tcMar>
            <w:vAlign w:val="center"/>
          </w:tcPr>
          <w:p w14:paraId="5722D816" w14:textId="6FD83476"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654</w:t>
            </w:r>
          </w:p>
        </w:tc>
      </w:tr>
      <w:tr w:rsidR="001D374A" w:rsidRPr="00C108F4" w14:paraId="2E853E53" w14:textId="77777777" w:rsidTr="00651C99">
        <w:trPr>
          <w:trHeight w:val="53"/>
        </w:trPr>
        <w:tc>
          <w:tcPr>
            <w:tcW w:w="655" w:type="dxa"/>
            <w:vMerge w:val="restart"/>
            <w:tcBorders>
              <w:top w:val="single" w:sz="6" w:space="0" w:color="008000"/>
            </w:tcBorders>
            <w:shd w:val="clear" w:color="auto" w:fill="auto"/>
            <w:tcMar>
              <w:top w:w="0" w:type="dxa"/>
              <w:left w:w="0" w:type="dxa"/>
              <w:bottom w:w="0" w:type="dxa"/>
              <w:right w:w="0" w:type="dxa"/>
            </w:tcMar>
            <w:vAlign w:val="center"/>
          </w:tcPr>
          <w:p w14:paraId="23FF47A9" w14:textId="77777777" w:rsidR="003E6D91" w:rsidRPr="00651C99" w:rsidRDefault="003E6D91" w:rsidP="003E6D91">
            <w:pPr>
              <w:spacing w:line="240" w:lineRule="auto"/>
              <w:jc w:val="center"/>
              <w:rPr>
                <w:rFonts w:cs="Arial"/>
                <w:sz w:val="16"/>
                <w:szCs w:val="16"/>
              </w:rPr>
            </w:pPr>
            <w:r w:rsidRPr="00651C99">
              <w:rPr>
                <w:rFonts w:cs="Arial"/>
                <w:sz w:val="16"/>
                <w:szCs w:val="16"/>
              </w:rPr>
              <w:t>CO</w:t>
            </w:r>
          </w:p>
        </w:tc>
        <w:tc>
          <w:tcPr>
            <w:tcW w:w="1191" w:type="dxa"/>
            <w:tcBorders>
              <w:top w:val="single" w:sz="6" w:space="0" w:color="008000"/>
            </w:tcBorders>
            <w:shd w:val="clear" w:color="auto" w:fill="auto"/>
            <w:tcMar>
              <w:top w:w="0" w:type="dxa"/>
              <w:left w:w="0" w:type="dxa"/>
              <w:bottom w:w="0" w:type="dxa"/>
              <w:right w:w="0" w:type="dxa"/>
            </w:tcMar>
            <w:vAlign w:val="center"/>
          </w:tcPr>
          <w:p w14:paraId="136CEE7F" w14:textId="77777777" w:rsidR="003E6D91" w:rsidRPr="00651C99" w:rsidRDefault="003E6D91" w:rsidP="003E6D91">
            <w:pPr>
              <w:spacing w:line="240" w:lineRule="auto"/>
              <w:jc w:val="center"/>
              <w:rPr>
                <w:rFonts w:cs="Arial"/>
                <w:sz w:val="16"/>
                <w:szCs w:val="16"/>
              </w:rPr>
            </w:pPr>
            <w:r w:rsidRPr="00651C99">
              <w:rPr>
                <w:rFonts w:cs="Arial"/>
                <w:sz w:val="16"/>
                <w:szCs w:val="16"/>
              </w:rPr>
              <w:t>Lima</w:t>
            </w:r>
          </w:p>
        </w:tc>
        <w:tc>
          <w:tcPr>
            <w:tcW w:w="1057" w:type="dxa"/>
            <w:tcBorders>
              <w:top w:val="single" w:sz="6" w:space="0" w:color="008000"/>
            </w:tcBorders>
            <w:shd w:val="clear" w:color="auto" w:fill="auto"/>
            <w:tcMar>
              <w:top w:w="0" w:type="dxa"/>
              <w:left w:w="0" w:type="dxa"/>
              <w:bottom w:w="0" w:type="dxa"/>
              <w:right w:w="0" w:type="dxa"/>
            </w:tcMar>
            <w:vAlign w:val="center"/>
          </w:tcPr>
          <w:p w14:paraId="55063848"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08" w:type="dxa"/>
            <w:tcBorders>
              <w:top w:val="single" w:sz="6" w:space="0" w:color="008000"/>
            </w:tcBorders>
            <w:shd w:val="clear" w:color="auto" w:fill="auto"/>
            <w:tcMar>
              <w:top w:w="0" w:type="dxa"/>
              <w:left w:w="0" w:type="dxa"/>
              <w:bottom w:w="0" w:type="dxa"/>
              <w:right w:w="0" w:type="dxa"/>
            </w:tcMar>
            <w:vAlign w:val="center"/>
          </w:tcPr>
          <w:p w14:paraId="6AA9FA32"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1136" w:type="dxa"/>
            <w:tcBorders>
              <w:top w:val="single" w:sz="6" w:space="0" w:color="008000"/>
            </w:tcBorders>
            <w:shd w:val="clear" w:color="auto" w:fill="auto"/>
            <w:tcMar>
              <w:top w:w="0" w:type="dxa"/>
              <w:left w:w="0" w:type="dxa"/>
              <w:bottom w:w="0" w:type="dxa"/>
              <w:right w:w="0" w:type="dxa"/>
            </w:tcMar>
            <w:vAlign w:val="center"/>
          </w:tcPr>
          <w:p w14:paraId="15F03A6A" w14:textId="6F8D4063"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400</w:t>
            </w:r>
          </w:p>
        </w:tc>
        <w:tc>
          <w:tcPr>
            <w:tcW w:w="914" w:type="dxa"/>
            <w:tcBorders>
              <w:top w:val="single" w:sz="6" w:space="0" w:color="008000"/>
            </w:tcBorders>
            <w:shd w:val="clear" w:color="auto" w:fill="auto"/>
            <w:tcMar>
              <w:top w:w="0" w:type="dxa"/>
              <w:left w:w="0" w:type="dxa"/>
              <w:bottom w:w="0" w:type="dxa"/>
              <w:right w:w="0" w:type="dxa"/>
            </w:tcMar>
            <w:vAlign w:val="center"/>
          </w:tcPr>
          <w:p w14:paraId="3BFDBDB7" w14:textId="1D73A52D"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010</w:t>
            </w:r>
          </w:p>
        </w:tc>
        <w:tc>
          <w:tcPr>
            <w:tcW w:w="707" w:type="dxa"/>
            <w:tcBorders>
              <w:top w:val="single" w:sz="6" w:space="0" w:color="008000"/>
            </w:tcBorders>
            <w:shd w:val="clear" w:color="auto" w:fill="auto"/>
            <w:tcMar>
              <w:top w:w="0" w:type="dxa"/>
              <w:left w:w="0" w:type="dxa"/>
              <w:bottom w:w="0" w:type="dxa"/>
              <w:right w:w="0" w:type="dxa"/>
            </w:tcMar>
            <w:vAlign w:val="center"/>
          </w:tcPr>
          <w:p w14:paraId="1063DAB8" w14:textId="22E494C5"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174</w:t>
            </w:r>
          </w:p>
        </w:tc>
        <w:tc>
          <w:tcPr>
            <w:tcW w:w="1097" w:type="dxa"/>
            <w:tcBorders>
              <w:top w:val="single" w:sz="6" w:space="0" w:color="008000"/>
            </w:tcBorders>
            <w:shd w:val="clear" w:color="auto" w:fill="auto"/>
            <w:tcMar>
              <w:top w:w="0" w:type="dxa"/>
              <w:left w:w="0" w:type="dxa"/>
              <w:bottom w:w="0" w:type="dxa"/>
              <w:right w:w="0" w:type="dxa"/>
            </w:tcMar>
            <w:vAlign w:val="center"/>
          </w:tcPr>
          <w:p w14:paraId="61CA7206" w14:textId="66D34AE2"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007</w:t>
            </w:r>
          </w:p>
        </w:tc>
      </w:tr>
      <w:tr w:rsidR="001D374A" w:rsidRPr="00C108F4" w14:paraId="5E079628" w14:textId="77777777" w:rsidTr="00651C99">
        <w:trPr>
          <w:trHeight w:val="68"/>
        </w:trPr>
        <w:tc>
          <w:tcPr>
            <w:tcW w:w="655" w:type="dxa"/>
            <w:vMerge/>
            <w:shd w:val="clear" w:color="auto" w:fill="auto"/>
            <w:tcMar>
              <w:top w:w="0" w:type="dxa"/>
              <w:left w:w="0" w:type="dxa"/>
              <w:bottom w:w="0" w:type="dxa"/>
              <w:right w:w="0" w:type="dxa"/>
            </w:tcMar>
            <w:vAlign w:val="center"/>
          </w:tcPr>
          <w:p w14:paraId="48B4D071" w14:textId="77777777" w:rsidR="003E6D91" w:rsidRPr="00651C99" w:rsidRDefault="003E6D91" w:rsidP="003E6D91">
            <w:pPr>
              <w:spacing w:before="240" w:after="240"/>
              <w:jc w:val="center"/>
              <w:rPr>
                <w:rFonts w:cs="Arial"/>
                <w:sz w:val="16"/>
                <w:szCs w:val="16"/>
              </w:rPr>
            </w:pPr>
          </w:p>
        </w:tc>
        <w:tc>
          <w:tcPr>
            <w:tcW w:w="1191" w:type="dxa"/>
            <w:shd w:val="clear" w:color="auto" w:fill="auto"/>
            <w:tcMar>
              <w:top w:w="0" w:type="dxa"/>
              <w:left w:w="0" w:type="dxa"/>
              <w:bottom w:w="0" w:type="dxa"/>
              <w:right w:w="0" w:type="dxa"/>
            </w:tcMar>
            <w:vAlign w:val="center"/>
          </w:tcPr>
          <w:p w14:paraId="5BAD542B" w14:textId="77777777" w:rsidR="003E6D91" w:rsidRPr="00651C99" w:rsidRDefault="003E6D91" w:rsidP="003E6D91">
            <w:pPr>
              <w:spacing w:line="240" w:lineRule="auto"/>
              <w:jc w:val="center"/>
              <w:rPr>
                <w:rFonts w:cs="Arial"/>
                <w:sz w:val="16"/>
                <w:szCs w:val="16"/>
              </w:rPr>
            </w:pPr>
            <w:r w:rsidRPr="00651C99">
              <w:rPr>
                <w:rFonts w:cs="Arial"/>
                <w:sz w:val="16"/>
                <w:szCs w:val="16"/>
              </w:rPr>
              <w:t>Quito</w:t>
            </w:r>
          </w:p>
        </w:tc>
        <w:tc>
          <w:tcPr>
            <w:tcW w:w="1057" w:type="dxa"/>
            <w:shd w:val="clear" w:color="auto" w:fill="auto"/>
            <w:tcMar>
              <w:top w:w="0" w:type="dxa"/>
              <w:left w:w="0" w:type="dxa"/>
              <w:bottom w:w="0" w:type="dxa"/>
              <w:right w:w="0" w:type="dxa"/>
            </w:tcMar>
            <w:vAlign w:val="center"/>
          </w:tcPr>
          <w:p w14:paraId="2382DCA6" w14:textId="238DF421"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636</w:t>
            </w:r>
          </w:p>
        </w:tc>
        <w:tc>
          <w:tcPr>
            <w:tcW w:w="908" w:type="dxa"/>
            <w:shd w:val="clear" w:color="auto" w:fill="auto"/>
            <w:tcMar>
              <w:top w:w="0" w:type="dxa"/>
              <w:left w:w="0" w:type="dxa"/>
              <w:bottom w:w="0" w:type="dxa"/>
              <w:right w:w="0" w:type="dxa"/>
            </w:tcMar>
            <w:vAlign w:val="center"/>
          </w:tcPr>
          <w:p w14:paraId="6E579CC6" w14:textId="77777777" w:rsidR="003E6D91" w:rsidRPr="00651C99" w:rsidRDefault="003E6D91" w:rsidP="003E6D91">
            <w:pPr>
              <w:spacing w:line="240" w:lineRule="auto"/>
              <w:jc w:val="center"/>
              <w:rPr>
                <w:rFonts w:cs="Arial"/>
                <w:color w:val="010205"/>
                <w:sz w:val="16"/>
                <w:szCs w:val="16"/>
              </w:rPr>
            </w:pPr>
            <w:r w:rsidRPr="00651C99">
              <w:rPr>
                <w:rFonts w:cs="Arial"/>
                <w:color w:val="010205"/>
                <w:sz w:val="16"/>
                <w:szCs w:val="16"/>
              </w:rPr>
              <w:t>,000</w:t>
            </w:r>
          </w:p>
        </w:tc>
        <w:tc>
          <w:tcPr>
            <w:tcW w:w="1136" w:type="dxa"/>
            <w:shd w:val="clear" w:color="auto" w:fill="auto"/>
            <w:tcMar>
              <w:top w:w="0" w:type="dxa"/>
              <w:left w:w="0" w:type="dxa"/>
              <w:bottom w:w="0" w:type="dxa"/>
              <w:right w:w="0" w:type="dxa"/>
            </w:tcMar>
            <w:vAlign w:val="center"/>
          </w:tcPr>
          <w:p w14:paraId="32265B48"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14" w:type="dxa"/>
            <w:shd w:val="clear" w:color="auto" w:fill="auto"/>
            <w:tcMar>
              <w:top w:w="0" w:type="dxa"/>
              <w:left w:w="0" w:type="dxa"/>
              <w:bottom w:w="0" w:type="dxa"/>
              <w:right w:w="0" w:type="dxa"/>
            </w:tcMar>
            <w:vAlign w:val="center"/>
          </w:tcPr>
          <w:p w14:paraId="04889CAC"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707" w:type="dxa"/>
            <w:shd w:val="clear" w:color="auto" w:fill="auto"/>
            <w:tcMar>
              <w:top w:w="0" w:type="dxa"/>
              <w:left w:w="0" w:type="dxa"/>
              <w:bottom w:w="0" w:type="dxa"/>
              <w:right w:w="0" w:type="dxa"/>
            </w:tcMar>
            <w:vAlign w:val="center"/>
          </w:tcPr>
          <w:p w14:paraId="07EF18DA" w14:textId="210F1857"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410</w:t>
            </w:r>
          </w:p>
        </w:tc>
        <w:tc>
          <w:tcPr>
            <w:tcW w:w="1097" w:type="dxa"/>
            <w:shd w:val="clear" w:color="auto" w:fill="auto"/>
            <w:tcMar>
              <w:top w:w="0" w:type="dxa"/>
              <w:left w:w="0" w:type="dxa"/>
              <w:bottom w:w="0" w:type="dxa"/>
              <w:right w:w="0" w:type="dxa"/>
            </w:tcMar>
            <w:vAlign w:val="center"/>
          </w:tcPr>
          <w:p w14:paraId="7A9916AB" w14:textId="105E0E40"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001</w:t>
            </w:r>
          </w:p>
        </w:tc>
      </w:tr>
      <w:tr w:rsidR="001D374A" w:rsidRPr="00C108F4" w14:paraId="6D597AC2" w14:textId="77777777" w:rsidTr="00651C99">
        <w:trPr>
          <w:trHeight w:val="68"/>
        </w:trPr>
        <w:tc>
          <w:tcPr>
            <w:tcW w:w="655" w:type="dxa"/>
            <w:vMerge/>
            <w:shd w:val="clear" w:color="auto" w:fill="auto"/>
            <w:tcMar>
              <w:top w:w="0" w:type="dxa"/>
              <w:left w:w="0" w:type="dxa"/>
              <w:bottom w:w="0" w:type="dxa"/>
              <w:right w:w="0" w:type="dxa"/>
            </w:tcMar>
            <w:vAlign w:val="center"/>
          </w:tcPr>
          <w:p w14:paraId="64185612" w14:textId="77777777" w:rsidR="003E6D91" w:rsidRPr="00651C99" w:rsidRDefault="003E6D91" w:rsidP="003E6D91">
            <w:pPr>
              <w:spacing w:before="240" w:after="240"/>
              <w:jc w:val="center"/>
              <w:rPr>
                <w:rFonts w:cs="Arial"/>
                <w:sz w:val="16"/>
                <w:szCs w:val="16"/>
              </w:rPr>
            </w:pPr>
          </w:p>
        </w:tc>
        <w:tc>
          <w:tcPr>
            <w:tcW w:w="1191" w:type="dxa"/>
            <w:shd w:val="clear" w:color="auto" w:fill="auto"/>
            <w:tcMar>
              <w:top w:w="0" w:type="dxa"/>
              <w:left w:w="0" w:type="dxa"/>
              <w:bottom w:w="0" w:type="dxa"/>
              <w:right w:w="0" w:type="dxa"/>
            </w:tcMar>
            <w:vAlign w:val="center"/>
          </w:tcPr>
          <w:p w14:paraId="14AACCB4" w14:textId="77777777" w:rsidR="003E6D91" w:rsidRPr="00651C99" w:rsidRDefault="003E6D91" w:rsidP="003E6D91">
            <w:pPr>
              <w:spacing w:line="240" w:lineRule="auto"/>
              <w:jc w:val="center"/>
              <w:rPr>
                <w:rFonts w:cs="Arial"/>
                <w:sz w:val="16"/>
                <w:szCs w:val="16"/>
              </w:rPr>
            </w:pPr>
            <w:r w:rsidRPr="00651C99">
              <w:rPr>
                <w:rFonts w:cs="Arial"/>
                <w:sz w:val="16"/>
                <w:szCs w:val="16"/>
              </w:rPr>
              <w:t>Bogotá</w:t>
            </w:r>
          </w:p>
        </w:tc>
        <w:tc>
          <w:tcPr>
            <w:tcW w:w="1057" w:type="dxa"/>
            <w:shd w:val="clear" w:color="auto" w:fill="auto"/>
            <w:tcMar>
              <w:top w:w="0" w:type="dxa"/>
              <w:left w:w="0" w:type="dxa"/>
              <w:bottom w:w="0" w:type="dxa"/>
              <w:right w:w="0" w:type="dxa"/>
            </w:tcMar>
            <w:vAlign w:val="center"/>
          </w:tcPr>
          <w:p w14:paraId="777BD8E6" w14:textId="0506FE86"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663</w:t>
            </w:r>
          </w:p>
        </w:tc>
        <w:tc>
          <w:tcPr>
            <w:tcW w:w="908" w:type="dxa"/>
            <w:shd w:val="clear" w:color="auto" w:fill="auto"/>
            <w:tcMar>
              <w:top w:w="0" w:type="dxa"/>
              <w:left w:w="0" w:type="dxa"/>
              <w:bottom w:w="0" w:type="dxa"/>
              <w:right w:w="0" w:type="dxa"/>
            </w:tcMar>
            <w:vAlign w:val="center"/>
          </w:tcPr>
          <w:p w14:paraId="653CE2A5" w14:textId="77777777" w:rsidR="003E6D91" w:rsidRPr="00651C99" w:rsidRDefault="003E6D91" w:rsidP="003E6D91">
            <w:pPr>
              <w:spacing w:line="240" w:lineRule="auto"/>
              <w:jc w:val="center"/>
              <w:rPr>
                <w:rFonts w:cs="Arial"/>
                <w:color w:val="010205"/>
                <w:sz w:val="16"/>
                <w:szCs w:val="16"/>
              </w:rPr>
            </w:pPr>
            <w:r w:rsidRPr="00651C99">
              <w:rPr>
                <w:rFonts w:cs="Arial"/>
                <w:color w:val="010205"/>
                <w:sz w:val="16"/>
                <w:szCs w:val="16"/>
              </w:rPr>
              <w:t>,000</w:t>
            </w:r>
          </w:p>
        </w:tc>
        <w:tc>
          <w:tcPr>
            <w:tcW w:w="1136" w:type="dxa"/>
            <w:shd w:val="clear" w:color="auto" w:fill="auto"/>
            <w:tcMar>
              <w:top w:w="0" w:type="dxa"/>
              <w:left w:w="0" w:type="dxa"/>
              <w:bottom w:w="0" w:type="dxa"/>
              <w:right w:w="0" w:type="dxa"/>
            </w:tcMar>
            <w:vAlign w:val="center"/>
          </w:tcPr>
          <w:p w14:paraId="6BCFADC7"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14" w:type="dxa"/>
            <w:shd w:val="clear" w:color="auto" w:fill="auto"/>
            <w:tcMar>
              <w:top w:w="0" w:type="dxa"/>
              <w:left w:w="0" w:type="dxa"/>
              <w:bottom w:w="0" w:type="dxa"/>
              <w:right w:w="0" w:type="dxa"/>
            </w:tcMar>
            <w:vAlign w:val="center"/>
          </w:tcPr>
          <w:p w14:paraId="194AA355"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707" w:type="dxa"/>
            <w:shd w:val="clear" w:color="auto" w:fill="auto"/>
            <w:tcMar>
              <w:top w:w="0" w:type="dxa"/>
              <w:left w:w="0" w:type="dxa"/>
              <w:bottom w:w="0" w:type="dxa"/>
              <w:right w:w="0" w:type="dxa"/>
            </w:tcMar>
            <w:vAlign w:val="center"/>
          </w:tcPr>
          <w:p w14:paraId="5F68A70E" w14:textId="4A8643B4"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501</w:t>
            </w:r>
          </w:p>
        </w:tc>
        <w:tc>
          <w:tcPr>
            <w:tcW w:w="1097" w:type="dxa"/>
            <w:shd w:val="clear" w:color="auto" w:fill="auto"/>
            <w:tcMar>
              <w:top w:w="0" w:type="dxa"/>
              <w:left w:w="0" w:type="dxa"/>
              <w:bottom w:w="0" w:type="dxa"/>
              <w:right w:w="0" w:type="dxa"/>
            </w:tcMar>
            <w:vAlign w:val="center"/>
          </w:tcPr>
          <w:p w14:paraId="4CDDA03F" w14:textId="2DC2F2A7"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0.000</w:t>
            </w:r>
          </w:p>
        </w:tc>
      </w:tr>
      <w:tr w:rsidR="001D374A" w:rsidRPr="00C108F4" w14:paraId="2F60CF3C" w14:textId="77777777" w:rsidTr="00651C99">
        <w:trPr>
          <w:trHeight w:val="68"/>
        </w:trPr>
        <w:tc>
          <w:tcPr>
            <w:tcW w:w="655" w:type="dxa"/>
            <w:vMerge/>
            <w:shd w:val="clear" w:color="auto" w:fill="auto"/>
            <w:tcMar>
              <w:top w:w="0" w:type="dxa"/>
              <w:left w:w="0" w:type="dxa"/>
              <w:bottom w:w="0" w:type="dxa"/>
              <w:right w:w="0" w:type="dxa"/>
            </w:tcMar>
            <w:vAlign w:val="center"/>
          </w:tcPr>
          <w:p w14:paraId="1CC75792" w14:textId="77777777" w:rsidR="003E6D91" w:rsidRPr="00651C99" w:rsidRDefault="003E6D91" w:rsidP="003E6D91">
            <w:pPr>
              <w:spacing w:before="240" w:after="240"/>
              <w:jc w:val="center"/>
              <w:rPr>
                <w:rFonts w:cs="Arial"/>
                <w:sz w:val="16"/>
                <w:szCs w:val="16"/>
              </w:rPr>
            </w:pPr>
          </w:p>
        </w:tc>
        <w:tc>
          <w:tcPr>
            <w:tcW w:w="1191" w:type="dxa"/>
            <w:shd w:val="clear" w:color="auto" w:fill="auto"/>
            <w:tcMar>
              <w:top w:w="0" w:type="dxa"/>
              <w:left w:w="0" w:type="dxa"/>
              <w:bottom w:w="0" w:type="dxa"/>
              <w:right w:w="0" w:type="dxa"/>
            </w:tcMar>
            <w:vAlign w:val="center"/>
          </w:tcPr>
          <w:p w14:paraId="26772F84" w14:textId="77777777" w:rsidR="003E6D91" w:rsidRPr="00651C99" w:rsidRDefault="003E6D91" w:rsidP="003E6D91">
            <w:pPr>
              <w:spacing w:line="240" w:lineRule="auto"/>
              <w:jc w:val="center"/>
              <w:rPr>
                <w:rFonts w:cs="Arial"/>
                <w:sz w:val="16"/>
                <w:szCs w:val="16"/>
              </w:rPr>
            </w:pPr>
            <w:r w:rsidRPr="00651C99">
              <w:rPr>
                <w:rFonts w:cs="Arial"/>
                <w:sz w:val="16"/>
                <w:szCs w:val="16"/>
              </w:rPr>
              <w:t>Santiago</w:t>
            </w:r>
          </w:p>
        </w:tc>
        <w:tc>
          <w:tcPr>
            <w:tcW w:w="1057" w:type="dxa"/>
            <w:shd w:val="clear" w:color="auto" w:fill="auto"/>
            <w:tcMar>
              <w:top w:w="0" w:type="dxa"/>
              <w:left w:w="0" w:type="dxa"/>
              <w:bottom w:w="0" w:type="dxa"/>
              <w:right w:w="0" w:type="dxa"/>
            </w:tcMar>
            <w:vAlign w:val="center"/>
          </w:tcPr>
          <w:p w14:paraId="4566ACA0" w14:textId="4F460794"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455</w:t>
            </w:r>
          </w:p>
        </w:tc>
        <w:tc>
          <w:tcPr>
            <w:tcW w:w="908" w:type="dxa"/>
            <w:shd w:val="clear" w:color="auto" w:fill="auto"/>
            <w:tcMar>
              <w:top w:w="0" w:type="dxa"/>
              <w:left w:w="0" w:type="dxa"/>
              <w:bottom w:w="0" w:type="dxa"/>
              <w:right w:w="0" w:type="dxa"/>
            </w:tcMar>
            <w:vAlign w:val="center"/>
          </w:tcPr>
          <w:p w14:paraId="0EF94F85" w14:textId="77777777" w:rsidR="003E6D91" w:rsidRPr="00651C99" w:rsidRDefault="003E6D91" w:rsidP="003E6D91">
            <w:pPr>
              <w:spacing w:line="240" w:lineRule="auto"/>
              <w:jc w:val="center"/>
              <w:rPr>
                <w:rFonts w:cs="Arial"/>
                <w:color w:val="010205"/>
                <w:sz w:val="16"/>
                <w:szCs w:val="16"/>
              </w:rPr>
            </w:pPr>
            <w:r w:rsidRPr="00651C99">
              <w:rPr>
                <w:rFonts w:cs="Arial"/>
                <w:color w:val="010205"/>
                <w:sz w:val="16"/>
                <w:szCs w:val="16"/>
              </w:rPr>
              <w:t>,001</w:t>
            </w:r>
          </w:p>
        </w:tc>
        <w:tc>
          <w:tcPr>
            <w:tcW w:w="1136" w:type="dxa"/>
            <w:shd w:val="clear" w:color="auto" w:fill="auto"/>
            <w:tcMar>
              <w:top w:w="0" w:type="dxa"/>
              <w:left w:w="0" w:type="dxa"/>
              <w:bottom w:w="0" w:type="dxa"/>
              <w:right w:w="0" w:type="dxa"/>
            </w:tcMar>
            <w:vAlign w:val="center"/>
          </w:tcPr>
          <w:p w14:paraId="0D6C492F"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14" w:type="dxa"/>
            <w:shd w:val="clear" w:color="auto" w:fill="auto"/>
            <w:tcMar>
              <w:top w:w="0" w:type="dxa"/>
              <w:left w:w="0" w:type="dxa"/>
              <w:bottom w:w="0" w:type="dxa"/>
              <w:right w:w="0" w:type="dxa"/>
            </w:tcMar>
            <w:vAlign w:val="center"/>
          </w:tcPr>
          <w:p w14:paraId="0E403578"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707" w:type="dxa"/>
            <w:shd w:val="clear" w:color="auto" w:fill="auto"/>
            <w:tcMar>
              <w:top w:w="0" w:type="dxa"/>
              <w:left w:w="0" w:type="dxa"/>
              <w:bottom w:w="0" w:type="dxa"/>
              <w:right w:w="0" w:type="dxa"/>
            </w:tcMar>
            <w:vAlign w:val="center"/>
          </w:tcPr>
          <w:p w14:paraId="504FE235" w14:textId="77A98DBD"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364</w:t>
            </w:r>
          </w:p>
        </w:tc>
        <w:tc>
          <w:tcPr>
            <w:tcW w:w="1097" w:type="dxa"/>
            <w:shd w:val="clear" w:color="auto" w:fill="auto"/>
            <w:tcMar>
              <w:top w:w="0" w:type="dxa"/>
              <w:left w:w="0" w:type="dxa"/>
              <w:bottom w:w="0" w:type="dxa"/>
              <w:right w:w="0" w:type="dxa"/>
            </w:tcMar>
            <w:vAlign w:val="center"/>
          </w:tcPr>
          <w:p w14:paraId="23A5EC23" w14:textId="4CE259CB"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003</w:t>
            </w:r>
          </w:p>
        </w:tc>
      </w:tr>
      <w:tr w:rsidR="001D374A" w:rsidRPr="00C108F4" w14:paraId="07419822" w14:textId="77777777" w:rsidTr="00651C99">
        <w:trPr>
          <w:trHeight w:val="68"/>
        </w:trPr>
        <w:tc>
          <w:tcPr>
            <w:tcW w:w="655" w:type="dxa"/>
            <w:vMerge/>
            <w:tcBorders>
              <w:bottom w:val="single" w:sz="6" w:space="0" w:color="008000"/>
            </w:tcBorders>
            <w:shd w:val="clear" w:color="auto" w:fill="auto"/>
            <w:tcMar>
              <w:top w:w="0" w:type="dxa"/>
              <w:left w:w="0" w:type="dxa"/>
              <w:bottom w:w="0" w:type="dxa"/>
              <w:right w:w="0" w:type="dxa"/>
            </w:tcMar>
            <w:vAlign w:val="center"/>
          </w:tcPr>
          <w:p w14:paraId="2FFB0671" w14:textId="77777777" w:rsidR="003E6D91" w:rsidRPr="00651C99" w:rsidRDefault="003E6D91" w:rsidP="003E6D91">
            <w:pPr>
              <w:spacing w:before="240" w:after="240"/>
              <w:jc w:val="center"/>
              <w:rPr>
                <w:rFonts w:cs="Arial"/>
                <w:sz w:val="16"/>
                <w:szCs w:val="16"/>
              </w:rPr>
            </w:pPr>
          </w:p>
        </w:tc>
        <w:tc>
          <w:tcPr>
            <w:tcW w:w="1191" w:type="dxa"/>
            <w:tcBorders>
              <w:bottom w:val="single" w:sz="6" w:space="0" w:color="008000"/>
            </w:tcBorders>
            <w:shd w:val="clear" w:color="auto" w:fill="auto"/>
            <w:tcMar>
              <w:top w:w="0" w:type="dxa"/>
              <w:left w:w="0" w:type="dxa"/>
              <w:bottom w:w="0" w:type="dxa"/>
              <w:right w:w="0" w:type="dxa"/>
            </w:tcMar>
            <w:vAlign w:val="center"/>
          </w:tcPr>
          <w:p w14:paraId="4C32E821" w14:textId="77777777" w:rsidR="003E6D91" w:rsidRPr="00651C99" w:rsidRDefault="003E6D91" w:rsidP="003E6D91">
            <w:pPr>
              <w:spacing w:line="240" w:lineRule="auto"/>
              <w:jc w:val="center"/>
              <w:rPr>
                <w:rFonts w:cs="Arial"/>
                <w:sz w:val="16"/>
                <w:szCs w:val="16"/>
              </w:rPr>
            </w:pPr>
            <w:r w:rsidRPr="00651C99">
              <w:rPr>
                <w:rFonts w:cs="Arial"/>
                <w:sz w:val="16"/>
                <w:szCs w:val="16"/>
              </w:rPr>
              <w:t>Buenos Aires</w:t>
            </w:r>
          </w:p>
        </w:tc>
        <w:tc>
          <w:tcPr>
            <w:tcW w:w="1057" w:type="dxa"/>
            <w:tcBorders>
              <w:bottom w:val="single" w:sz="6" w:space="0" w:color="008000"/>
            </w:tcBorders>
            <w:shd w:val="clear" w:color="auto" w:fill="auto"/>
            <w:tcMar>
              <w:top w:w="0" w:type="dxa"/>
              <w:left w:w="0" w:type="dxa"/>
              <w:bottom w:w="0" w:type="dxa"/>
              <w:right w:w="0" w:type="dxa"/>
            </w:tcMar>
            <w:vAlign w:val="center"/>
          </w:tcPr>
          <w:p w14:paraId="580013FA"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08" w:type="dxa"/>
            <w:tcBorders>
              <w:bottom w:val="single" w:sz="6" w:space="0" w:color="008000"/>
            </w:tcBorders>
            <w:shd w:val="clear" w:color="auto" w:fill="auto"/>
            <w:tcMar>
              <w:top w:w="0" w:type="dxa"/>
              <w:left w:w="0" w:type="dxa"/>
              <w:bottom w:w="0" w:type="dxa"/>
              <w:right w:w="0" w:type="dxa"/>
            </w:tcMar>
            <w:vAlign w:val="center"/>
          </w:tcPr>
          <w:p w14:paraId="160B3D6F"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1136" w:type="dxa"/>
            <w:tcBorders>
              <w:bottom w:val="single" w:sz="6" w:space="0" w:color="008000"/>
            </w:tcBorders>
            <w:shd w:val="clear" w:color="auto" w:fill="auto"/>
            <w:tcMar>
              <w:top w:w="0" w:type="dxa"/>
              <w:left w:w="0" w:type="dxa"/>
              <w:bottom w:w="0" w:type="dxa"/>
              <w:right w:w="0" w:type="dxa"/>
            </w:tcMar>
            <w:vAlign w:val="center"/>
          </w:tcPr>
          <w:p w14:paraId="4840761C" w14:textId="11336EB1"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221</w:t>
            </w:r>
          </w:p>
        </w:tc>
        <w:tc>
          <w:tcPr>
            <w:tcW w:w="914" w:type="dxa"/>
            <w:tcBorders>
              <w:bottom w:val="single" w:sz="6" w:space="0" w:color="008000"/>
            </w:tcBorders>
            <w:shd w:val="clear" w:color="auto" w:fill="auto"/>
            <w:tcMar>
              <w:top w:w="0" w:type="dxa"/>
              <w:left w:w="0" w:type="dxa"/>
              <w:bottom w:w="0" w:type="dxa"/>
              <w:right w:w="0" w:type="dxa"/>
            </w:tcMar>
            <w:vAlign w:val="center"/>
          </w:tcPr>
          <w:p w14:paraId="6BFFDF25" w14:textId="4171BE4B"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299</w:t>
            </w:r>
          </w:p>
        </w:tc>
        <w:tc>
          <w:tcPr>
            <w:tcW w:w="707" w:type="dxa"/>
            <w:tcBorders>
              <w:bottom w:val="single" w:sz="6" w:space="0" w:color="008000"/>
            </w:tcBorders>
            <w:shd w:val="clear" w:color="auto" w:fill="auto"/>
            <w:tcMar>
              <w:top w:w="0" w:type="dxa"/>
              <w:left w:w="0" w:type="dxa"/>
              <w:bottom w:w="0" w:type="dxa"/>
              <w:right w:w="0" w:type="dxa"/>
            </w:tcMar>
            <w:vAlign w:val="center"/>
          </w:tcPr>
          <w:p w14:paraId="52207983" w14:textId="5A4222D6"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051</w:t>
            </w:r>
          </w:p>
        </w:tc>
        <w:tc>
          <w:tcPr>
            <w:tcW w:w="1097" w:type="dxa"/>
            <w:tcBorders>
              <w:bottom w:val="single" w:sz="6" w:space="0" w:color="008000"/>
            </w:tcBorders>
            <w:shd w:val="clear" w:color="auto" w:fill="auto"/>
            <w:tcMar>
              <w:top w:w="0" w:type="dxa"/>
              <w:left w:w="0" w:type="dxa"/>
              <w:bottom w:w="0" w:type="dxa"/>
              <w:right w:w="0" w:type="dxa"/>
            </w:tcMar>
            <w:vAlign w:val="center"/>
          </w:tcPr>
          <w:p w14:paraId="42E28629" w14:textId="6904D5DB"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287</w:t>
            </w:r>
          </w:p>
        </w:tc>
      </w:tr>
      <w:tr w:rsidR="001D374A" w:rsidRPr="00C108F4" w14:paraId="0E6E2510" w14:textId="77777777" w:rsidTr="00651C99">
        <w:trPr>
          <w:trHeight w:val="53"/>
        </w:trPr>
        <w:tc>
          <w:tcPr>
            <w:tcW w:w="655" w:type="dxa"/>
            <w:vMerge w:val="restart"/>
            <w:tcBorders>
              <w:top w:val="single" w:sz="6" w:space="0" w:color="008000"/>
              <w:bottom w:val="nil"/>
            </w:tcBorders>
            <w:shd w:val="clear" w:color="auto" w:fill="auto"/>
            <w:tcMar>
              <w:top w:w="0" w:type="dxa"/>
              <w:left w:w="0" w:type="dxa"/>
              <w:bottom w:w="0" w:type="dxa"/>
              <w:right w:w="0" w:type="dxa"/>
            </w:tcMar>
            <w:vAlign w:val="center"/>
          </w:tcPr>
          <w:p w14:paraId="7A75FD88" w14:textId="77777777" w:rsidR="003E6D91" w:rsidRPr="00651C99" w:rsidRDefault="003E6D91" w:rsidP="003E6D91">
            <w:pPr>
              <w:spacing w:line="240" w:lineRule="auto"/>
              <w:jc w:val="center"/>
              <w:rPr>
                <w:rFonts w:cs="Arial"/>
                <w:sz w:val="16"/>
                <w:szCs w:val="16"/>
              </w:rPr>
            </w:pPr>
            <w:r w:rsidRPr="00651C99">
              <w:rPr>
                <w:rFonts w:cs="Arial"/>
                <w:sz w:val="16"/>
                <w:szCs w:val="16"/>
              </w:rPr>
              <w:t>O3</w:t>
            </w:r>
          </w:p>
        </w:tc>
        <w:tc>
          <w:tcPr>
            <w:tcW w:w="1191" w:type="dxa"/>
            <w:tcBorders>
              <w:top w:val="single" w:sz="6" w:space="0" w:color="008000"/>
              <w:bottom w:val="nil"/>
            </w:tcBorders>
            <w:shd w:val="clear" w:color="auto" w:fill="auto"/>
            <w:tcMar>
              <w:top w:w="0" w:type="dxa"/>
              <w:left w:w="0" w:type="dxa"/>
              <w:bottom w:w="0" w:type="dxa"/>
              <w:right w:w="0" w:type="dxa"/>
            </w:tcMar>
            <w:vAlign w:val="center"/>
          </w:tcPr>
          <w:p w14:paraId="1B8C388E" w14:textId="77777777" w:rsidR="003E6D91" w:rsidRPr="00651C99" w:rsidRDefault="003E6D91" w:rsidP="003E6D91">
            <w:pPr>
              <w:spacing w:line="240" w:lineRule="auto"/>
              <w:jc w:val="center"/>
              <w:rPr>
                <w:rFonts w:cs="Arial"/>
                <w:sz w:val="16"/>
                <w:szCs w:val="16"/>
              </w:rPr>
            </w:pPr>
            <w:r w:rsidRPr="00651C99">
              <w:rPr>
                <w:rFonts w:cs="Arial"/>
                <w:sz w:val="16"/>
                <w:szCs w:val="16"/>
              </w:rPr>
              <w:t>Lima</w:t>
            </w:r>
          </w:p>
        </w:tc>
        <w:tc>
          <w:tcPr>
            <w:tcW w:w="1057" w:type="dxa"/>
            <w:tcBorders>
              <w:top w:val="single" w:sz="6" w:space="0" w:color="008000"/>
              <w:bottom w:val="nil"/>
            </w:tcBorders>
            <w:shd w:val="clear" w:color="auto" w:fill="auto"/>
            <w:tcMar>
              <w:top w:w="0" w:type="dxa"/>
              <w:left w:w="0" w:type="dxa"/>
              <w:bottom w:w="0" w:type="dxa"/>
              <w:right w:w="0" w:type="dxa"/>
            </w:tcMar>
            <w:vAlign w:val="center"/>
          </w:tcPr>
          <w:p w14:paraId="6D6253A9" w14:textId="4FE2FC0A"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534</w:t>
            </w:r>
          </w:p>
        </w:tc>
        <w:tc>
          <w:tcPr>
            <w:tcW w:w="908" w:type="dxa"/>
            <w:tcBorders>
              <w:top w:val="single" w:sz="6" w:space="0" w:color="008000"/>
              <w:bottom w:val="nil"/>
            </w:tcBorders>
            <w:shd w:val="clear" w:color="auto" w:fill="auto"/>
            <w:tcMar>
              <w:top w:w="0" w:type="dxa"/>
              <w:left w:w="0" w:type="dxa"/>
              <w:bottom w:w="0" w:type="dxa"/>
              <w:right w:w="0" w:type="dxa"/>
            </w:tcMar>
            <w:vAlign w:val="center"/>
          </w:tcPr>
          <w:p w14:paraId="70305D72" w14:textId="3E46EA3E"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000</w:t>
            </w:r>
          </w:p>
        </w:tc>
        <w:tc>
          <w:tcPr>
            <w:tcW w:w="1136" w:type="dxa"/>
            <w:tcBorders>
              <w:top w:val="single" w:sz="6" w:space="0" w:color="008000"/>
              <w:bottom w:val="nil"/>
            </w:tcBorders>
            <w:shd w:val="clear" w:color="auto" w:fill="auto"/>
            <w:tcMar>
              <w:top w:w="0" w:type="dxa"/>
              <w:left w:w="0" w:type="dxa"/>
              <w:bottom w:w="0" w:type="dxa"/>
              <w:right w:w="0" w:type="dxa"/>
            </w:tcMar>
            <w:vAlign w:val="center"/>
          </w:tcPr>
          <w:p w14:paraId="0A7DE3B7" w14:textId="6B6BB1BF" w:rsidR="003E6D91" w:rsidRPr="00651C99" w:rsidRDefault="007B73E3" w:rsidP="003E6D91">
            <w:pPr>
              <w:spacing w:line="240" w:lineRule="auto"/>
              <w:jc w:val="center"/>
              <w:rPr>
                <w:rFonts w:cs="Arial"/>
                <w:sz w:val="16"/>
                <w:szCs w:val="16"/>
              </w:rPr>
            </w:pPr>
            <w:r w:rsidRPr="00651C99">
              <w:rPr>
                <w:rFonts w:cs="Arial"/>
                <w:sz w:val="16"/>
                <w:szCs w:val="16"/>
              </w:rPr>
              <w:t>-</w:t>
            </w:r>
          </w:p>
        </w:tc>
        <w:tc>
          <w:tcPr>
            <w:tcW w:w="914" w:type="dxa"/>
            <w:tcBorders>
              <w:top w:val="single" w:sz="6" w:space="0" w:color="008000"/>
              <w:bottom w:val="nil"/>
            </w:tcBorders>
            <w:shd w:val="clear" w:color="auto" w:fill="auto"/>
            <w:tcMar>
              <w:top w:w="0" w:type="dxa"/>
              <w:left w:w="0" w:type="dxa"/>
              <w:bottom w:w="0" w:type="dxa"/>
              <w:right w:w="0" w:type="dxa"/>
            </w:tcMar>
            <w:vAlign w:val="center"/>
          </w:tcPr>
          <w:p w14:paraId="1A959C5B" w14:textId="1D8EE58C" w:rsidR="003E6D91" w:rsidRPr="00651C99" w:rsidRDefault="007B73E3" w:rsidP="003E6D91">
            <w:pPr>
              <w:spacing w:line="240" w:lineRule="auto"/>
              <w:jc w:val="center"/>
              <w:rPr>
                <w:rFonts w:cs="Arial"/>
                <w:sz w:val="16"/>
                <w:szCs w:val="16"/>
              </w:rPr>
            </w:pPr>
            <w:r w:rsidRPr="00651C99">
              <w:rPr>
                <w:rFonts w:cs="Arial"/>
                <w:sz w:val="16"/>
                <w:szCs w:val="16"/>
              </w:rPr>
              <w:t>-</w:t>
            </w:r>
          </w:p>
        </w:tc>
        <w:tc>
          <w:tcPr>
            <w:tcW w:w="707" w:type="dxa"/>
            <w:tcBorders>
              <w:top w:val="single" w:sz="6" w:space="0" w:color="008000"/>
              <w:bottom w:val="nil"/>
            </w:tcBorders>
            <w:shd w:val="clear" w:color="auto" w:fill="auto"/>
            <w:tcMar>
              <w:top w:w="0" w:type="dxa"/>
              <w:left w:w="0" w:type="dxa"/>
              <w:bottom w:w="0" w:type="dxa"/>
              <w:right w:w="0" w:type="dxa"/>
            </w:tcMar>
            <w:vAlign w:val="center"/>
          </w:tcPr>
          <w:p w14:paraId="789BFD5C" w14:textId="26D4DC6F"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325</w:t>
            </w:r>
          </w:p>
        </w:tc>
        <w:tc>
          <w:tcPr>
            <w:tcW w:w="1097" w:type="dxa"/>
            <w:tcBorders>
              <w:top w:val="single" w:sz="6" w:space="0" w:color="008000"/>
              <w:bottom w:val="nil"/>
            </w:tcBorders>
            <w:shd w:val="clear" w:color="auto" w:fill="auto"/>
            <w:tcMar>
              <w:top w:w="0" w:type="dxa"/>
              <w:left w:w="0" w:type="dxa"/>
              <w:bottom w:w="0" w:type="dxa"/>
              <w:right w:w="0" w:type="dxa"/>
            </w:tcMar>
            <w:vAlign w:val="center"/>
          </w:tcPr>
          <w:p w14:paraId="1353BC5E" w14:textId="32FE9107"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002</w:t>
            </w:r>
          </w:p>
        </w:tc>
      </w:tr>
      <w:tr w:rsidR="001D374A" w:rsidRPr="00C108F4" w14:paraId="4840F38C" w14:textId="77777777" w:rsidTr="00651C99">
        <w:trPr>
          <w:trHeight w:val="68"/>
        </w:trPr>
        <w:tc>
          <w:tcPr>
            <w:tcW w:w="655" w:type="dxa"/>
            <w:vMerge/>
            <w:tcBorders>
              <w:top w:val="nil"/>
              <w:bottom w:val="nil"/>
            </w:tcBorders>
            <w:shd w:val="clear" w:color="auto" w:fill="auto"/>
            <w:tcMar>
              <w:top w:w="0" w:type="dxa"/>
              <w:left w:w="0" w:type="dxa"/>
              <w:bottom w:w="0" w:type="dxa"/>
              <w:right w:w="0" w:type="dxa"/>
            </w:tcMar>
            <w:vAlign w:val="center"/>
          </w:tcPr>
          <w:p w14:paraId="32909228" w14:textId="77777777" w:rsidR="003E6D91" w:rsidRPr="00651C99" w:rsidRDefault="003E6D91" w:rsidP="003E6D91">
            <w:pPr>
              <w:spacing w:before="240" w:after="240"/>
              <w:jc w:val="center"/>
              <w:rPr>
                <w:rFonts w:cs="Arial"/>
                <w:sz w:val="16"/>
                <w:szCs w:val="16"/>
              </w:rPr>
            </w:pPr>
          </w:p>
        </w:tc>
        <w:tc>
          <w:tcPr>
            <w:tcW w:w="1191" w:type="dxa"/>
            <w:tcBorders>
              <w:top w:val="nil"/>
              <w:bottom w:val="nil"/>
            </w:tcBorders>
            <w:shd w:val="clear" w:color="auto" w:fill="auto"/>
            <w:tcMar>
              <w:top w:w="0" w:type="dxa"/>
              <w:left w:w="0" w:type="dxa"/>
              <w:bottom w:w="0" w:type="dxa"/>
              <w:right w:w="0" w:type="dxa"/>
            </w:tcMar>
            <w:vAlign w:val="center"/>
          </w:tcPr>
          <w:p w14:paraId="6F43DCF9" w14:textId="77777777" w:rsidR="003E6D91" w:rsidRPr="00651C99" w:rsidRDefault="003E6D91" w:rsidP="003E6D91">
            <w:pPr>
              <w:spacing w:line="240" w:lineRule="auto"/>
              <w:jc w:val="center"/>
              <w:rPr>
                <w:rFonts w:cs="Arial"/>
                <w:sz w:val="16"/>
                <w:szCs w:val="16"/>
              </w:rPr>
            </w:pPr>
            <w:r w:rsidRPr="00651C99">
              <w:rPr>
                <w:rFonts w:cs="Arial"/>
                <w:sz w:val="16"/>
                <w:szCs w:val="16"/>
              </w:rPr>
              <w:t>Quito</w:t>
            </w:r>
          </w:p>
        </w:tc>
        <w:tc>
          <w:tcPr>
            <w:tcW w:w="1057" w:type="dxa"/>
            <w:tcBorders>
              <w:top w:val="nil"/>
              <w:bottom w:val="nil"/>
            </w:tcBorders>
            <w:shd w:val="clear" w:color="auto" w:fill="auto"/>
            <w:tcMar>
              <w:top w:w="0" w:type="dxa"/>
              <w:left w:w="0" w:type="dxa"/>
              <w:bottom w:w="0" w:type="dxa"/>
              <w:right w:w="0" w:type="dxa"/>
            </w:tcMar>
            <w:vAlign w:val="center"/>
          </w:tcPr>
          <w:p w14:paraId="1981317F"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08" w:type="dxa"/>
            <w:tcBorders>
              <w:top w:val="nil"/>
              <w:bottom w:val="nil"/>
            </w:tcBorders>
            <w:shd w:val="clear" w:color="auto" w:fill="auto"/>
            <w:tcMar>
              <w:top w:w="0" w:type="dxa"/>
              <w:left w:w="0" w:type="dxa"/>
              <w:bottom w:w="0" w:type="dxa"/>
              <w:right w:w="0" w:type="dxa"/>
            </w:tcMar>
            <w:vAlign w:val="center"/>
          </w:tcPr>
          <w:p w14:paraId="0C54A47D"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1136" w:type="dxa"/>
            <w:tcBorders>
              <w:top w:val="nil"/>
              <w:bottom w:val="nil"/>
            </w:tcBorders>
            <w:shd w:val="clear" w:color="auto" w:fill="auto"/>
            <w:tcMar>
              <w:top w:w="0" w:type="dxa"/>
              <w:left w:w="0" w:type="dxa"/>
              <w:bottom w:w="0" w:type="dxa"/>
              <w:right w:w="0" w:type="dxa"/>
            </w:tcMar>
            <w:vAlign w:val="center"/>
          </w:tcPr>
          <w:p w14:paraId="2637109A" w14:textId="2607A087"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410</w:t>
            </w:r>
          </w:p>
        </w:tc>
        <w:tc>
          <w:tcPr>
            <w:tcW w:w="914" w:type="dxa"/>
            <w:tcBorders>
              <w:top w:val="nil"/>
              <w:bottom w:val="nil"/>
            </w:tcBorders>
            <w:shd w:val="clear" w:color="auto" w:fill="auto"/>
            <w:tcMar>
              <w:top w:w="0" w:type="dxa"/>
              <w:left w:w="0" w:type="dxa"/>
              <w:bottom w:w="0" w:type="dxa"/>
              <w:right w:w="0" w:type="dxa"/>
            </w:tcMar>
            <w:vAlign w:val="center"/>
          </w:tcPr>
          <w:p w14:paraId="29849879" w14:textId="2966E4FE"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003</w:t>
            </w:r>
          </w:p>
        </w:tc>
        <w:tc>
          <w:tcPr>
            <w:tcW w:w="707" w:type="dxa"/>
            <w:tcBorders>
              <w:top w:val="nil"/>
              <w:bottom w:val="nil"/>
            </w:tcBorders>
            <w:shd w:val="clear" w:color="auto" w:fill="auto"/>
            <w:tcMar>
              <w:top w:w="0" w:type="dxa"/>
              <w:left w:w="0" w:type="dxa"/>
              <w:bottom w:w="0" w:type="dxa"/>
              <w:right w:w="0" w:type="dxa"/>
            </w:tcMar>
            <w:vAlign w:val="center"/>
          </w:tcPr>
          <w:p w14:paraId="5EDA1A18" w14:textId="56906A35"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372</w:t>
            </w:r>
          </w:p>
        </w:tc>
        <w:tc>
          <w:tcPr>
            <w:tcW w:w="1097" w:type="dxa"/>
            <w:tcBorders>
              <w:top w:val="nil"/>
              <w:bottom w:val="nil"/>
            </w:tcBorders>
            <w:shd w:val="clear" w:color="auto" w:fill="auto"/>
            <w:tcMar>
              <w:top w:w="0" w:type="dxa"/>
              <w:left w:w="0" w:type="dxa"/>
              <w:bottom w:w="0" w:type="dxa"/>
              <w:right w:w="0" w:type="dxa"/>
            </w:tcMar>
            <w:vAlign w:val="center"/>
          </w:tcPr>
          <w:p w14:paraId="7027F723" w14:textId="6652F45D"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001</w:t>
            </w:r>
          </w:p>
        </w:tc>
      </w:tr>
      <w:tr w:rsidR="001D374A" w:rsidRPr="00C108F4" w14:paraId="11E38ED3" w14:textId="77777777" w:rsidTr="00651C99">
        <w:trPr>
          <w:trHeight w:val="68"/>
        </w:trPr>
        <w:tc>
          <w:tcPr>
            <w:tcW w:w="655" w:type="dxa"/>
            <w:vMerge/>
            <w:tcBorders>
              <w:top w:val="nil"/>
              <w:bottom w:val="nil"/>
            </w:tcBorders>
            <w:shd w:val="clear" w:color="auto" w:fill="auto"/>
            <w:tcMar>
              <w:top w:w="0" w:type="dxa"/>
              <w:left w:w="0" w:type="dxa"/>
              <w:bottom w:w="0" w:type="dxa"/>
              <w:right w:w="0" w:type="dxa"/>
            </w:tcMar>
            <w:vAlign w:val="center"/>
          </w:tcPr>
          <w:p w14:paraId="7ECC292F" w14:textId="77777777" w:rsidR="003E6D91" w:rsidRPr="00651C99" w:rsidRDefault="003E6D91" w:rsidP="003E6D91">
            <w:pPr>
              <w:spacing w:before="240" w:after="240"/>
              <w:jc w:val="center"/>
              <w:rPr>
                <w:rFonts w:cs="Arial"/>
                <w:sz w:val="16"/>
                <w:szCs w:val="16"/>
              </w:rPr>
            </w:pPr>
          </w:p>
        </w:tc>
        <w:tc>
          <w:tcPr>
            <w:tcW w:w="1191" w:type="dxa"/>
            <w:tcBorders>
              <w:top w:val="nil"/>
              <w:bottom w:val="nil"/>
            </w:tcBorders>
            <w:shd w:val="clear" w:color="auto" w:fill="auto"/>
            <w:tcMar>
              <w:top w:w="0" w:type="dxa"/>
              <w:left w:w="0" w:type="dxa"/>
              <w:bottom w:w="0" w:type="dxa"/>
              <w:right w:w="0" w:type="dxa"/>
            </w:tcMar>
            <w:vAlign w:val="center"/>
          </w:tcPr>
          <w:p w14:paraId="7954DC6B" w14:textId="77777777" w:rsidR="003E6D91" w:rsidRPr="00651C99" w:rsidRDefault="003E6D91" w:rsidP="003E6D91">
            <w:pPr>
              <w:spacing w:line="240" w:lineRule="auto"/>
              <w:jc w:val="center"/>
              <w:rPr>
                <w:rFonts w:cs="Arial"/>
                <w:sz w:val="16"/>
                <w:szCs w:val="16"/>
              </w:rPr>
            </w:pPr>
            <w:r w:rsidRPr="00651C99">
              <w:rPr>
                <w:rFonts w:cs="Arial"/>
                <w:sz w:val="16"/>
                <w:szCs w:val="16"/>
              </w:rPr>
              <w:t>Bogotá</w:t>
            </w:r>
          </w:p>
        </w:tc>
        <w:tc>
          <w:tcPr>
            <w:tcW w:w="1057" w:type="dxa"/>
            <w:tcBorders>
              <w:top w:val="nil"/>
              <w:bottom w:val="nil"/>
            </w:tcBorders>
            <w:shd w:val="clear" w:color="auto" w:fill="auto"/>
            <w:tcMar>
              <w:top w:w="0" w:type="dxa"/>
              <w:left w:w="0" w:type="dxa"/>
              <w:bottom w:w="0" w:type="dxa"/>
              <w:right w:w="0" w:type="dxa"/>
            </w:tcMar>
            <w:vAlign w:val="center"/>
          </w:tcPr>
          <w:p w14:paraId="4798E7E3" w14:textId="4FD843CB"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542</w:t>
            </w:r>
          </w:p>
        </w:tc>
        <w:tc>
          <w:tcPr>
            <w:tcW w:w="908" w:type="dxa"/>
            <w:tcBorders>
              <w:top w:val="nil"/>
              <w:bottom w:val="nil"/>
            </w:tcBorders>
            <w:shd w:val="clear" w:color="auto" w:fill="auto"/>
            <w:tcMar>
              <w:top w:w="0" w:type="dxa"/>
              <w:left w:w="0" w:type="dxa"/>
              <w:bottom w:w="0" w:type="dxa"/>
              <w:right w:w="0" w:type="dxa"/>
            </w:tcMar>
            <w:vAlign w:val="center"/>
          </w:tcPr>
          <w:p w14:paraId="5004C269" w14:textId="539A69CE"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0.000</w:t>
            </w:r>
          </w:p>
        </w:tc>
        <w:tc>
          <w:tcPr>
            <w:tcW w:w="1136" w:type="dxa"/>
            <w:tcBorders>
              <w:top w:val="nil"/>
              <w:bottom w:val="nil"/>
            </w:tcBorders>
            <w:shd w:val="clear" w:color="auto" w:fill="auto"/>
            <w:tcMar>
              <w:top w:w="0" w:type="dxa"/>
              <w:left w:w="0" w:type="dxa"/>
              <w:bottom w:w="0" w:type="dxa"/>
              <w:right w:w="0" w:type="dxa"/>
            </w:tcMar>
            <w:vAlign w:val="center"/>
          </w:tcPr>
          <w:p w14:paraId="61A312E7"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14" w:type="dxa"/>
            <w:tcBorders>
              <w:top w:val="nil"/>
              <w:bottom w:val="nil"/>
            </w:tcBorders>
            <w:shd w:val="clear" w:color="auto" w:fill="auto"/>
            <w:tcMar>
              <w:top w:w="0" w:type="dxa"/>
              <w:left w:w="0" w:type="dxa"/>
              <w:bottom w:w="0" w:type="dxa"/>
              <w:right w:w="0" w:type="dxa"/>
            </w:tcMar>
            <w:vAlign w:val="center"/>
          </w:tcPr>
          <w:p w14:paraId="4819232D"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707" w:type="dxa"/>
            <w:tcBorders>
              <w:top w:val="nil"/>
              <w:bottom w:val="nil"/>
            </w:tcBorders>
            <w:shd w:val="clear" w:color="auto" w:fill="auto"/>
            <w:tcMar>
              <w:top w:w="0" w:type="dxa"/>
              <w:left w:w="0" w:type="dxa"/>
              <w:bottom w:w="0" w:type="dxa"/>
              <w:right w:w="0" w:type="dxa"/>
            </w:tcMar>
            <w:vAlign w:val="center"/>
          </w:tcPr>
          <w:p w14:paraId="07674779" w14:textId="2CC174FF"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225</w:t>
            </w:r>
          </w:p>
        </w:tc>
        <w:tc>
          <w:tcPr>
            <w:tcW w:w="1097" w:type="dxa"/>
            <w:tcBorders>
              <w:top w:val="nil"/>
              <w:bottom w:val="nil"/>
            </w:tcBorders>
            <w:shd w:val="clear" w:color="auto" w:fill="auto"/>
            <w:tcMar>
              <w:top w:w="0" w:type="dxa"/>
              <w:left w:w="0" w:type="dxa"/>
              <w:bottom w:w="0" w:type="dxa"/>
              <w:right w:w="0" w:type="dxa"/>
            </w:tcMar>
            <w:vAlign w:val="center"/>
          </w:tcPr>
          <w:p w14:paraId="202DA36F" w14:textId="4FDD0D2E"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014</w:t>
            </w:r>
          </w:p>
        </w:tc>
      </w:tr>
      <w:tr w:rsidR="001D374A" w:rsidRPr="00C108F4" w14:paraId="035FE022" w14:textId="77777777" w:rsidTr="00651C99">
        <w:trPr>
          <w:trHeight w:val="68"/>
        </w:trPr>
        <w:tc>
          <w:tcPr>
            <w:tcW w:w="655" w:type="dxa"/>
            <w:vMerge/>
            <w:tcBorders>
              <w:top w:val="nil"/>
              <w:bottom w:val="nil"/>
            </w:tcBorders>
            <w:shd w:val="clear" w:color="auto" w:fill="auto"/>
            <w:tcMar>
              <w:top w:w="0" w:type="dxa"/>
              <w:left w:w="0" w:type="dxa"/>
              <w:bottom w:w="0" w:type="dxa"/>
              <w:right w:w="0" w:type="dxa"/>
            </w:tcMar>
            <w:vAlign w:val="center"/>
          </w:tcPr>
          <w:p w14:paraId="61EB02A7" w14:textId="77777777" w:rsidR="003E6D91" w:rsidRPr="00651C99" w:rsidRDefault="003E6D91" w:rsidP="003E6D91">
            <w:pPr>
              <w:spacing w:before="240" w:after="240"/>
              <w:jc w:val="center"/>
              <w:rPr>
                <w:rFonts w:cs="Arial"/>
                <w:sz w:val="16"/>
                <w:szCs w:val="16"/>
              </w:rPr>
            </w:pPr>
          </w:p>
        </w:tc>
        <w:tc>
          <w:tcPr>
            <w:tcW w:w="1191" w:type="dxa"/>
            <w:tcBorders>
              <w:top w:val="nil"/>
              <w:bottom w:val="nil"/>
            </w:tcBorders>
            <w:shd w:val="clear" w:color="auto" w:fill="auto"/>
            <w:tcMar>
              <w:top w:w="0" w:type="dxa"/>
              <w:left w:w="0" w:type="dxa"/>
              <w:bottom w:w="0" w:type="dxa"/>
              <w:right w:w="0" w:type="dxa"/>
            </w:tcMar>
            <w:vAlign w:val="center"/>
          </w:tcPr>
          <w:p w14:paraId="0FD19DE2" w14:textId="77777777" w:rsidR="003E6D91" w:rsidRPr="00651C99" w:rsidRDefault="003E6D91" w:rsidP="003E6D91">
            <w:pPr>
              <w:spacing w:line="240" w:lineRule="auto"/>
              <w:jc w:val="center"/>
              <w:rPr>
                <w:rFonts w:cs="Arial"/>
                <w:sz w:val="16"/>
                <w:szCs w:val="16"/>
              </w:rPr>
            </w:pPr>
            <w:r w:rsidRPr="00651C99">
              <w:rPr>
                <w:rFonts w:cs="Arial"/>
                <w:sz w:val="16"/>
                <w:szCs w:val="16"/>
              </w:rPr>
              <w:t>Santiago</w:t>
            </w:r>
          </w:p>
        </w:tc>
        <w:tc>
          <w:tcPr>
            <w:tcW w:w="1057" w:type="dxa"/>
            <w:tcBorders>
              <w:top w:val="nil"/>
              <w:bottom w:val="nil"/>
            </w:tcBorders>
            <w:shd w:val="clear" w:color="auto" w:fill="auto"/>
            <w:tcMar>
              <w:top w:w="0" w:type="dxa"/>
              <w:left w:w="0" w:type="dxa"/>
              <w:bottom w:w="0" w:type="dxa"/>
              <w:right w:w="0" w:type="dxa"/>
            </w:tcMar>
            <w:vAlign w:val="center"/>
          </w:tcPr>
          <w:p w14:paraId="77A29913" w14:textId="3165D3A3"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663</w:t>
            </w:r>
          </w:p>
        </w:tc>
        <w:tc>
          <w:tcPr>
            <w:tcW w:w="908" w:type="dxa"/>
            <w:tcBorders>
              <w:top w:val="nil"/>
              <w:bottom w:val="nil"/>
            </w:tcBorders>
            <w:shd w:val="clear" w:color="auto" w:fill="auto"/>
            <w:tcMar>
              <w:top w:w="0" w:type="dxa"/>
              <w:left w:w="0" w:type="dxa"/>
              <w:bottom w:w="0" w:type="dxa"/>
              <w:right w:w="0" w:type="dxa"/>
            </w:tcMar>
            <w:vAlign w:val="center"/>
          </w:tcPr>
          <w:p w14:paraId="33D77406" w14:textId="725C248B"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0.000</w:t>
            </w:r>
          </w:p>
        </w:tc>
        <w:tc>
          <w:tcPr>
            <w:tcW w:w="1136" w:type="dxa"/>
            <w:tcBorders>
              <w:top w:val="nil"/>
              <w:bottom w:val="nil"/>
            </w:tcBorders>
            <w:shd w:val="clear" w:color="auto" w:fill="auto"/>
            <w:tcMar>
              <w:top w:w="0" w:type="dxa"/>
              <w:left w:w="0" w:type="dxa"/>
              <w:bottom w:w="0" w:type="dxa"/>
              <w:right w:w="0" w:type="dxa"/>
            </w:tcMar>
            <w:vAlign w:val="center"/>
          </w:tcPr>
          <w:p w14:paraId="6B8AE969"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14" w:type="dxa"/>
            <w:tcBorders>
              <w:top w:val="nil"/>
              <w:bottom w:val="nil"/>
            </w:tcBorders>
            <w:shd w:val="clear" w:color="auto" w:fill="auto"/>
            <w:tcMar>
              <w:top w:w="0" w:type="dxa"/>
              <w:left w:w="0" w:type="dxa"/>
              <w:bottom w:w="0" w:type="dxa"/>
              <w:right w:w="0" w:type="dxa"/>
            </w:tcMar>
            <w:vAlign w:val="center"/>
          </w:tcPr>
          <w:p w14:paraId="4B295C2D"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707" w:type="dxa"/>
            <w:tcBorders>
              <w:top w:val="nil"/>
              <w:bottom w:val="nil"/>
            </w:tcBorders>
            <w:shd w:val="clear" w:color="auto" w:fill="auto"/>
            <w:tcMar>
              <w:top w:w="0" w:type="dxa"/>
              <w:left w:w="0" w:type="dxa"/>
              <w:bottom w:w="0" w:type="dxa"/>
              <w:right w:w="0" w:type="dxa"/>
            </w:tcMar>
            <w:vAlign w:val="center"/>
          </w:tcPr>
          <w:p w14:paraId="0CC20E15" w14:textId="1ECD9D4E"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532</w:t>
            </w:r>
          </w:p>
        </w:tc>
        <w:tc>
          <w:tcPr>
            <w:tcW w:w="1097" w:type="dxa"/>
            <w:tcBorders>
              <w:top w:val="nil"/>
              <w:bottom w:val="nil"/>
            </w:tcBorders>
            <w:shd w:val="clear" w:color="auto" w:fill="auto"/>
            <w:tcMar>
              <w:top w:w="0" w:type="dxa"/>
              <w:left w:w="0" w:type="dxa"/>
              <w:bottom w:w="0" w:type="dxa"/>
              <w:right w:w="0" w:type="dxa"/>
            </w:tcMar>
            <w:vAlign w:val="center"/>
          </w:tcPr>
          <w:p w14:paraId="0BA2E60B" w14:textId="409F3D03"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0.000</w:t>
            </w:r>
          </w:p>
        </w:tc>
      </w:tr>
      <w:tr w:rsidR="001D374A" w:rsidRPr="00C108F4" w14:paraId="0936ABEA" w14:textId="77777777" w:rsidTr="00651C99">
        <w:trPr>
          <w:trHeight w:val="68"/>
        </w:trPr>
        <w:tc>
          <w:tcPr>
            <w:tcW w:w="655" w:type="dxa"/>
            <w:vMerge/>
            <w:tcBorders>
              <w:top w:val="nil"/>
              <w:bottom w:val="single" w:sz="12" w:space="0" w:color="008000"/>
            </w:tcBorders>
            <w:shd w:val="clear" w:color="auto" w:fill="auto"/>
            <w:tcMar>
              <w:top w:w="0" w:type="dxa"/>
              <w:left w:w="0" w:type="dxa"/>
              <w:bottom w:w="0" w:type="dxa"/>
              <w:right w:w="0" w:type="dxa"/>
            </w:tcMar>
            <w:vAlign w:val="center"/>
          </w:tcPr>
          <w:p w14:paraId="10262B4E" w14:textId="77777777" w:rsidR="003E6D91" w:rsidRPr="00651C99" w:rsidRDefault="003E6D91" w:rsidP="003E6D91">
            <w:pPr>
              <w:spacing w:before="240" w:after="240"/>
              <w:jc w:val="center"/>
              <w:rPr>
                <w:rFonts w:cs="Arial"/>
                <w:sz w:val="16"/>
                <w:szCs w:val="16"/>
              </w:rPr>
            </w:pPr>
          </w:p>
        </w:tc>
        <w:tc>
          <w:tcPr>
            <w:tcW w:w="1191" w:type="dxa"/>
            <w:tcBorders>
              <w:top w:val="nil"/>
              <w:bottom w:val="single" w:sz="12" w:space="0" w:color="008000"/>
            </w:tcBorders>
            <w:shd w:val="clear" w:color="auto" w:fill="auto"/>
            <w:tcMar>
              <w:top w:w="0" w:type="dxa"/>
              <w:left w:w="0" w:type="dxa"/>
              <w:bottom w:w="0" w:type="dxa"/>
              <w:right w:w="0" w:type="dxa"/>
            </w:tcMar>
            <w:vAlign w:val="center"/>
          </w:tcPr>
          <w:p w14:paraId="23581698" w14:textId="77777777" w:rsidR="003E6D91" w:rsidRPr="00651C99" w:rsidRDefault="003E6D91" w:rsidP="003E6D91">
            <w:pPr>
              <w:spacing w:line="240" w:lineRule="auto"/>
              <w:jc w:val="center"/>
              <w:rPr>
                <w:rFonts w:cs="Arial"/>
                <w:sz w:val="16"/>
                <w:szCs w:val="16"/>
              </w:rPr>
            </w:pPr>
            <w:r w:rsidRPr="00651C99">
              <w:rPr>
                <w:rFonts w:cs="Arial"/>
                <w:sz w:val="16"/>
                <w:szCs w:val="16"/>
              </w:rPr>
              <w:t>Buenos Aires</w:t>
            </w:r>
          </w:p>
        </w:tc>
        <w:tc>
          <w:tcPr>
            <w:tcW w:w="1057" w:type="dxa"/>
            <w:tcBorders>
              <w:top w:val="nil"/>
              <w:bottom w:val="single" w:sz="12" w:space="0" w:color="008000"/>
            </w:tcBorders>
            <w:shd w:val="clear" w:color="auto" w:fill="auto"/>
            <w:tcMar>
              <w:top w:w="0" w:type="dxa"/>
              <w:left w:w="0" w:type="dxa"/>
              <w:bottom w:w="0" w:type="dxa"/>
              <w:right w:w="0" w:type="dxa"/>
            </w:tcMar>
            <w:vAlign w:val="center"/>
          </w:tcPr>
          <w:p w14:paraId="05679519" w14:textId="426B5853"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620</w:t>
            </w:r>
          </w:p>
        </w:tc>
        <w:tc>
          <w:tcPr>
            <w:tcW w:w="908" w:type="dxa"/>
            <w:tcBorders>
              <w:top w:val="nil"/>
              <w:bottom w:val="single" w:sz="12" w:space="0" w:color="008000"/>
            </w:tcBorders>
            <w:shd w:val="clear" w:color="auto" w:fill="auto"/>
            <w:tcMar>
              <w:top w:w="0" w:type="dxa"/>
              <w:left w:w="0" w:type="dxa"/>
              <w:bottom w:w="0" w:type="dxa"/>
              <w:right w:w="0" w:type="dxa"/>
            </w:tcMar>
            <w:vAlign w:val="center"/>
          </w:tcPr>
          <w:p w14:paraId="71CF8552" w14:textId="260FECA5"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0.000</w:t>
            </w:r>
          </w:p>
        </w:tc>
        <w:tc>
          <w:tcPr>
            <w:tcW w:w="1136" w:type="dxa"/>
            <w:tcBorders>
              <w:top w:val="nil"/>
              <w:bottom w:val="single" w:sz="12" w:space="0" w:color="008000"/>
            </w:tcBorders>
            <w:shd w:val="clear" w:color="auto" w:fill="auto"/>
            <w:tcMar>
              <w:top w:w="0" w:type="dxa"/>
              <w:left w:w="0" w:type="dxa"/>
              <w:bottom w:w="0" w:type="dxa"/>
              <w:right w:w="0" w:type="dxa"/>
            </w:tcMar>
            <w:vAlign w:val="center"/>
          </w:tcPr>
          <w:p w14:paraId="413A7F31"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914" w:type="dxa"/>
            <w:tcBorders>
              <w:top w:val="nil"/>
              <w:bottom w:val="single" w:sz="12" w:space="0" w:color="008000"/>
            </w:tcBorders>
            <w:shd w:val="clear" w:color="auto" w:fill="auto"/>
            <w:tcMar>
              <w:top w:w="0" w:type="dxa"/>
              <w:left w:w="0" w:type="dxa"/>
              <w:bottom w:w="0" w:type="dxa"/>
              <w:right w:w="0" w:type="dxa"/>
            </w:tcMar>
            <w:vAlign w:val="center"/>
          </w:tcPr>
          <w:p w14:paraId="7C2E63EC" w14:textId="77777777" w:rsidR="003E6D91" w:rsidRPr="00651C99" w:rsidRDefault="003E6D91" w:rsidP="003E6D91">
            <w:pPr>
              <w:spacing w:line="240" w:lineRule="auto"/>
              <w:jc w:val="center"/>
              <w:rPr>
                <w:rFonts w:cs="Arial"/>
                <w:sz w:val="16"/>
                <w:szCs w:val="16"/>
              </w:rPr>
            </w:pPr>
            <w:r w:rsidRPr="00651C99">
              <w:rPr>
                <w:rFonts w:cs="Arial"/>
                <w:sz w:val="16"/>
                <w:szCs w:val="16"/>
              </w:rPr>
              <w:t>-</w:t>
            </w:r>
          </w:p>
        </w:tc>
        <w:tc>
          <w:tcPr>
            <w:tcW w:w="707" w:type="dxa"/>
            <w:tcBorders>
              <w:top w:val="nil"/>
              <w:bottom w:val="single" w:sz="12" w:space="0" w:color="008000"/>
            </w:tcBorders>
            <w:shd w:val="clear" w:color="auto" w:fill="auto"/>
            <w:tcMar>
              <w:top w:w="0" w:type="dxa"/>
              <w:left w:w="0" w:type="dxa"/>
              <w:bottom w:w="0" w:type="dxa"/>
              <w:right w:w="0" w:type="dxa"/>
            </w:tcMar>
            <w:vAlign w:val="center"/>
          </w:tcPr>
          <w:p w14:paraId="1ABC4EDF" w14:textId="69813B41"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w:t>
            </w:r>
            <w:r w:rsidR="003E6D91" w:rsidRPr="00651C99">
              <w:rPr>
                <w:rFonts w:cs="Arial"/>
                <w:color w:val="010205"/>
                <w:sz w:val="16"/>
                <w:szCs w:val="16"/>
              </w:rPr>
              <w:t>423</w:t>
            </w:r>
          </w:p>
        </w:tc>
        <w:tc>
          <w:tcPr>
            <w:tcW w:w="1097" w:type="dxa"/>
            <w:tcBorders>
              <w:top w:val="nil"/>
              <w:bottom w:val="single" w:sz="12" w:space="0" w:color="008000"/>
            </w:tcBorders>
            <w:shd w:val="clear" w:color="auto" w:fill="auto"/>
            <w:tcMar>
              <w:top w:w="0" w:type="dxa"/>
              <w:left w:w="0" w:type="dxa"/>
              <w:bottom w:w="0" w:type="dxa"/>
              <w:right w:w="0" w:type="dxa"/>
            </w:tcMar>
            <w:vAlign w:val="center"/>
          </w:tcPr>
          <w:p w14:paraId="452A777C" w14:textId="3A2048D4" w:rsidR="003E6D91" w:rsidRPr="00651C99" w:rsidRDefault="007B73E3" w:rsidP="003E6D91">
            <w:pPr>
              <w:spacing w:line="240" w:lineRule="auto"/>
              <w:jc w:val="center"/>
              <w:rPr>
                <w:rFonts w:cs="Arial"/>
                <w:color w:val="010205"/>
                <w:sz w:val="16"/>
                <w:szCs w:val="16"/>
              </w:rPr>
            </w:pPr>
            <w:r w:rsidRPr="00651C99">
              <w:rPr>
                <w:rFonts w:cs="Arial"/>
                <w:color w:val="010205"/>
                <w:sz w:val="16"/>
                <w:szCs w:val="16"/>
              </w:rPr>
              <w:t>0.000</w:t>
            </w:r>
          </w:p>
        </w:tc>
      </w:tr>
    </w:tbl>
    <w:p w14:paraId="790B083E" w14:textId="77777777" w:rsidR="003E6D91" w:rsidRDefault="003E6D91" w:rsidP="0025375A">
      <w:pPr>
        <w:pStyle w:val="CETBodytext"/>
      </w:pPr>
    </w:p>
    <w:p w14:paraId="28F0FCD8" w14:textId="4A82051D" w:rsidR="00240E37" w:rsidRDefault="00240E37" w:rsidP="0025375A">
      <w:pPr>
        <w:pStyle w:val="CETBodytext"/>
      </w:pPr>
      <w:r w:rsidRPr="00240E37">
        <w:t>From Table 2 it was observed that the Pearson correlation showed a strong negative association for NO</w:t>
      </w:r>
      <w:r w:rsidRPr="00DE5F9E">
        <w:rPr>
          <w:vertAlign w:val="subscript"/>
        </w:rPr>
        <w:t>2</w:t>
      </w:r>
      <w:r w:rsidRPr="00240E37">
        <w:t xml:space="preserve"> gas in all cities and a moderate negative association in Santiago. For SO</w:t>
      </w:r>
      <w:r w:rsidRPr="00DE5F9E">
        <w:rPr>
          <w:vertAlign w:val="subscript"/>
        </w:rPr>
        <w:t>2</w:t>
      </w:r>
      <w:r w:rsidRPr="00240E37">
        <w:t xml:space="preserve"> gas, no city met the significance level. For CO gas, there was a strong negative association in Quito and Bogota and a moderate positive association in Santiago. For O</w:t>
      </w:r>
      <w:r w:rsidRPr="00DE5F9E">
        <w:rPr>
          <w:vertAlign w:val="subscript"/>
        </w:rPr>
        <w:t>3</w:t>
      </w:r>
      <w:r w:rsidRPr="00240E37">
        <w:t xml:space="preserve"> gas, the cities of Lima, Bogota, Santiago and Buenos Aires had a strong negative association. On the other hand, Spearman's correlation showed a strong negative association for NO</w:t>
      </w:r>
      <w:r w:rsidRPr="00DE5F9E">
        <w:rPr>
          <w:vertAlign w:val="subscript"/>
        </w:rPr>
        <w:t>2</w:t>
      </w:r>
      <w:r w:rsidRPr="00240E37">
        <w:t xml:space="preserve"> gas in the city of Buenos Aires. For SO</w:t>
      </w:r>
      <w:r w:rsidRPr="00DE5F9E">
        <w:rPr>
          <w:vertAlign w:val="subscript"/>
        </w:rPr>
        <w:t xml:space="preserve">2 </w:t>
      </w:r>
      <w:r w:rsidRPr="00240E37">
        <w:t>gas, the city of Santiago did not meet the significance level. For CO gas, the city of Buenos Aires did not meet the significance level. For O</w:t>
      </w:r>
      <w:r w:rsidRPr="00DE5F9E">
        <w:rPr>
          <w:vertAlign w:val="subscript"/>
        </w:rPr>
        <w:t>3</w:t>
      </w:r>
      <w:r w:rsidRPr="00240E37">
        <w:t xml:space="preserve"> gas, the city of Quito had a moderate negative association and met the significance level.</w:t>
      </w:r>
    </w:p>
    <w:p w14:paraId="7D318B31" w14:textId="47CEF422" w:rsidR="0025375A" w:rsidRPr="00C14646" w:rsidRDefault="00C14646" w:rsidP="007B73E3">
      <w:pPr>
        <w:pStyle w:val="CETheadingx"/>
        <w:spacing w:before="120" w:after="120"/>
      </w:pPr>
      <w:r>
        <w:t xml:space="preserve">3.2 </w:t>
      </w:r>
      <w:r w:rsidR="007B73E3" w:rsidRPr="007B73E3">
        <w:t>Level of increase or decrease in NO</w:t>
      </w:r>
      <w:r w:rsidR="007B73E3" w:rsidRPr="00DE5F9E">
        <w:rPr>
          <w:vertAlign w:val="subscript"/>
        </w:rPr>
        <w:t>2</w:t>
      </w:r>
      <w:r w:rsidR="007B73E3" w:rsidRPr="007B73E3">
        <w:t>, CO and O</w:t>
      </w:r>
      <w:r w:rsidR="007B73E3" w:rsidRPr="00DE5F9E">
        <w:rPr>
          <w:vertAlign w:val="subscript"/>
        </w:rPr>
        <w:t>3</w:t>
      </w:r>
      <w:r w:rsidR="007B73E3" w:rsidRPr="007B73E3">
        <w:t xml:space="preserve"> gases</w:t>
      </w:r>
    </w:p>
    <w:p w14:paraId="6C0F30D6" w14:textId="121BD5DE" w:rsidR="005D2AC5" w:rsidRDefault="003A55C6" w:rsidP="008B156C">
      <w:pPr>
        <w:pStyle w:val="CETBodytext"/>
      </w:pPr>
      <w:r>
        <w:t>Figur</w:t>
      </w:r>
      <w:r w:rsidR="007125AC" w:rsidRPr="007125AC">
        <w:t>e 3 shows the average concentration of the medians of the gases in ea</w:t>
      </w:r>
      <w:r w:rsidR="0043341A">
        <w:t>ch city studied. Concerning</w:t>
      </w:r>
      <w:r w:rsidR="007125AC" w:rsidRPr="007125AC">
        <w:t xml:space="preserve"> the concentration of NO</w:t>
      </w:r>
      <w:r w:rsidR="007125AC" w:rsidRPr="00DE5F9E">
        <w:rPr>
          <w:vertAlign w:val="subscript"/>
        </w:rPr>
        <w:t>2</w:t>
      </w:r>
      <w:r w:rsidR="007125AC" w:rsidRPr="007125AC">
        <w:t xml:space="preserve"> gas, it is observed that the medians are reduced as the sanitary measures are implemented in the cities of Lima, Quito, Bogota, Santiago and Buenos Aires. In addition, it is shown that the city with the highest NO</w:t>
      </w:r>
      <w:r w:rsidR="007125AC" w:rsidRPr="00DE5F9E">
        <w:rPr>
          <w:vertAlign w:val="subscript"/>
        </w:rPr>
        <w:t>2</w:t>
      </w:r>
      <w:r w:rsidR="007125AC" w:rsidRPr="007125AC">
        <w:t xml:space="preserve"> concentration is Santiago and the city with the lowest concentration is Quito. </w:t>
      </w:r>
    </w:p>
    <w:p w14:paraId="074B0B7F" w14:textId="6DCCBF9C" w:rsidR="005D2AC5" w:rsidRDefault="007125AC" w:rsidP="003B16E8">
      <w:pPr>
        <w:pStyle w:val="CETBodytext"/>
      </w:pPr>
      <w:r w:rsidRPr="007125AC">
        <w:t>For the concentration of CO gas, it was observed that the concentration values are decreasing in the cities of Lima, Quito, Bogota, and only in Santiago is there a pattern of increase in the medians.</w:t>
      </w:r>
      <w:r w:rsidR="003B16E8">
        <w:t xml:space="preserve"> In the case of Santiago, the increase in CO is due to the social mobilizations (marches, strikes, demonstrations or others) carried out during the months of October 2019 until March 2020. These protests revolved around the constituent process of drafting a new constitution until March 18, 2020 when the Chilean government decreed a state of constitutional exception of catastrophe for a period of 90 days. </w:t>
      </w:r>
      <w:r w:rsidRPr="007125AC">
        <w:t xml:space="preserve">In addition, it is shown that the city with the highest concentration of CO is the city of Lima and the city with the lowest concentration is Santiago. </w:t>
      </w:r>
    </w:p>
    <w:p w14:paraId="51539CB5" w14:textId="067624D4" w:rsidR="00651C99" w:rsidRDefault="0043341A" w:rsidP="008B156C">
      <w:pPr>
        <w:pStyle w:val="CETBodytext"/>
      </w:pPr>
      <w:r>
        <w:t>Finally, concerning</w:t>
      </w:r>
      <w:r w:rsidR="007125AC" w:rsidRPr="007125AC">
        <w:t xml:space="preserve"> concentration of O</w:t>
      </w:r>
      <w:r w:rsidR="007125AC" w:rsidRPr="00DE5F9E">
        <w:rPr>
          <w:vertAlign w:val="subscript"/>
        </w:rPr>
        <w:t>3</w:t>
      </w:r>
      <w:r w:rsidR="007125AC" w:rsidRPr="007125AC">
        <w:t xml:space="preserve"> gas, the values reflected that the medians have greater variability and decrease in the fourth group, as in the cities of Lima, Quito, Bogota, Santiago and Buenos Aires. In addition, it is shown that the city with the highest O</w:t>
      </w:r>
      <w:r w:rsidR="007125AC" w:rsidRPr="00DE5F9E">
        <w:rPr>
          <w:vertAlign w:val="subscript"/>
        </w:rPr>
        <w:t>3</w:t>
      </w:r>
      <w:r w:rsidR="007125AC" w:rsidRPr="007125AC">
        <w:t xml:space="preserve"> concentration is the city of Buenos Aires and the city with the lowest concentration is Quito.</w:t>
      </w:r>
    </w:p>
    <w:p w14:paraId="635EC822" w14:textId="4DDB4513" w:rsidR="00651C99" w:rsidRDefault="00651C99" w:rsidP="008B156C">
      <w:pPr>
        <w:pStyle w:val="CETBodytext"/>
      </w:pPr>
      <w:r w:rsidRPr="00651C99">
        <w:t>Air quality during the COVID-19 pandemic was also analyzed in 22 Indian cities for the period 2017 to 2020, showing insufficient changes in SO</w:t>
      </w:r>
      <w:r w:rsidRPr="00DE5F9E">
        <w:rPr>
          <w:vertAlign w:val="subscript"/>
        </w:rPr>
        <w:t>2</w:t>
      </w:r>
      <w:r w:rsidRPr="00651C99">
        <w:t xml:space="preserve">, </w:t>
      </w:r>
      <w:r w:rsidR="0043341A">
        <w:t xml:space="preserve">a </w:t>
      </w:r>
      <w:r w:rsidRPr="00651C99">
        <w:t>decrease of 10% in CO and 18% in NO</w:t>
      </w:r>
      <w:r w:rsidRPr="00DE5F9E">
        <w:rPr>
          <w:vertAlign w:val="subscript"/>
        </w:rPr>
        <w:t>2</w:t>
      </w:r>
      <w:r w:rsidRPr="00651C99">
        <w:t xml:space="preserve">, and </w:t>
      </w:r>
      <w:r w:rsidR="0043341A">
        <w:t xml:space="preserve">an </w:t>
      </w:r>
      <w:r w:rsidRPr="00651C99">
        <w:t>exceptionally increase by 17% in O</w:t>
      </w:r>
      <w:r w:rsidRPr="00DE5F9E">
        <w:rPr>
          <w:vertAlign w:val="subscript"/>
        </w:rPr>
        <w:t>3</w:t>
      </w:r>
      <w:r w:rsidRPr="00651C99">
        <w:t xml:space="preserve"> (Sharma et al. 2020). Similarly, analysis of air quality in 120 cities in China, in the period from January 23 to February 29, 2020, showed positive associations in CO, NO</w:t>
      </w:r>
      <w:r w:rsidRPr="00DE5F9E">
        <w:rPr>
          <w:vertAlign w:val="subscript"/>
        </w:rPr>
        <w:t>2</w:t>
      </w:r>
      <w:r w:rsidRPr="00651C99">
        <w:t xml:space="preserve"> and O</w:t>
      </w:r>
      <w:r w:rsidRPr="00DE5F9E">
        <w:rPr>
          <w:vertAlign w:val="subscript"/>
        </w:rPr>
        <w:t>3</w:t>
      </w:r>
      <w:r w:rsidRPr="00651C99">
        <w:t xml:space="preserve">, and a negative association in SO2 (Zhu, Xie, Huang and Cao, 2020). In Rio de Janeiro, air quality during the period from March 2 to April </w:t>
      </w:r>
      <w:r w:rsidRPr="00651C99">
        <w:lastRenderedPageBreak/>
        <w:t>16, 2020 showed significant levels of reduction in CO and NO</w:t>
      </w:r>
      <w:r w:rsidRPr="00DE5F9E">
        <w:rPr>
          <w:vertAlign w:val="subscript"/>
        </w:rPr>
        <w:t>2</w:t>
      </w:r>
      <w:r w:rsidRPr="00651C99">
        <w:t xml:space="preserve"> generated by industrial activity and diesel, in addition to the increase in O</w:t>
      </w:r>
      <w:r w:rsidRPr="00DE5F9E">
        <w:rPr>
          <w:vertAlign w:val="subscript"/>
        </w:rPr>
        <w:t>3</w:t>
      </w:r>
      <w:r w:rsidRPr="00651C99">
        <w:t xml:space="preserve"> due to the decrease in NO</w:t>
      </w:r>
      <w:bookmarkStart w:id="0" w:name="_GoBack"/>
      <w:r w:rsidRPr="00774310">
        <w:rPr>
          <w:vertAlign w:val="subscript"/>
        </w:rPr>
        <w:t>X</w:t>
      </w:r>
      <w:bookmarkEnd w:id="0"/>
      <w:r w:rsidRPr="00651C99">
        <w:t xml:space="preserve"> levels (Dantas et al. 2020). Likewise, the air quality in Milan for the period from January 1 to April 10, 2020</w:t>
      </w:r>
      <w:r w:rsidR="0043341A">
        <w:t>,</w:t>
      </w:r>
      <w:r w:rsidRPr="00651C99">
        <w:t xml:space="preserve"> determined a significant reduction in CO and NO</w:t>
      </w:r>
      <w:r w:rsidRPr="00DE5F9E">
        <w:rPr>
          <w:vertAlign w:val="subscript"/>
        </w:rPr>
        <w:t>X</w:t>
      </w:r>
      <w:r w:rsidRPr="00651C99">
        <w:t xml:space="preserve">, </w:t>
      </w:r>
      <w:r w:rsidR="0043341A">
        <w:t xml:space="preserve">an </w:t>
      </w:r>
      <w:r w:rsidRPr="00651C99">
        <w:t>increase in O</w:t>
      </w:r>
      <w:r w:rsidRPr="00DE5F9E">
        <w:rPr>
          <w:vertAlign w:val="subscript"/>
        </w:rPr>
        <w:t>3</w:t>
      </w:r>
      <w:r w:rsidRPr="00651C99">
        <w:t>, and also SO</w:t>
      </w:r>
      <w:r w:rsidRPr="00DE5F9E">
        <w:rPr>
          <w:vertAlign w:val="subscript"/>
        </w:rPr>
        <w:t>2</w:t>
      </w:r>
      <w:r w:rsidRPr="00651C99">
        <w:t xml:space="preserve"> remained unchanged in the peripheral areas (Collivignarelli et al. 2020). Some meteorological variables such as wind and temperature were considered in the mentioned studies, and the changes in SO2 could be due to the restrictions applied in power plants, non-suspended industrial activities and the operation of some hydrocarbon companies during the quarantine (Sharma et al. 2020).</w:t>
      </w:r>
    </w:p>
    <w:p w14:paraId="6FF5D5B9" w14:textId="77777777" w:rsidR="00DE5F9E" w:rsidRDefault="00DE5F9E" w:rsidP="008B156C">
      <w:pPr>
        <w:pStyle w:val="CETBodytext"/>
      </w:pPr>
    </w:p>
    <w:p w14:paraId="5626194E" w14:textId="54175DE3" w:rsidR="00651C99" w:rsidRDefault="00DE5F9E" w:rsidP="00DE5F9E">
      <w:pPr>
        <w:pStyle w:val="CETBodytext"/>
        <w:jc w:val="left"/>
      </w:pPr>
      <w:r>
        <w:rPr>
          <w:noProof/>
          <w:lang w:val="es-PE" w:eastAsia="es-PE"/>
        </w:rPr>
        <w:drawing>
          <wp:inline distT="0" distB="0" distL="0" distR="0" wp14:anchorId="4D4728A7" wp14:editId="1591D382">
            <wp:extent cx="5532120" cy="602043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2120" cy="6020435"/>
                    </a:xfrm>
                    <a:prstGeom prst="rect">
                      <a:avLst/>
                    </a:prstGeom>
                    <a:noFill/>
                  </pic:spPr>
                </pic:pic>
              </a:graphicData>
            </a:graphic>
          </wp:inline>
        </w:drawing>
      </w:r>
    </w:p>
    <w:p w14:paraId="1055FF7D" w14:textId="0D539D49" w:rsidR="00651C99" w:rsidRDefault="003A55C6" w:rsidP="002300D7">
      <w:pPr>
        <w:pStyle w:val="CETTabletitle"/>
        <w:spacing w:after="0"/>
        <w:rPr>
          <w:lang w:val="en-US"/>
        </w:rPr>
      </w:pPr>
      <w:r>
        <w:rPr>
          <w:lang w:val="en-US"/>
        </w:rPr>
        <w:t>Figure 1</w:t>
      </w:r>
      <w:r w:rsidR="00651C99" w:rsidRPr="00511A7A">
        <w:rPr>
          <w:lang w:val="en-US"/>
        </w:rPr>
        <w:t xml:space="preserve">: </w:t>
      </w:r>
      <w:r w:rsidR="002300D7" w:rsidRPr="002300D7">
        <w:rPr>
          <w:lang w:val="en-US"/>
        </w:rPr>
        <w:t>Increase or decrease in the concentration of air pollutant gases</w:t>
      </w:r>
      <w:r w:rsidR="0074319F">
        <w:rPr>
          <w:lang w:val="en-US"/>
        </w:rPr>
        <w:t xml:space="preserve"> (</w:t>
      </w:r>
      <w:r w:rsidR="0074319F" w:rsidRPr="0074319F">
        <w:rPr>
          <w:lang w:val="en-US"/>
        </w:rPr>
        <w:t>NO</w:t>
      </w:r>
      <w:r w:rsidR="0074319F" w:rsidRPr="00DE5F9E">
        <w:rPr>
          <w:vertAlign w:val="subscript"/>
          <w:lang w:val="en-US"/>
        </w:rPr>
        <w:t>2</w:t>
      </w:r>
      <w:r w:rsidR="0074319F" w:rsidRPr="0074319F">
        <w:rPr>
          <w:lang w:val="en-US"/>
        </w:rPr>
        <w:t>, CO and O</w:t>
      </w:r>
      <w:r w:rsidR="0074319F" w:rsidRPr="00DE5F9E">
        <w:rPr>
          <w:vertAlign w:val="subscript"/>
          <w:lang w:val="en-US"/>
        </w:rPr>
        <w:t>3</w:t>
      </w:r>
      <w:r w:rsidR="0074319F">
        <w:rPr>
          <w:lang w:val="en-US"/>
        </w:rPr>
        <w:t>)</w:t>
      </w:r>
      <w:r w:rsidR="002300D7" w:rsidRPr="0074319F">
        <w:rPr>
          <w:lang w:val="en-US"/>
        </w:rPr>
        <w:t xml:space="preserve"> </w:t>
      </w:r>
      <w:r w:rsidR="002300D7" w:rsidRPr="002300D7">
        <w:rPr>
          <w:lang w:val="en-US"/>
        </w:rPr>
        <w:t>during the range of dates</w:t>
      </w:r>
      <w:r w:rsidR="00DE5F9E">
        <w:rPr>
          <w:lang w:val="en-US"/>
        </w:rPr>
        <w:t xml:space="preserve"> (groups 1, 2 and 3)</w:t>
      </w:r>
      <w:r w:rsidR="002300D7" w:rsidRPr="002300D7">
        <w:rPr>
          <w:lang w:val="en-US"/>
        </w:rPr>
        <w:t xml:space="preserve"> studied</w:t>
      </w:r>
      <w:r w:rsidR="00DE5F9E">
        <w:rPr>
          <w:lang w:val="en-US"/>
        </w:rPr>
        <w:t xml:space="preserve"> </w:t>
      </w:r>
    </w:p>
    <w:p w14:paraId="026DF7CF" w14:textId="0CD5E334" w:rsidR="00651C99" w:rsidRDefault="00651C99" w:rsidP="008B156C">
      <w:pPr>
        <w:pStyle w:val="CETBodytext"/>
      </w:pPr>
    </w:p>
    <w:p w14:paraId="0479FF43" w14:textId="75C7D2D0" w:rsidR="002E5D69" w:rsidRPr="00C14646" w:rsidRDefault="002E5D69" w:rsidP="008B156C">
      <w:pPr>
        <w:pStyle w:val="CETBodytext"/>
      </w:pPr>
      <w:r w:rsidRPr="002E5D69">
        <w:t>Public policies applied as a measure to reduce polluting gases must integrate industrial processes in CO</w:t>
      </w:r>
      <w:r w:rsidRPr="00DE5F9E">
        <w:rPr>
          <w:vertAlign w:val="subscript"/>
        </w:rPr>
        <w:t>2</w:t>
      </w:r>
      <w:r w:rsidRPr="002E5D69">
        <w:t xml:space="preserve"> emissions and absorption, since energy resource consumption in the industrial and transportation sectors is based mainly on coal, oil and/or natural gas. Therefore, socioeconomic indicators (energy consumption) and transport demand contribute to estimate air pollutants (NO</w:t>
      </w:r>
      <w:r w:rsidR="00DE5F9E">
        <w:rPr>
          <w:vertAlign w:val="subscript"/>
        </w:rPr>
        <w:t>X</w:t>
      </w:r>
      <w:r w:rsidRPr="002E5D69">
        <w:t>, CO, SO</w:t>
      </w:r>
      <w:r w:rsidRPr="00DE5F9E">
        <w:rPr>
          <w:vertAlign w:val="subscript"/>
        </w:rPr>
        <w:t>2</w:t>
      </w:r>
      <w:r w:rsidRPr="002E5D69">
        <w:t>, O</w:t>
      </w:r>
      <w:r w:rsidRPr="00DE5F9E">
        <w:rPr>
          <w:vertAlign w:val="subscript"/>
        </w:rPr>
        <w:t>3</w:t>
      </w:r>
      <w:r w:rsidRPr="002E5D69">
        <w:t xml:space="preserve">, particulate matter) in order to develop </w:t>
      </w:r>
      <w:r w:rsidRPr="002E5D69">
        <w:lastRenderedPageBreak/>
        <w:t>scenarios to reduce and control greenhouse gas emissions (Geng and Meng, 2018; Atkins et al., 2018; Tran, 2019; Wang et al., 2019).</w:t>
      </w:r>
    </w:p>
    <w:p w14:paraId="1D44ED32" w14:textId="0A818AE6" w:rsidR="007B73E3" w:rsidRPr="00C14646" w:rsidRDefault="00F70BF4" w:rsidP="007B73E3">
      <w:pPr>
        <w:pStyle w:val="CETHeading1"/>
        <w:tabs>
          <w:tab w:val="right" w:pos="7100"/>
        </w:tabs>
        <w:jc w:val="both"/>
      </w:pPr>
      <w:r>
        <w:t>4</w:t>
      </w:r>
      <w:r w:rsidR="007B73E3" w:rsidRPr="00C14646">
        <w:t>. Conclusions</w:t>
      </w:r>
    </w:p>
    <w:p w14:paraId="784C67A2" w14:textId="443A44F2" w:rsidR="007B73E3" w:rsidRPr="00D82616" w:rsidRDefault="0060576D" w:rsidP="007B73E3">
      <w:pPr>
        <w:pStyle w:val="CETBodytext"/>
      </w:pPr>
      <w:r w:rsidRPr="0060576D">
        <w:t>NO</w:t>
      </w:r>
      <w:r w:rsidRPr="00DE5F9E">
        <w:rPr>
          <w:vertAlign w:val="subscript"/>
        </w:rPr>
        <w:t>2</w:t>
      </w:r>
      <w:r w:rsidRPr="0060576D">
        <w:t>, CO and O</w:t>
      </w:r>
      <w:r w:rsidRPr="00DE5F9E">
        <w:rPr>
          <w:vertAlign w:val="subscript"/>
        </w:rPr>
        <w:t>3</w:t>
      </w:r>
      <w:r w:rsidRPr="0060576D">
        <w:t xml:space="preserve"> gases decreased in all cities except for the city of Santiago where CO gas increased. Pearson and Spearman statistics showed significant negative associations between strong and moderate. On the other hand, the values for SO</w:t>
      </w:r>
      <w:r w:rsidRPr="00DE5F9E">
        <w:rPr>
          <w:vertAlign w:val="subscript"/>
        </w:rPr>
        <w:t>2</w:t>
      </w:r>
      <w:r w:rsidRPr="0060576D">
        <w:t xml:space="preserve"> gas were disregarded because they did not present significantly important values. It was observed that there are associations in the concentrations of gases that deteriorate the air and compliance with the policies and/or regulations issued by the different governments. Regarding the concentration of NO</w:t>
      </w:r>
      <w:r w:rsidRPr="00DE5F9E">
        <w:rPr>
          <w:vertAlign w:val="subscript"/>
        </w:rPr>
        <w:t xml:space="preserve">2 </w:t>
      </w:r>
      <w:r w:rsidRPr="0060576D">
        <w:t>gas, it was observed that the values of the concentrations were decreasing, with the city of Santiago de Chile having the highest concentration and the city of Quito having the lowest concentration. For the concentration of CO gas, it was observed that the concentration values also decreased, with the city of Lima having the highest concentration and the city of Santiago de Chile having the lowest concent</w:t>
      </w:r>
      <w:r w:rsidR="0043341A">
        <w:t>ration. Finally, concerning</w:t>
      </w:r>
      <w:r w:rsidRPr="0060576D">
        <w:t xml:space="preserve"> the concentration of O</w:t>
      </w:r>
      <w:r w:rsidRPr="00DE5F9E">
        <w:rPr>
          <w:vertAlign w:val="subscript"/>
        </w:rPr>
        <w:t>3</w:t>
      </w:r>
      <w:r w:rsidRPr="0060576D">
        <w:t xml:space="preserve"> gas, the values reflected that the concentrations had greater variability, with the city of Buenos Aires having the highest concentration and the city of Quito </w:t>
      </w:r>
      <w:r>
        <w:t>having the lowest concentration</w:t>
      </w:r>
      <w:r w:rsidR="007B73E3" w:rsidRPr="00AA0D1E">
        <w:t>.</w:t>
      </w:r>
    </w:p>
    <w:p w14:paraId="459D05E6" w14:textId="77777777" w:rsidR="00600535" w:rsidRPr="00C14646" w:rsidRDefault="00600535" w:rsidP="00600535">
      <w:pPr>
        <w:pStyle w:val="CETAcknowledgementstitle"/>
        <w:rPr>
          <w:lang w:val="en-US"/>
        </w:rPr>
      </w:pPr>
      <w:r w:rsidRPr="00C14646">
        <w:rPr>
          <w:lang w:val="en-US"/>
        </w:rPr>
        <w:t>Acknowledgments</w:t>
      </w:r>
    </w:p>
    <w:p w14:paraId="4F1F7825" w14:textId="0307498C" w:rsidR="00D82616" w:rsidRPr="00D82616" w:rsidRDefault="00346646" w:rsidP="00600535">
      <w:pPr>
        <w:pStyle w:val="CETBodytext"/>
      </w:pPr>
      <w:r w:rsidRPr="0048329B">
        <w:t>The authors would like to thank "Investiga UCV" of the Universidad César Vallejo for financial support for t</w:t>
      </w:r>
      <w:r>
        <w:t>he publication of this research</w:t>
      </w:r>
      <w:r w:rsidR="00D82616">
        <w:t>.</w:t>
      </w:r>
    </w:p>
    <w:p w14:paraId="4F1327F8" w14:textId="77777777" w:rsidR="00600535" w:rsidRPr="00B57B36" w:rsidRDefault="00600535" w:rsidP="00600535">
      <w:pPr>
        <w:pStyle w:val="CETReference"/>
      </w:pPr>
      <w:r w:rsidRPr="00B57B36">
        <w:t>References</w:t>
      </w:r>
    </w:p>
    <w:p w14:paraId="0200A1CF" w14:textId="29858D86" w:rsidR="003B16E8" w:rsidRDefault="003B16E8" w:rsidP="003B16E8">
      <w:pPr>
        <w:pStyle w:val="CETReferencetext"/>
      </w:pPr>
      <w:r>
        <w:t xml:space="preserve">Abdullah, S., Mansor, A. A., Napi, N. N. L. M., Mansor, W. N. </w:t>
      </w:r>
      <w:r w:rsidR="001548E8">
        <w:t xml:space="preserve">W., Ahmed, A. N., Ismail, M., </w:t>
      </w:r>
      <w:r>
        <w:t xml:space="preserve">Ramly, Z. T. A., 2020, Air quality status during 2020 Malaysia movement control order (MCO) due to 2019 novel coronavirus (2019- nCoV) pandemic, Science of the Total Environment, 729, </w:t>
      </w:r>
      <w:r w:rsidR="00A31700">
        <w:t>139022</w:t>
      </w:r>
      <w:r>
        <w:t>.</w:t>
      </w:r>
    </w:p>
    <w:p w14:paraId="6D4C257D" w14:textId="29167767" w:rsidR="003B16E8" w:rsidRDefault="003B16E8" w:rsidP="003B16E8">
      <w:pPr>
        <w:pStyle w:val="CETReferencetext"/>
      </w:pPr>
      <w:r>
        <w:t>Aguilera Sammaritano, Mari</w:t>
      </w:r>
      <w:r w:rsidR="001548E8">
        <w:t xml:space="preserve">ela; Bustos, D.; Poblete, A., </w:t>
      </w:r>
      <w:r>
        <w:t>Wannaz, E., 2018, Elemental Composition of PM2.5 in the Urban Environment of San Juan, Argentina, Environmental Science &amp; Pollution Research, 25 (5), 4197–4203.</w:t>
      </w:r>
    </w:p>
    <w:p w14:paraId="1D471B75" w14:textId="39E92507" w:rsidR="003B16E8" w:rsidRDefault="001548E8" w:rsidP="003B16E8">
      <w:pPr>
        <w:pStyle w:val="CETReferencetext"/>
      </w:pPr>
      <w:r>
        <w:t xml:space="preserve">Akdag, Saffet, </w:t>
      </w:r>
      <w:r w:rsidR="003B16E8">
        <w:t>Yildirim, Hakan, 2020, Toward a sustainable mitigation approach of energy efficiency to greenhouse gas emissions in the European countries, Heliyon, 6 (3), e03396.</w:t>
      </w:r>
    </w:p>
    <w:p w14:paraId="4BF52966" w14:textId="7B413608" w:rsidR="003B16E8" w:rsidRDefault="003B16E8" w:rsidP="003B16E8">
      <w:pPr>
        <w:pStyle w:val="CETReferencetext"/>
      </w:pPr>
      <w:r>
        <w:t xml:space="preserve">Altuğ, Hicran; Fuks, Kateryna; Hüls, Anke; Mayer, Anne-Kathrin; </w:t>
      </w:r>
      <w:r w:rsidR="001548E8">
        <w:t xml:space="preserve">Tham, Rachel; Krutmann, Jean; </w:t>
      </w:r>
      <w:r>
        <w:t xml:space="preserve">SchikowskI, Tamara, 2020, Air pollution is associated with depressive symptoms in elderly women with cognitive impairment, Environment International, 136, </w:t>
      </w:r>
      <w:r w:rsidR="00A31700">
        <w:t>105448</w:t>
      </w:r>
      <w:r>
        <w:t>.</w:t>
      </w:r>
    </w:p>
    <w:p w14:paraId="17421C5A" w14:textId="3B8352A6" w:rsidR="003B16E8" w:rsidRDefault="003B16E8" w:rsidP="003B16E8">
      <w:pPr>
        <w:pStyle w:val="CETReferencetext"/>
      </w:pPr>
      <w:r>
        <w:t>Andersson, Eva; Ögren, Mikael; Molnár, Peter; Segerss</w:t>
      </w:r>
      <w:r w:rsidR="001548E8">
        <w:t xml:space="preserve">on, David; Rosengren, Annika; </w:t>
      </w:r>
      <w:r>
        <w:t xml:space="preserve">Stockfelt, Leo, 2020, Road traffic noise, air pollution and cardiovascular events in a Swedish cohort, Environmental Research, 185, </w:t>
      </w:r>
      <w:r w:rsidR="00A31700">
        <w:t>109446</w:t>
      </w:r>
      <w:r>
        <w:t xml:space="preserve">. </w:t>
      </w:r>
    </w:p>
    <w:p w14:paraId="5E466A8E" w14:textId="7F48FE09" w:rsidR="003B16E8" w:rsidRDefault="001548E8" w:rsidP="003B16E8">
      <w:pPr>
        <w:pStyle w:val="CETReferencetext"/>
      </w:pPr>
      <w:r>
        <w:t xml:space="preserve">Angatha, Rama Kanth, </w:t>
      </w:r>
      <w:r w:rsidR="003B16E8">
        <w:t>Mehar, Arpan, 2019, Impact of vehicles on urban air quality: predictive assessment with an application to Tirumala. International Journal for Traffic and Transport Engineering, 9 (4), 397-407</w:t>
      </w:r>
    </w:p>
    <w:p w14:paraId="4E72BCD3" w14:textId="041905BF" w:rsidR="003B16E8" w:rsidRDefault="001548E8" w:rsidP="003B16E8">
      <w:pPr>
        <w:pStyle w:val="CETReferencetext"/>
      </w:pPr>
      <w:r>
        <w:t xml:space="preserve">Araki, Shin; Shima, Masayuki; </w:t>
      </w:r>
      <w:r w:rsidR="003B16E8">
        <w:t xml:space="preserve">Yamamoto, Kouhei, 2020, Estimating historical PM2.5 exposures for three decades (1987 2016) in Japan using measurements of associated air pollutants and land use regression, Environmental Pollution, </w:t>
      </w:r>
      <w:r w:rsidR="00A31700">
        <w:t>263, 114476</w:t>
      </w:r>
      <w:r w:rsidR="003B16E8">
        <w:t xml:space="preserve">. </w:t>
      </w:r>
    </w:p>
    <w:p w14:paraId="22C2D26E" w14:textId="082F6CF7" w:rsidR="003B16E8" w:rsidRDefault="003B16E8" w:rsidP="003B16E8">
      <w:pPr>
        <w:pStyle w:val="CETReferencetext"/>
      </w:pPr>
      <w:r>
        <w:t>Atkins, M</w:t>
      </w:r>
      <w:r w:rsidR="001548E8">
        <w:t xml:space="preserve">. J., Neale, J. R., Wu, Y. H., </w:t>
      </w:r>
      <w:r>
        <w:t>Walmsley, M. R., 2018, Regional and national greenhouse gas emissions reduction planning, Chemical</w:t>
      </w:r>
      <w:r w:rsidR="00A31700">
        <w:t xml:space="preserve"> Engineering Transactions, 70, </w:t>
      </w:r>
      <w:r>
        <w:t>19-24.</w:t>
      </w:r>
    </w:p>
    <w:p w14:paraId="270F8F64" w14:textId="64F0AB33" w:rsidR="003B16E8" w:rsidRDefault="003B16E8" w:rsidP="003B16E8">
      <w:pPr>
        <w:pStyle w:val="CETReferencetext"/>
      </w:pPr>
      <w:r>
        <w:t>Biggart, Michael, Stoker, J., Doherty, R., Wild, O., Hollaway, M., Carruthers, D., Li, J., Zhang, Q., Wu, R., Kotthaus, S., Grimmon</w:t>
      </w:r>
      <w:r w:rsidR="001548E8">
        <w:t xml:space="preserve">d, S., Asquires, F., Lee, J., </w:t>
      </w:r>
      <w:r>
        <w:t>SHI, Z., 2020, Street-scale air quality modelling for Beijing during a winter 2016 measurement campaign, Atmosp</w:t>
      </w:r>
      <w:r w:rsidR="00A31700">
        <w:t>heric Chemistry &amp; Physics, 20 (</w:t>
      </w:r>
      <w:r>
        <w:t>5</w:t>
      </w:r>
      <w:r w:rsidR="00A31700">
        <w:t xml:space="preserve">), </w:t>
      </w:r>
      <w:r>
        <w:t>2755-2780.</w:t>
      </w:r>
    </w:p>
    <w:p w14:paraId="1AFCC978" w14:textId="4118590E" w:rsidR="003B16E8" w:rsidRPr="00A31700" w:rsidRDefault="003B16E8" w:rsidP="003B16E8">
      <w:pPr>
        <w:pStyle w:val="CETReferencetext"/>
        <w:rPr>
          <w:lang w:val="es-PE"/>
        </w:rPr>
      </w:pPr>
      <w:r>
        <w:t>Blechschmidt, Anne-Marlene; Arteta, J.; Coman, A.; Curier, L.; Eskes, H.; Foret, G.; Gielen, C.; Hendrick, F.; Marécal, V.; Meleux, F.; Parmentier, J.; Peters, E.; Pinardi, G.; Piters, A.; Plu, M.; Richter, A.; Segers, A.; Sofiev, M.; Valdebenito, A.; Roozendae</w:t>
      </w:r>
      <w:r w:rsidR="001548E8">
        <w:t xml:space="preserve">l, M.; Vira, J.; Vlemmix, T.; </w:t>
      </w:r>
      <w:r>
        <w:t>Burrows, J., 2020, Comparison of tropospheric NO2 columns from MAX-DOAS retrievals and regional air quality model simulations, A</w:t>
      </w:r>
      <w:r w:rsidR="00A31700">
        <w:t xml:space="preserve">tmos. </w:t>
      </w:r>
      <w:r w:rsidR="00A31700" w:rsidRPr="00A31700">
        <w:rPr>
          <w:lang w:val="es-PE"/>
        </w:rPr>
        <w:t xml:space="preserve">Chem. Phys. Discuss, 20, </w:t>
      </w:r>
      <w:r w:rsidRPr="00A31700">
        <w:rPr>
          <w:lang w:val="es-PE"/>
        </w:rPr>
        <w:t xml:space="preserve">2795-2823. </w:t>
      </w:r>
    </w:p>
    <w:p w14:paraId="6EC9C7C6" w14:textId="509654FC" w:rsidR="003B16E8" w:rsidRPr="00A31700" w:rsidRDefault="001548E8" w:rsidP="003B16E8">
      <w:pPr>
        <w:pStyle w:val="CETReferencetext"/>
        <w:rPr>
          <w:lang w:val="es-PE"/>
        </w:rPr>
      </w:pPr>
      <w:r>
        <w:rPr>
          <w:lang w:val="es-PE"/>
        </w:rPr>
        <w:t>Calla DurandaL, Lucía,</w:t>
      </w:r>
      <w:r w:rsidR="003B16E8" w:rsidRPr="003B16E8">
        <w:rPr>
          <w:lang w:val="es-PE"/>
        </w:rPr>
        <w:t xml:space="preserve"> Luján Pérez, Marcos, 2018, Inventario de emisiones de fuentes móviles con una distribución espacial y temporal para el área metropolitana de Cochabamba, Bolivia</w:t>
      </w:r>
      <w:r w:rsidR="00A31700">
        <w:rPr>
          <w:lang w:val="es-PE"/>
        </w:rPr>
        <w:t xml:space="preserve">., Acta Nova, 8 (3), </w:t>
      </w:r>
      <w:r w:rsidR="003B16E8" w:rsidRPr="003B16E8">
        <w:rPr>
          <w:lang w:val="es-PE"/>
        </w:rPr>
        <w:t xml:space="preserve">322- 353. </w:t>
      </w:r>
    </w:p>
    <w:p w14:paraId="4E01E633" w14:textId="2E49CE0D" w:rsidR="003B16E8" w:rsidRDefault="003B16E8" w:rsidP="003B16E8">
      <w:pPr>
        <w:pStyle w:val="CETReferencetext"/>
      </w:pPr>
      <w:r>
        <w:t>Collivignarelli, M. C., Abbà, A., Bertanza, G., P</w:t>
      </w:r>
      <w:r w:rsidR="001548E8">
        <w:t xml:space="preserve">edrazzani, R., Ricciardi, P., </w:t>
      </w:r>
      <w:r>
        <w:t>Carnevale Miino, M., 2020, Lockdown for CoViD-2019 in Milan: What are the effects on air quality? The Scie</w:t>
      </w:r>
      <w:r w:rsidR="00A31700">
        <w:t>nce of the Total Environment., 732, 139022</w:t>
      </w:r>
      <w:r>
        <w:t>.</w:t>
      </w:r>
    </w:p>
    <w:p w14:paraId="39E90254" w14:textId="27CD2286" w:rsidR="003B16E8" w:rsidRDefault="003B16E8" w:rsidP="003B16E8">
      <w:pPr>
        <w:pStyle w:val="CETReferencetext"/>
      </w:pPr>
      <w:r>
        <w:lastRenderedPageBreak/>
        <w:t>Dantas, G., Siciliano, B., França, B. B., Da Silva, C. M., &amp; Arbilla, G., 2020, The impact of COVID-19 partial lockdown on the air quality of the city of Rio de Janeiro, Brazil. Science of the To</w:t>
      </w:r>
      <w:r w:rsidR="00A31700">
        <w:t xml:space="preserve">tal Environment., 729, </w:t>
      </w:r>
      <w:r>
        <w:t>139085</w:t>
      </w:r>
    </w:p>
    <w:p w14:paraId="3B0B1527" w14:textId="6CC06F2E" w:rsidR="003B16E8" w:rsidRDefault="003B16E8" w:rsidP="003B16E8">
      <w:pPr>
        <w:pStyle w:val="CETReferencetext"/>
      </w:pPr>
      <w:r>
        <w:t>Fan, C., Li, Y., Guang, J., Li,</w:t>
      </w:r>
      <w:r w:rsidR="001548E8">
        <w:t xml:space="preserve"> Z., Elnashar, A., Allam, M., </w:t>
      </w:r>
      <w:r>
        <w:t>De Leeuw, G., 2020, The impact of the control measures during the COVID-19 outbreak on air pollution</w:t>
      </w:r>
      <w:r w:rsidR="00A31700">
        <w:t xml:space="preserve"> in China, Remote Sensing, 12 (</w:t>
      </w:r>
      <w:r>
        <w:t>10</w:t>
      </w:r>
      <w:r w:rsidR="00A31700">
        <w:t xml:space="preserve">), </w:t>
      </w:r>
      <w:r>
        <w:t>1613</w:t>
      </w:r>
    </w:p>
    <w:p w14:paraId="33373B55" w14:textId="41F3A0F4" w:rsidR="003B16E8" w:rsidRDefault="003B16E8" w:rsidP="003B16E8">
      <w:pPr>
        <w:pStyle w:val="CETReferencetext"/>
      </w:pPr>
      <w:r>
        <w:t>Fareed, Z., Iqbal, N., Shahzad, F., Shah, S. G. M., Zulfiqar, B., Shahzad, K., Shahzad, U., 2020, Co-variance nexus between COVID-19 mortality, humidity, and air quality index in Wuhan, China: New insights from partial and multiple wavelet coherence. Air Qualit</w:t>
      </w:r>
      <w:r w:rsidR="00A31700">
        <w:t xml:space="preserve">y, Atmosphere and Health, 13, </w:t>
      </w:r>
      <w:r>
        <w:t xml:space="preserve">673-682. </w:t>
      </w:r>
    </w:p>
    <w:p w14:paraId="68EBEE43" w14:textId="6131F466" w:rsidR="003B16E8" w:rsidRDefault="001548E8" w:rsidP="003B16E8">
      <w:pPr>
        <w:pStyle w:val="CETReferencetext"/>
      </w:pPr>
      <w:r>
        <w:t>Feng, Jian; Chan, Elton,</w:t>
      </w:r>
      <w:r w:rsidR="003B16E8">
        <w:t xml:space="preserve"> Vet, Robert., 2020, Air quality in the eastern United States and Eastern Canada for 1990–2015: 25 years of change in response to emission reductions of SO2 NOx in the region. Atmospheric Chemistry</w:t>
      </w:r>
      <w:r w:rsidR="00A31700">
        <w:t xml:space="preserve"> &amp; Physics, 20 (5), </w:t>
      </w:r>
      <w:r w:rsidR="003B16E8">
        <w:t xml:space="preserve">3107-3134. </w:t>
      </w:r>
    </w:p>
    <w:p w14:paraId="3E207DFF" w14:textId="02C26369" w:rsidR="003B16E8" w:rsidRDefault="003B16E8" w:rsidP="003B16E8">
      <w:pPr>
        <w:pStyle w:val="CETReferencetext"/>
      </w:pPr>
      <w:r>
        <w:t>Gautam, S., 2020, The influence of COVID-19 on air quality in India: A boon or inutile. Bulletin of Environmental Cont</w:t>
      </w:r>
      <w:r w:rsidR="00E534BC">
        <w:t>amination and Toxicology, 104 (</w:t>
      </w:r>
      <w:r>
        <w:t>6</w:t>
      </w:r>
      <w:r w:rsidR="00E534BC">
        <w:t xml:space="preserve">), </w:t>
      </w:r>
      <w:r>
        <w:t xml:space="preserve">724-726. </w:t>
      </w:r>
    </w:p>
    <w:p w14:paraId="7F8E6A90" w14:textId="7494D8C9" w:rsidR="003B16E8" w:rsidRDefault="001548E8" w:rsidP="003B16E8">
      <w:pPr>
        <w:pStyle w:val="CETReferencetext"/>
      </w:pPr>
      <w:r>
        <w:t xml:space="preserve">Geng, S., </w:t>
      </w:r>
      <w:r w:rsidR="003B16E8">
        <w:t xml:space="preserve">Meng, W., 2018, Chemical absorption and mass transfer of grennhouse gas </w:t>
      </w:r>
      <w:r>
        <w:t>carbon</w:t>
      </w:r>
      <w:r w:rsidR="003B16E8">
        <w:t xml:space="preserve"> dioxide, Chemical Engineering Transac</w:t>
      </w:r>
      <w:r w:rsidR="00E534BC">
        <w:t xml:space="preserve">tions, 71, </w:t>
      </w:r>
      <w:r w:rsidR="003B16E8">
        <w:t>1-6.</w:t>
      </w:r>
    </w:p>
    <w:p w14:paraId="159B08BB" w14:textId="358CD045" w:rsidR="003B16E8" w:rsidRDefault="003B16E8" w:rsidP="003B16E8">
      <w:pPr>
        <w:pStyle w:val="CETReferencetext"/>
      </w:pPr>
      <w:r>
        <w:t>Isaifan, R.J., 2020, The Dramatic Impact of Coronavirus Outbreak on Air Quality: Has it Saved as Much as it has Killed so Far? Global Journal of Environmenta</w:t>
      </w:r>
      <w:r w:rsidR="00E534BC">
        <w:t>l Science and Management, 6 (</w:t>
      </w:r>
      <w:r>
        <w:t>3</w:t>
      </w:r>
      <w:r w:rsidR="00E534BC">
        <w:t>), 275-288</w:t>
      </w:r>
      <w:r>
        <w:t>.</w:t>
      </w:r>
    </w:p>
    <w:p w14:paraId="77AAAF7E" w14:textId="28853810" w:rsidR="003B16E8" w:rsidRDefault="003B16E8" w:rsidP="003B16E8">
      <w:pPr>
        <w:pStyle w:val="CETReferencetext"/>
      </w:pPr>
      <w:r>
        <w:t>Islam, M., Jayarathne, T., Simpson, I., Werden, B., Maden, B., Maben, J., Gilbert, A., Praveen, P., Adhikari, S., Panday, A., Rupakheti, M., Blake, D., Yokelson, R., DE Carlo, P., Keene, W., y Stone, E., 2020, Ambient air quality in the Kathmandu Valley, Nepal during the premonsoon: Concentrations and sources of particulate matter and trace gases. Atmospheric Chemistry</w:t>
      </w:r>
      <w:r w:rsidR="00346646">
        <w:t xml:space="preserve"> &amp; Physics., 20 (5), </w:t>
      </w:r>
      <w:r>
        <w:t>2927-2951.</w:t>
      </w:r>
    </w:p>
    <w:p w14:paraId="6A1B7280" w14:textId="56B8CAD3" w:rsidR="003B16E8" w:rsidRDefault="001548E8" w:rsidP="003B16E8">
      <w:pPr>
        <w:pStyle w:val="CETReferencetext"/>
      </w:pPr>
      <w:r>
        <w:t>Kraemer, Moritz Ug,</w:t>
      </w:r>
      <w:r w:rsidR="003B16E8">
        <w:t xml:space="preserve"> Yang, C.; Gutierrez, B.; Wu, C.; Klein, B.; Pigott, D.; Plessis, L.; Faria, N.; Li, R.; Hanage, W.; Brownstein, J.; Vespignani, A.; Tian, H.; Dye, C.; Pybus, O.; y Scarpino, S., 2020, The effect of human mobility and control measures on the COVID-19 ep</w:t>
      </w:r>
      <w:r w:rsidR="00346646">
        <w:t xml:space="preserve">idemic in China. Science, 368, </w:t>
      </w:r>
      <w:r w:rsidR="003B16E8">
        <w:t>493-497.</w:t>
      </w:r>
    </w:p>
    <w:p w14:paraId="3A0490E9" w14:textId="28765391" w:rsidR="003B16E8" w:rsidRDefault="001548E8" w:rsidP="003B16E8">
      <w:pPr>
        <w:pStyle w:val="CETReferencetext"/>
      </w:pPr>
      <w:r>
        <w:t>Lee, Kyunghwa, Yu, J., Lee, S.,</w:t>
      </w:r>
      <w:r w:rsidR="003B16E8">
        <w:t xml:space="preserve"> </w:t>
      </w:r>
      <w:r>
        <w:t>Park, M., Hong, H., Park, S., Choi, M.,</w:t>
      </w:r>
      <w:r w:rsidR="003B16E8">
        <w:t xml:space="preserve"> Kim, J</w:t>
      </w:r>
      <w:r>
        <w:t xml:space="preserve">., Kim, Y., Woo, J., Kim, S., </w:t>
      </w:r>
      <w:r w:rsidR="003B16E8">
        <w:t>Song, C., 2020, Development of Korean Air Quality Prediction System version 1 (KAQPS v1) with focuses on practical issues. Geoscientific Model D</w:t>
      </w:r>
      <w:r w:rsidR="00346646">
        <w:t xml:space="preserve">evelopment, 13 (3), </w:t>
      </w:r>
      <w:r w:rsidR="003B16E8">
        <w:t xml:space="preserve">1055-1073. </w:t>
      </w:r>
    </w:p>
    <w:p w14:paraId="5C381083" w14:textId="680A5192" w:rsidR="003B16E8" w:rsidRDefault="003B16E8" w:rsidP="003B16E8">
      <w:pPr>
        <w:pStyle w:val="CETReferencetext"/>
      </w:pPr>
      <w:r>
        <w:t>Ma, C. &amp; Kang, G., 2020, Air quality variation in Wuhan, Daegu, and Tokyo during the explosive outbreak of covid-19 and its health effects. International Journal of Environmental Re</w:t>
      </w:r>
      <w:r w:rsidR="00346646">
        <w:t>search and Public Health, 17</w:t>
      </w:r>
      <w:r>
        <w:t xml:space="preserve"> </w:t>
      </w:r>
      <w:r w:rsidR="00346646">
        <w:t>(</w:t>
      </w:r>
      <w:r>
        <w:t>11</w:t>
      </w:r>
      <w:r w:rsidR="00346646">
        <w:t xml:space="preserve">), </w:t>
      </w:r>
      <w:r>
        <w:t>1-14.</w:t>
      </w:r>
    </w:p>
    <w:p w14:paraId="6DDE5192" w14:textId="1F5FA365" w:rsidR="003B16E8" w:rsidRDefault="001548E8" w:rsidP="003B16E8">
      <w:pPr>
        <w:pStyle w:val="CETReferencetext"/>
      </w:pPr>
      <w:r>
        <w:t>Moelling</w:t>
      </w:r>
      <w:r w:rsidR="003B16E8">
        <w:t xml:space="preserve"> K</w:t>
      </w:r>
      <w:r>
        <w:t>., Broecker</w:t>
      </w:r>
      <w:r w:rsidR="003B16E8">
        <w:t xml:space="preserve"> F., 2020, Air microbiome and pollution: Composition and potential effects on human health, inclu</w:t>
      </w:r>
      <w:r w:rsidR="00346646">
        <w:t>ding SARS coronavirus infection,</w:t>
      </w:r>
      <w:r w:rsidR="003B16E8">
        <w:t xml:space="preserve"> Journal of Environ</w:t>
      </w:r>
      <w:r w:rsidR="00346646">
        <w:t xml:space="preserve">mental and Public Health, 2020, </w:t>
      </w:r>
      <w:r w:rsidR="003B16E8">
        <w:t>1-14.</w:t>
      </w:r>
    </w:p>
    <w:p w14:paraId="04EC4208" w14:textId="0942809F" w:rsidR="003B16E8" w:rsidRDefault="001548E8" w:rsidP="003B16E8">
      <w:pPr>
        <w:pStyle w:val="CETReferencetext"/>
      </w:pPr>
      <w:r>
        <w:t>Panagi Marios, Fleming</w:t>
      </w:r>
      <w:r w:rsidR="003B16E8">
        <w:t xml:space="preserve"> Z</w:t>
      </w:r>
      <w:r>
        <w:t>., Monks P., Asfold J., Wild</w:t>
      </w:r>
      <w:r w:rsidR="003B16E8">
        <w:t xml:space="preserve"> O., Hollaway</w:t>
      </w:r>
      <w:r>
        <w:t xml:space="preserve"> M., Zhang Q., Squires F., D. Vande</w:t>
      </w:r>
      <w:r w:rsidR="003B16E8">
        <w:t xml:space="preserve"> J., 2020, Investigating the regional contributions to air pollution in Beijing: a dispersion modelling study using CO as a tracer. Atmosph</w:t>
      </w:r>
      <w:r w:rsidR="00346646">
        <w:t>eric Chemistry and Physics, 20 (</w:t>
      </w:r>
      <w:r w:rsidR="003B16E8">
        <w:t>5</w:t>
      </w:r>
      <w:r w:rsidR="00346646">
        <w:t xml:space="preserve">), </w:t>
      </w:r>
      <w:r w:rsidR="003B16E8">
        <w:t xml:space="preserve">2825-2838. </w:t>
      </w:r>
    </w:p>
    <w:p w14:paraId="76ADE746" w14:textId="09F311DA" w:rsidR="003B16E8" w:rsidRDefault="003B16E8" w:rsidP="003B16E8">
      <w:pPr>
        <w:pStyle w:val="CETReferencetext"/>
      </w:pPr>
      <w:r>
        <w:t xml:space="preserve">Raffaelli, K., Deserti, M., Stortini, </w:t>
      </w:r>
      <w:r w:rsidR="001548E8">
        <w:t xml:space="preserve">M., Amorati, R., Vasconi, M., </w:t>
      </w:r>
      <w:r>
        <w:t>Giovannini, G., 2020, Improving Air Quality in the Po Valley, Italy: Some Results by the LIFE-IP-PREPAIR Pr</w:t>
      </w:r>
      <w:r w:rsidR="00346646">
        <w:t>oject. Atmosphere, 11 (</w:t>
      </w:r>
      <w:r>
        <w:t>4</w:t>
      </w:r>
      <w:r w:rsidR="00346646">
        <w:t xml:space="preserve">), </w:t>
      </w:r>
      <w:r>
        <w:t>429.</w:t>
      </w:r>
    </w:p>
    <w:p w14:paraId="088E5561" w14:textId="4A9B0724" w:rsidR="003B16E8" w:rsidRDefault="003B16E8" w:rsidP="003B16E8">
      <w:pPr>
        <w:pStyle w:val="CETReferencetext"/>
      </w:pPr>
      <w:r>
        <w:t xml:space="preserve">Rao, S. T., Luo, H., Astitha, M., Hogrefe, C., Garcia, V., y Mathur, R., 2020, On the limit to the accuracy of regional-scale air quality models. </w:t>
      </w:r>
      <w:r w:rsidR="00346646">
        <w:t>Atmos. Chem. Phys, 20 (</w:t>
      </w:r>
      <w:r>
        <w:t>5</w:t>
      </w:r>
      <w:r w:rsidR="00346646">
        <w:t xml:space="preserve">), </w:t>
      </w:r>
      <w:r>
        <w:t>1627-1639.</w:t>
      </w:r>
    </w:p>
    <w:p w14:paraId="576E21E9" w14:textId="77777777" w:rsidR="003B16E8" w:rsidRDefault="003B16E8" w:rsidP="003B16E8">
      <w:pPr>
        <w:pStyle w:val="CETReferencetext"/>
      </w:pPr>
      <w:r>
        <w:t xml:space="preserve">Richter, A., 2015, S5P/TROPOMI Science Verification Report. S5P-IUP-L2-ScVRRP. Versión 2.1. </w:t>
      </w:r>
    </w:p>
    <w:p w14:paraId="3717BFE9" w14:textId="15D7CCD9" w:rsidR="003B16E8" w:rsidRDefault="001548E8" w:rsidP="003B16E8">
      <w:pPr>
        <w:pStyle w:val="CETReferencetext"/>
      </w:pPr>
      <w:r>
        <w:t xml:space="preserve">Shi, X., </w:t>
      </w:r>
      <w:r w:rsidR="003B16E8">
        <w:t>Brasseur, G. P., 2020, The response in air quality to the reduction of Chinese economic activities during the COVID-19 outbreak. Geophysical</w:t>
      </w:r>
      <w:r w:rsidR="00346646">
        <w:t xml:space="preserve"> Research Letters, 47 (</w:t>
      </w:r>
      <w:r w:rsidR="003B16E8">
        <w:t>11</w:t>
      </w:r>
      <w:r w:rsidR="00346646">
        <w:t xml:space="preserve">), </w:t>
      </w:r>
      <w:r w:rsidR="003B16E8">
        <w:t>e2020GL088070</w:t>
      </w:r>
    </w:p>
    <w:p w14:paraId="252A2670" w14:textId="03EE7E9D" w:rsidR="003B16E8" w:rsidRDefault="003B16E8" w:rsidP="003B16E8">
      <w:pPr>
        <w:pStyle w:val="CETReferencetext"/>
      </w:pPr>
      <w:r>
        <w:t>Tran, T. T., 2019, Mitigating greenhouse gas emissions from passenger transport sector in megacities: a case of Ho Chi Minh City, Chemical Enginee</w:t>
      </w:r>
      <w:r w:rsidR="00346646">
        <w:t xml:space="preserve">ring Transactions, 72, </w:t>
      </w:r>
      <w:r>
        <w:t>85-90.</w:t>
      </w:r>
    </w:p>
    <w:p w14:paraId="5D115387" w14:textId="7BBFA611" w:rsidR="003B16E8" w:rsidRDefault="003B16E8" w:rsidP="003B16E8">
      <w:pPr>
        <w:pStyle w:val="CETReferencetext"/>
      </w:pPr>
      <w:r>
        <w:t>Wang, X. C., Klemes, J. J., Dong, X.,</w:t>
      </w:r>
      <w:r w:rsidR="001548E8">
        <w:t xml:space="preserve"> Sadenova, M., Varbanov, P. S.,</w:t>
      </w:r>
      <w:r>
        <w:t xml:space="preserve"> Zhakupova, G., 2019, Assessment of greenhouse gas emissions from various energy sources, Chemical</w:t>
      </w:r>
      <w:r w:rsidR="00346646">
        <w:t xml:space="preserve"> Engineering Transactions, 76, </w:t>
      </w:r>
      <w:r>
        <w:t>1057-1062.</w:t>
      </w:r>
    </w:p>
    <w:p w14:paraId="7CBE4EC3" w14:textId="297B0C57" w:rsidR="003B16E8" w:rsidRDefault="001548E8" w:rsidP="003B16E8">
      <w:pPr>
        <w:pStyle w:val="CETReferencetext"/>
      </w:pPr>
      <w:r>
        <w:t>Wang, Shijin; Hua, Guihong, Li, Cunfang</w:t>
      </w:r>
      <w:r w:rsidR="003B16E8">
        <w:t>, 2019, Urbanization, Air Quality, and the Panel Threshold Effect in China Based on Kernel Density Estimation. Emerging Markets F</w:t>
      </w:r>
      <w:r w:rsidR="00346646">
        <w:t>inance and Trade, 55, 3575-3590.</w:t>
      </w:r>
    </w:p>
    <w:p w14:paraId="3657C47F" w14:textId="5B1A42A0" w:rsidR="00B911EE" w:rsidRPr="00B911EE" w:rsidRDefault="001548E8" w:rsidP="003B16E8">
      <w:pPr>
        <w:pStyle w:val="CETReferencetext"/>
        <w:rPr>
          <w:lang w:val="en-US"/>
        </w:rPr>
      </w:pPr>
      <w:r>
        <w:t>Zhu, Yongjian, Xie, Jingui, Huang, Fengming,</w:t>
      </w:r>
      <w:r w:rsidR="003B16E8">
        <w:t xml:space="preserve"> Cao, Liqing., 2020, Association between short-term exposure to air pollution and COVID-19 infection: Evidence from China, S</w:t>
      </w:r>
      <w:r w:rsidR="00346646">
        <w:t xml:space="preserve">cience of The Total Environment, </w:t>
      </w:r>
      <w:r w:rsidR="003B16E8">
        <w:t>727</w:t>
      </w:r>
      <w:r w:rsidR="00346646">
        <w:t>, 138704</w:t>
      </w:r>
      <w:r w:rsidR="003B16E8">
        <w:t>.</w:t>
      </w:r>
    </w:p>
    <w:sectPr w:rsidR="00B911EE" w:rsidRPr="00B911E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FBD83" w14:textId="77777777" w:rsidR="005C7515" w:rsidRDefault="005C7515" w:rsidP="004F5E36">
      <w:r>
        <w:separator/>
      </w:r>
    </w:p>
  </w:endnote>
  <w:endnote w:type="continuationSeparator" w:id="0">
    <w:p w14:paraId="55E40899" w14:textId="77777777" w:rsidR="005C7515" w:rsidRDefault="005C751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32325" w14:textId="77777777" w:rsidR="005C7515" w:rsidRDefault="005C7515" w:rsidP="004F5E36">
      <w:r>
        <w:separator/>
      </w:r>
    </w:p>
  </w:footnote>
  <w:footnote w:type="continuationSeparator" w:id="0">
    <w:p w14:paraId="39039850" w14:textId="77777777" w:rsidR="005C7515" w:rsidRDefault="005C751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B03097F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284"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1471EEE"/>
    <w:multiLevelType w:val="multilevel"/>
    <w:tmpl w:val="A31CDD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26C"/>
    <w:rsid w:val="0000090B"/>
    <w:rsid w:val="000027C0"/>
    <w:rsid w:val="000052FB"/>
    <w:rsid w:val="00007686"/>
    <w:rsid w:val="000117CB"/>
    <w:rsid w:val="0003148D"/>
    <w:rsid w:val="0004735D"/>
    <w:rsid w:val="00051566"/>
    <w:rsid w:val="00062A9A"/>
    <w:rsid w:val="00065058"/>
    <w:rsid w:val="00086C39"/>
    <w:rsid w:val="00086E6C"/>
    <w:rsid w:val="00090E6C"/>
    <w:rsid w:val="000A03B2"/>
    <w:rsid w:val="000A53A2"/>
    <w:rsid w:val="000D0268"/>
    <w:rsid w:val="000D34BE"/>
    <w:rsid w:val="000E102F"/>
    <w:rsid w:val="000E36F1"/>
    <w:rsid w:val="000E3A73"/>
    <w:rsid w:val="000E414A"/>
    <w:rsid w:val="000F093C"/>
    <w:rsid w:val="000F787B"/>
    <w:rsid w:val="001070CD"/>
    <w:rsid w:val="0011455D"/>
    <w:rsid w:val="0012091F"/>
    <w:rsid w:val="00126BC2"/>
    <w:rsid w:val="001308B6"/>
    <w:rsid w:val="0013121F"/>
    <w:rsid w:val="00131FE6"/>
    <w:rsid w:val="0013263F"/>
    <w:rsid w:val="00134DE4"/>
    <w:rsid w:val="0014034D"/>
    <w:rsid w:val="00150E59"/>
    <w:rsid w:val="00152DE3"/>
    <w:rsid w:val="001548E8"/>
    <w:rsid w:val="00164CF9"/>
    <w:rsid w:val="001667A6"/>
    <w:rsid w:val="00184AD6"/>
    <w:rsid w:val="001A08FA"/>
    <w:rsid w:val="001A4AF7"/>
    <w:rsid w:val="001A4DA4"/>
    <w:rsid w:val="001B0349"/>
    <w:rsid w:val="001B2860"/>
    <w:rsid w:val="001B65C1"/>
    <w:rsid w:val="001C684B"/>
    <w:rsid w:val="001C74E4"/>
    <w:rsid w:val="001D374A"/>
    <w:rsid w:val="001D53FC"/>
    <w:rsid w:val="001E5B19"/>
    <w:rsid w:val="001F2E24"/>
    <w:rsid w:val="001F30CD"/>
    <w:rsid w:val="001F42A5"/>
    <w:rsid w:val="001F54FE"/>
    <w:rsid w:val="001F67BF"/>
    <w:rsid w:val="001F7B9D"/>
    <w:rsid w:val="00210A1D"/>
    <w:rsid w:val="00212627"/>
    <w:rsid w:val="002224B4"/>
    <w:rsid w:val="002300D7"/>
    <w:rsid w:val="00240E37"/>
    <w:rsid w:val="002447EF"/>
    <w:rsid w:val="00251550"/>
    <w:rsid w:val="0025375A"/>
    <w:rsid w:val="00263B05"/>
    <w:rsid w:val="00266A4B"/>
    <w:rsid w:val="0027221A"/>
    <w:rsid w:val="00275B61"/>
    <w:rsid w:val="00282656"/>
    <w:rsid w:val="00296B83"/>
    <w:rsid w:val="002B2956"/>
    <w:rsid w:val="002B78CE"/>
    <w:rsid w:val="002C2FB6"/>
    <w:rsid w:val="002C5841"/>
    <w:rsid w:val="002E5D69"/>
    <w:rsid w:val="002F3309"/>
    <w:rsid w:val="003009B7"/>
    <w:rsid w:val="00300E56"/>
    <w:rsid w:val="0030469C"/>
    <w:rsid w:val="00305BB2"/>
    <w:rsid w:val="003160D0"/>
    <w:rsid w:val="00321CA6"/>
    <w:rsid w:val="00323763"/>
    <w:rsid w:val="003253BA"/>
    <w:rsid w:val="00334C09"/>
    <w:rsid w:val="00346646"/>
    <w:rsid w:val="003723D4"/>
    <w:rsid w:val="00381905"/>
    <w:rsid w:val="00384CC8"/>
    <w:rsid w:val="003871FD"/>
    <w:rsid w:val="003A1E30"/>
    <w:rsid w:val="003A55C6"/>
    <w:rsid w:val="003A6561"/>
    <w:rsid w:val="003A7D1C"/>
    <w:rsid w:val="003B16E8"/>
    <w:rsid w:val="003B304B"/>
    <w:rsid w:val="003B3146"/>
    <w:rsid w:val="003E6D91"/>
    <w:rsid w:val="003F015E"/>
    <w:rsid w:val="003F1137"/>
    <w:rsid w:val="003F5544"/>
    <w:rsid w:val="00400414"/>
    <w:rsid w:val="00403780"/>
    <w:rsid w:val="00412957"/>
    <w:rsid w:val="0041446B"/>
    <w:rsid w:val="004268B5"/>
    <w:rsid w:val="0043341A"/>
    <w:rsid w:val="0044329C"/>
    <w:rsid w:val="00457780"/>
    <w:rsid w:val="004577FE"/>
    <w:rsid w:val="00457B9C"/>
    <w:rsid w:val="0046164A"/>
    <w:rsid w:val="004628D2"/>
    <w:rsid w:val="00462DCD"/>
    <w:rsid w:val="004648AD"/>
    <w:rsid w:val="004703A9"/>
    <w:rsid w:val="00475927"/>
    <w:rsid w:val="004760DE"/>
    <w:rsid w:val="004763D7"/>
    <w:rsid w:val="004A004E"/>
    <w:rsid w:val="004A24CF"/>
    <w:rsid w:val="004B38F8"/>
    <w:rsid w:val="004C3D1D"/>
    <w:rsid w:val="004C4A70"/>
    <w:rsid w:val="004C7913"/>
    <w:rsid w:val="004E4DD6"/>
    <w:rsid w:val="004F558C"/>
    <w:rsid w:val="004F5E36"/>
    <w:rsid w:val="00500A1A"/>
    <w:rsid w:val="00507A22"/>
    <w:rsid w:val="00507B47"/>
    <w:rsid w:val="00507BEF"/>
    <w:rsid w:val="00507CC9"/>
    <w:rsid w:val="005119A5"/>
    <w:rsid w:val="00525ADF"/>
    <w:rsid w:val="005278B7"/>
    <w:rsid w:val="00532016"/>
    <w:rsid w:val="005346C8"/>
    <w:rsid w:val="00540060"/>
    <w:rsid w:val="00543E7D"/>
    <w:rsid w:val="00547A68"/>
    <w:rsid w:val="005531C9"/>
    <w:rsid w:val="00570C43"/>
    <w:rsid w:val="00582C63"/>
    <w:rsid w:val="0059481B"/>
    <w:rsid w:val="005A41F3"/>
    <w:rsid w:val="005B2110"/>
    <w:rsid w:val="005B61E6"/>
    <w:rsid w:val="005C7515"/>
    <w:rsid w:val="005C77E1"/>
    <w:rsid w:val="005D2AC5"/>
    <w:rsid w:val="005D64B3"/>
    <w:rsid w:val="005D668A"/>
    <w:rsid w:val="005D6A2F"/>
    <w:rsid w:val="005E1A82"/>
    <w:rsid w:val="005E794C"/>
    <w:rsid w:val="005F0A28"/>
    <w:rsid w:val="005F0E5E"/>
    <w:rsid w:val="00600535"/>
    <w:rsid w:val="0060576D"/>
    <w:rsid w:val="00610CD6"/>
    <w:rsid w:val="00620DEE"/>
    <w:rsid w:val="00621F92"/>
    <w:rsid w:val="0062280A"/>
    <w:rsid w:val="00625639"/>
    <w:rsid w:val="00631B33"/>
    <w:rsid w:val="0064184D"/>
    <w:rsid w:val="006422CC"/>
    <w:rsid w:val="00645369"/>
    <w:rsid w:val="00651C99"/>
    <w:rsid w:val="00660E3E"/>
    <w:rsid w:val="00662E74"/>
    <w:rsid w:val="006644D6"/>
    <w:rsid w:val="00674B35"/>
    <w:rsid w:val="00680C23"/>
    <w:rsid w:val="00693766"/>
    <w:rsid w:val="006A3281"/>
    <w:rsid w:val="006B4888"/>
    <w:rsid w:val="006C2E45"/>
    <w:rsid w:val="006C359C"/>
    <w:rsid w:val="006C5579"/>
    <w:rsid w:val="006D108B"/>
    <w:rsid w:val="006D6E8B"/>
    <w:rsid w:val="006E737D"/>
    <w:rsid w:val="00701C6C"/>
    <w:rsid w:val="0070766D"/>
    <w:rsid w:val="007125AC"/>
    <w:rsid w:val="00720A24"/>
    <w:rsid w:val="00732386"/>
    <w:rsid w:val="0073514D"/>
    <w:rsid w:val="0074319F"/>
    <w:rsid w:val="007447F3"/>
    <w:rsid w:val="0075499F"/>
    <w:rsid w:val="007661C8"/>
    <w:rsid w:val="007705EF"/>
    <w:rsid w:val="0077098D"/>
    <w:rsid w:val="00774310"/>
    <w:rsid w:val="00775A55"/>
    <w:rsid w:val="007931FA"/>
    <w:rsid w:val="007A4861"/>
    <w:rsid w:val="007A7BBA"/>
    <w:rsid w:val="007B0C50"/>
    <w:rsid w:val="007B265D"/>
    <w:rsid w:val="007B34D1"/>
    <w:rsid w:val="007B73E3"/>
    <w:rsid w:val="007C0BEE"/>
    <w:rsid w:val="007C1A43"/>
    <w:rsid w:val="007D4C19"/>
    <w:rsid w:val="007E5687"/>
    <w:rsid w:val="007F4033"/>
    <w:rsid w:val="0080013E"/>
    <w:rsid w:val="00813288"/>
    <w:rsid w:val="00815A19"/>
    <w:rsid w:val="008168FC"/>
    <w:rsid w:val="00830996"/>
    <w:rsid w:val="008345F1"/>
    <w:rsid w:val="00865B07"/>
    <w:rsid w:val="008667EA"/>
    <w:rsid w:val="0087637F"/>
    <w:rsid w:val="00881CEC"/>
    <w:rsid w:val="00892AD5"/>
    <w:rsid w:val="008A1512"/>
    <w:rsid w:val="008A46E5"/>
    <w:rsid w:val="008B156C"/>
    <w:rsid w:val="008D32B9"/>
    <w:rsid w:val="008D433B"/>
    <w:rsid w:val="008E566E"/>
    <w:rsid w:val="0090161A"/>
    <w:rsid w:val="00901EB6"/>
    <w:rsid w:val="00904C62"/>
    <w:rsid w:val="00922BA8"/>
    <w:rsid w:val="00924DAC"/>
    <w:rsid w:val="00927058"/>
    <w:rsid w:val="00942750"/>
    <w:rsid w:val="009450CE"/>
    <w:rsid w:val="009454CD"/>
    <w:rsid w:val="00947179"/>
    <w:rsid w:val="0095164B"/>
    <w:rsid w:val="00954090"/>
    <w:rsid w:val="009573E7"/>
    <w:rsid w:val="00963E05"/>
    <w:rsid w:val="00964AE6"/>
    <w:rsid w:val="00967843"/>
    <w:rsid w:val="00967D54"/>
    <w:rsid w:val="00971028"/>
    <w:rsid w:val="0099418D"/>
    <w:rsid w:val="00996483"/>
    <w:rsid w:val="00996F5A"/>
    <w:rsid w:val="009B041A"/>
    <w:rsid w:val="009C37C3"/>
    <w:rsid w:val="009C7C86"/>
    <w:rsid w:val="009D2FF7"/>
    <w:rsid w:val="009E7884"/>
    <w:rsid w:val="009E788A"/>
    <w:rsid w:val="009F0E08"/>
    <w:rsid w:val="009F1258"/>
    <w:rsid w:val="00A1763D"/>
    <w:rsid w:val="00A17CEC"/>
    <w:rsid w:val="00A278E9"/>
    <w:rsid w:val="00A27EF0"/>
    <w:rsid w:val="00A31700"/>
    <w:rsid w:val="00A42361"/>
    <w:rsid w:val="00A42589"/>
    <w:rsid w:val="00A50B20"/>
    <w:rsid w:val="00A51390"/>
    <w:rsid w:val="00A5292A"/>
    <w:rsid w:val="00A60D13"/>
    <w:rsid w:val="00A72745"/>
    <w:rsid w:val="00A76EFC"/>
    <w:rsid w:val="00A91010"/>
    <w:rsid w:val="00A91531"/>
    <w:rsid w:val="00A9741F"/>
    <w:rsid w:val="00A97F29"/>
    <w:rsid w:val="00AA0D1E"/>
    <w:rsid w:val="00AA702E"/>
    <w:rsid w:val="00AB0964"/>
    <w:rsid w:val="00AB5011"/>
    <w:rsid w:val="00AB6233"/>
    <w:rsid w:val="00AB6B3C"/>
    <w:rsid w:val="00AC7368"/>
    <w:rsid w:val="00AC756E"/>
    <w:rsid w:val="00AD16B9"/>
    <w:rsid w:val="00AE377D"/>
    <w:rsid w:val="00AF0EBA"/>
    <w:rsid w:val="00B02C8A"/>
    <w:rsid w:val="00B07A08"/>
    <w:rsid w:val="00B17FBD"/>
    <w:rsid w:val="00B24754"/>
    <w:rsid w:val="00B315A6"/>
    <w:rsid w:val="00B31813"/>
    <w:rsid w:val="00B33365"/>
    <w:rsid w:val="00B5767D"/>
    <w:rsid w:val="00B57B36"/>
    <w:rsid w:val="00B60E13"/>
    <w:rsid w:val="00B671E5"/>
    <w:rsid w:val="00B70DD8"/>
    <w:rsid w:val="00B8686D"/>
    <w:rsid w:val="00B911EE"/>
    <w:rsid w:val="00BB1DDC"/>
    <w:rsid w:val="00BC30C9"/>
    <w:rsid w:val="00BE3E58"/>
    <w:rsid w:val="00C01616"/>
    <w:rsid w:val="00C0162B"/>
    <w:rsid w:val="00C068ED"/>
    <w:rsid w:val="00C14646"/>
    <w:rsid w:val="00C345B1"/>
    <w:rsid w:val="00C40142"/>
    <w:rsid w:val="00C564EA"/>
    <w:rsid w:val="00C57182"/>
    <w:rsid w:val="00C57863"/>
    <w:rsid w:val="00C655FD"/>
    <w:rsid w:val="00C75407"/>
    <w:rsid w:val="00C81B13"/>
    <w:rsid w:val="00C870A8"/>
    <w:rsid w:val="00C94434"/>
    <w:rsid w:val="00CA0D75"/>
    <w:rsid w:val="00CA1C95"/>
    <w:rsid w:val="00CA5A9C"/>
    <w:rsid w:val="00CC4C20"/>
    <w:rsid w:val="00CD3517"/>
    <w:rsid w:val="00CD3E46"/>
    <w:rsid w:val="00CD5FE2"/>
    <w:rsid w:val="00CE7C68"/>
    <w:rsid w:val="00D02B4C"/>
    <w:rsid w:val="00D040C4"/>
    <w:rsid w:val="00D24CD1"/>
    <w:rsid w:val="00D3452A"/>
    <w:rsid w:val="00D57C84"/>
    <w:rsid w:val="00D6057D"/>
    <w:rsid w:val="00D82616"/>
    <w:rsid w:val="00D836C5"/>
    <w:rsid w:val="00D84576"/>
    <w:rsid w:val="00D8620B"/>
    <w:rsid w:val="00DA1399"/>
    <w:rsid w:val="00DA24C6"/>
    <w:rsid w:val="00DA4D7B"/>
    <w:rsid w:val="00DB580B"/>
    <w:rsid w:val="00DE264A"/>
    <w:rsid w:val="00DE5F9E"/>
    <w:rsid w:val="00DF5072"/>
    <w:rsid w:val="00E02D18"/>
    <w:rsid w:val="00E041E7"/>
    <w:rsid w:val="00E23CA1"/>
    <w:rsid w:val="00E409A8"/>
    <w:rsid w:val="00E46B51"/>
    <w:rsid w:val="00E50C12"/>
    <w:rsid w:val="00E534BC"/>
    <w:rsid w:val="00E65B91"/>
    <w:rsid w:val="00E7209D"/>
    <w:rsid w:val="00E77223"/>
    <w:rsid w:val="00E8528B"/>
    <w:rsid w:val="00E85B94"/>
    <w:rsid w:val="00E86F4A"/>
    <w:rsid w:val="00E978D0"/>
    <w:rsid w:val="00EA4613"/>
    <w:rsid w:val="00EA58A4"/>
    <w:rsid w:val="00EA7F91"/>
    <w:rsid w:val="00EB04A8"/>
    <w:rsid w:val="00EB1523"/>
    <w:rsid w:val="00EC0E49"/>
    <w:rsid w:val="00EC101F"/>
    <w:rsid w:val="00EC1D9F"/>
    <w:rsid w:val="00EE0131"/>
    <w:rsid w:val="00EE17B0"/>
    <w:rsid w:val="00EF06D9"/>
    <w:rsid w:val="00F27845"/>
    <w:rsid w:val="00F30C64"/>
    <w:rsid w:val="00F31BC5"/>
    <w:rsid w:val="00F32CDB"/>
    <w:rsid w:val="00F404BE"/>
    <w:rsid w:val="00F4385D"/>
    <w:rsid w:val="00F565FE"/>
    <w:rsid w:val="00F63A70"/>
    <w:rsid w:val="00F63B2F"/>
    <w:rsid w:val="00F70BF4"/>
    <w:rsid w:val="00F84164"/>
    <w:rsid w:val="00F93DBB"/>
    <w:rsid w:val="00F956B6"/>
    <w:rsid w:val="00FA21D0"/>
    <w:rsid w:val="00FA5AD7"/>
    <w:rsid w:val="00FA5F5F"/>
    <w:rsid w:val="00FB730C"/>
    <w:rsid w:val="00FC2695"/>
    <w:rsid w:val="00FC3E03"/>
    <w:rsid w:val="00FC3FC1"/>
    <w:rsid w:val="00FD3E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FC97833-9DB3-470D-A2B9-C8196727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40E37"/>
    <w:pPr>
      <w:keepNext/>
      <w:suppressAutoHyphens/>
      <w:spacing w:after="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40E37"/>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63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caralcaso@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4615F-7697-4CD1-91E9-F44B123C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3544</Words>
  <Characters>19496</Characters>
  <Application>Microsoft Office Word</Application>
  <DocSecurity>0</DocSecurity>
  <Lines>162</Lines>
  <Paragraphs>45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19</cp:revision>
  <cp:lastPrinted>2015-05-12T18:31:00Z</cp:lastPrinted>
  <dcterms:created xsi:type="dcterms:W3CDTF">2021-12-30T05:37:00Z</dcterms:created>
  <dcterms:modified xsi:type="dcterms:W3CDTF">2022-02-28T02:44:00Z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