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854F71" w14:paraId="2A131A54" w14:textId="77777777" w:rsidTr="22614DBD">
        <w:trPr>
          <w:trHeight w:val="852"/>
          <w:jc w:val="center"/>
        </w:trPr>
        <w:tc>
          <w:tcPr>
            <w:tcW w:w="6946" w:type="dxa"/>
            <w:vMerge w:val="restart"/>
            <w:tcBorders>
              <w:right w:val="single" w:sz="4" w:space="0" w:color="auto"/>
            </w:tcBorders>
          </w:tcPr>
          <w:p w14:paraId="38C3D2BA" w14:textId="0E998AD2" w:rsidR="000A03B2" w:rsidRPr="00854F71" w:rsidRDefault="000A03B2" w:rsidP="22614DBD">
            <w:pPr>
              <w:ind w:left="-108"/>
              <w:jc w:val="left"/>
              <w:rPr>
                <w:rFonts w:cs="Arial"/>
                <w:b/>
                <w:bCs/>
                <w:i/>
                <w:iCs/>
                <w:color w:val="000066"/>
                <w:sz w:val="12"/>
                <w:szCs w:val="12"/>
                <w:lang w:eastAsia="it-IT"/>
              </w:rPr>
            </w:pPr>
            <w:r>
              <w:rPr>
                <w:noProof/>
              </w:rPr>
              <w:drawing>
                <wp:inline distT="0" distB="0" distL="0" distR="0" wp14:anchorId="02B7C3D3" wp14:editId="7473FB04">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pic:nvPicPr>
                        <pic:blipFill>
                          <a:blip r:embed="rId8">
                            <a:extLst>
                              <a:ext uri="{28A0092B-C50C-407E-A947-70E740481C1C}">
                                <a14:useLocalDpi xmlns:a14="http://schemas.microsoft.com/office/drawing/2010/main" val="0"/>
                              </a:ext>
                            </a:extLst>
                          </a:blip>
                          <a:stretch>
                            <a:fillRect/>
                          </a:stretch>
                        </pic:blipFill>
                        <pic:spPr>
                          <a:xfrm>
                            <a:off x="0" y="0"/>
                            <a:ext cx="640080" cy="373380"/>
                          </a:xfrm>
                          <a:prstGeom prst="rect">
                            <a:avLst/>
                          </a:prstGeom>
                        </pic:spPr>
                      </pic:pic>
                    </a:graphicData>
                  </a:graphic>
                </wp:inline>
              </w:drawing>
            </w:r>
            <w:r w:rsidRPr="22614DBD">
              <w:rPr>
                <w:rFonts w:ascii="AdvP6960" w:hAnsi="AdvP6960" w:cs="AdvP6960"/>
                <w:color w:val="241F20"/>
                <w:lang w:eastAsia="it-IT"/>
              </w:rPr>
              <w:t xml:space="preserve"> </w:t>
            </w:r>
            <w:r w:rsidRPr="22614DBD">
              <w:rPr>
                <w:rFonts w:cs="Arial"/>
                <w:b/>
                <w:bCs/>
                <w:i/>
                <w:iCs/>
                <w:color w:val="000066"/>
                <w:sz w:val="24"/>
                <w:szCs w:val="24"/>
                <w:lang w:eastAsia="it-IT"/>
              </w:rPr>
              <w:t>CHEMICAL ENGINEERING</w:t>
            </w:r>
            <w:r w:rsidRPr="22614DBD">
              <w:rPr>
                <w:rFonts w:cs="Arial"/>
                <w:b/>
                <w:bCs/>
                <w:i/>
                <w:iCs/>
                <w:color w:val="0033FF"/>
                <w:sz w:val="24"/>
                <w:szCs w:val="24"/>
                <w:lang w:eastAsia="it-IT"/>
              </w:rPr>
              <w:t xml:space="preserve"> </w:t>
            </w:r>
            <w:r w:rsidRPr="22614DBD">
              <w:rPr>
                <w:rFonts w:cs="Arial"/>
                <w:b/>
                <w:bCs/>
                <w:i/>
                <w:iCs/>
                <w:color w:val="666666"/>
                <w:sz w:val="24"/>
                <w:szCs w:val="24"/>
                <w:lang w:eastAsia="it-IT"/>
              </w:rPr>
              <w:t>TRANSACTIONS</w:t>
            </w:r>
            <w:r w:rsidRPr="22614DBD">
              <w:rPr>
                <w:color w:val="333333"/>
                <w:sz w:val="24"/>
                <w:szCs w:val="24"/>
                <w:lang w:eastAsia="it-IT"/>
              </w:rPr>
              <w:t xml:space="preserve"> </w:t>
            </w:r>
            <w:r w:rsidR="00C6470A">
              <w:br/>
            </w:r>
          </w:p>
          <w:p w14:paraId="4B780582" w14:textId="740002EE" w:rsidR="000A03B2" w:rsidRPr="00854F71" w:rsidRDefault="00A76EFC" w:rsidP="00B57E6F">
            <w:pPr>
              <w:tabs>
                <w:tab w:val="left" w:pos="-108"/>
              </w:tabs>
              <w:ind w:left="-108"/>
              <w:rPr>
                <w:rFonts w:cs="Arial"/>
                <w:b/>
                <w:bCs/>
                <w:i/>
                <w:iCs/>
                <w:color w:val="000066"/>
                <w:sz w:val="22"/>
                <w:szCs w:val="22"/>
                <w:lang w:eastAsia="it-IT"/>
              </w:rPr>
            </w:pPr>
            <w:r w:rsidRPr="00854F71">
              <w:rPr>
                <w:rFonts w:cs="Arial"/>
                <w:b/>
                <w:bCs/>
                <w:i/>
                <w:iCs/>
                <w:color w:val="000066"/>
                <w:sz w:val="22"/>
                <w:szCs w:val="22"/>
                <w:lang w:eastAsia="it-IT"/>
              </w:rPr>
              <w:t xml:space="preserve">VOL. </w:t>
            </w:r>
            <w:r w:rsidR="00D46B7E" w:rsidRPr="00854F71">
              <w:rPr>
                <w:rFonts w:cs="Arial"/>
                <w:b/>
                <w:bCs/>
                <w:i/>
                <w:iCs/>
                <w:color w:val="000066"/>
                <w:sz w:val="22"/>
                <w:szCs w:val="22"/>
                <w:lang w:eastAsia="it-IT"/>
              </w:rPr>
              <w:t>9</w:t>
            </w:r>
            <w:r w:rsidR="00B57E6F" w:rsidRPr="00854F71">
              <w:rPr>
                <w:rFonts w:cs="Arial"/>
                <w:b/>
                <w:bCs/>
                <w:i/>
                <w:iCs/>
                <w:color w:val="000066"/>
                <w:sz w:val="22"/>
                <w:szCs w:val="22"/>
                <w:lang w:eastAsia="it-IT"/>
              </w:rPr>
              <w:t>1</w:t>
            </w:r>
            <w:r w:rsidR="007B48F9" w:rsidRPr="00854F71">
              <w:rPr>
                <w:rFonts w:cs="Arial"/>
                <w:b/>
                <w:bCs/>
                <w:i/>
                <w:iCs/>
                <w:color w:val="000066"/>
                <w:sz w:val="22"/>
                <w:szCs w:val="22"/>
                <w:lang w:eastAsia="it-IT"/>
              </w:rPr>
              <w:t>,</w:t>
            </w:r>
            <w:r w:rsidR="00FA5F5F" w:rsidRPr="00854F71">
              <w:rPr>
                <w:rFonts w:cs="Arial"/>
                <w:b/>
                <w:bCs/>
                <w:i/>
                <w:iCs/>
                <w:color w:val="000066"/>
                <w:sz w:val="22"/>
                <w:szCs w:val="22"/>
                <w:lang w:eastAsia="it-IT"/>
              </w:rPr>
              <w:t xml:space="preserve"> 20</w:t>
            </w:r>
            <w:r w:rsidR="00DF5072" w:rsidRPr="00854F71">
              <w:rPr>
                <w:rFonts w:cs="Arial"/>
                <w:b/>
                <w:bCs/>
                <w:i/>
                <w:iCs/>
                <w:color w:val="000066"/>
                <w:sz w:val="22"/>
                <w:szCs w:val="22"/>
                <w:lang w:eastAsia="it-IT"/>
              </w:rPr>
              <w:t>2</w:t>
            </w:r>
            <w:r w:rsidR="007B48F9" w:rsidRPr="00854F71">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854F71" w:rsidRDefault="000A03B2" w:rsidP="00CD5FE2">
            <w:pPr>
              <w:spacing w:line="140" w:lineRule="atLeast"/>
              <w:jc w:val="right"/>
              <w:rPr>
                <w:rFonts w:cs="Arial"/>
                <w:sz w:val="14"/>
                <w:szCs w:val="14"/>
              </w:rPr>
            </w:pPr>
            <w:r w:rsidRPr="00854F71">
              <w:rPr>
                <w:rFonts w:cs="Arial"/>
                <w:sz w:val="14"/>
                <w:szCs w:val="14"/>
              </w:rPr>
              <w:t>A publication of</w:t>
            </w:r>
          </w:p>
          <w:p w14:paraId="599E5441" w14:textId="77777777" w:rsidR="000A03B2" w:rsidRPr="00854F71" w:rsidRDefault="000A03B2" w:rsidP="00CD5FE2">
            <w:pPr>
              <w:jc w:val="right"/>
            </w:pPr>
            <w:r w:rsidRPr="00854F71">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7D124B" w14:paraId="380FA3CD" w14:textId="77777777" w:rsidTr="22614DBD">
        <w:trPr>
          <w:trHeight w:val="567"/>
          <w:jc w:val="center"/>
        </w:trPr>
        <w:tc>
          <w:tcPr>
            <w:tcW w:w="6946" w:type="dxa"/>
            <w:vMerge/>
          </w:tcPr>
          <w:p w14:paraId="39E5E4C1" w14:textId="77777777" w:rsidR="000A03B2" w:rsidRPr="00854F71"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854F71" w:rsidRDefault="000A03B2" w:rsidP="00CD5FE2">
            <w:pPr>
              <w:spacing w:line="140" w:lineRule="atLeast"/>
              <w:jc w:val="right"/>
              <w:rPr>
                <w:rFonts w:cs="Arial"/>
                <w:sz w:val="14"/>
                <w:szCs w:val="14"/>
              </w:rPr>
            </w:pPr>
            <w:r w:rsidRPr="00854F71">
              <w:rPr>
                <w:rFonts w:cs="Arial"/>
                <w:sz w:val="14"/>
                <w:szCs w:val="14"/>
              </w:rPr>
              <w:t>The Italian Association</w:t>
            </w:r>
          </w:p>
          <w:p w14:paraId="7522B1D2" w14:textId="77777777" w:rsidR="000A03B2" w:rsidRPr="00854F71" w:rsidRDefault="000A03B2" w:rsidP="00CD5FE2">
            <w:pPr>
              <w:spacing w:line="140" w:lineRule="atLeast"/>
              <w:jc w:val="right"/>
              <w:rPr>
                <w:rFonts w:cs="Arial"/>
                <w:sz w:val="14"/>
                <w:szCs w:val="14"/>
              </w:rPr>
            </w:pPr>
            <w:r w:rsidRPr="00854F71">
              <w:rPr>
                <w:rFonts w:cs="Arial"/>
                <w:sz w:val="14"/>
                <w:szCs w:val="14"/>
              </w:rPr>
              <w:t>of Chemical Engineering</w:t>
            </w:r>
          </w:p>
          <w:p w14:paraId="4F0CC5DE" w14:textId="47FDB2FC" w:rsidR="000A03B2" w:rsidRPr="007F4ACD" w:rsidRDefault="000D0268" w:rsidP="00CD5FE2">
            <w:pPr>
              <w:spacing w:line="140" w:lineRule="atLeast"/>
              <w:jc w:val="right"/>
              <w:rPr>
                <w:rFonts w:cs="Arial"/>
                <w:sz w:val="13"/>
                <w:szCs w:val="13"/>
                <w:lang w:val="nb-NO"/>
              </w:rPr>
            </w:pPr>
            <w:r w:rsidRPr="007F4ACD">
              <w:rPr>
                <w:rFonts w:cs="Arial"/>
                <w:sz w:val="13"/>
                <w:szCs w:val="13"/>
                <w:lang w:val="nb-NO"/>
              </w:rPr>
              <w:t>Online at www.cetjournal.it</w:t>
            </w:r>
          </w:p>
        </w:tc>
      </w:tr>
      <w:tr w:rsidR="000A03B2" w:rsidRPr="00854F71" w14:paraId="2D1B7169" w14:textId="77777777" w:rsidTr="22614DBD">
        <w:trPr>
          <w:trHeight w:val="68"/>
          <w:jc w:val="center"/>
        </w:trPr>
        <w:tc>
          <w:tcPr>
            <w:tcW w:w="8789" w:type="dxa"/>
            <w:gridSpan w:val="2"/>
          </w:tcPr>
          <w:p w14:paraId="4B0BB442" w14:textId="4EADF2C2" w:rsidR="00300E56" w:rsidRPr="007F4ACD" w:rsidRDefault="00300E56" w:rsidP="00B57E6F">
            <w:pPr>
              <w:ind w:left="-107"/>
              <w:outlineLvl w:val="2"/>
              <w:rPr>
                <w:rFonts w:ascii="Tahoma" w:hAnsi="Tahoma" w:cs="Tahoma"/>
                <w:bCs/>
                <w:color w:val="000000"/>
                <w:sz w:val="14"/>
                <w:szCs w:val="14"/>
                <w:lang w:val="it-IT" w:eastAsia="it-IT"/>
              </w:rPr>
            </w:pPr>
            <w:r w:rsidRPr="007F4ACD">
              <w:rPr>
                <w:rFonts w:ascii="Tahoma" w:hAnsi="Tahoma" w:cs="Tahoma"/>
                <w:iCs/>
                <w:color w:val="333333"/>
                <w:sz w:val="14"/>
                <w:szCs w:val="14"/>
                <w:lang w:val="it-IT" w:eastAsia="it-IT"/>
              </w:rPr>
              <w:t>Guest Editors:</w:t>
            </w:r>
            <w:r w:rsidR="00904C62" w:rsidRPr="007F4ACD">
              <w:rPr>
                <w:rFonts w:ascii="Tahoma" w:hAnsi="Tahoma" w:cs="Tahoma"/>
                <w:iCs/>
                <w:color w:val="333333"/>
                <w:sz w:val="14"/>
                <w:szCs w:val="14"/>
                <w:lang w:val="it-IT" w:eastAsia="it-IT"/>
              </w:rPr>
              <w:t xml:space="preserve"> </w:t>
            </w:r>
            <w:r w:rsidR="00B57E6F" w:rsidRPr="007F4ACD">
              <w:rPr>
                <w:rFonts w:ascii="Tahoma" w:hAnsi="Tahoma" w:cs="Tahoma"/>
                <w:color w:val="000000"/>
                <w:sz w:val="14"/>
                <w:szCs w:val="14"/>
                <w:shd w:val="clear" w:color="auto" w:fill="FFFFFF"/>
                <w:lang w:val="it-IT"/>
              </w:rPr>
              <w:t xml:space="preserve">Valerio Cozzani, </w:t>
            </w:r>
            <w:r w:rsidR="001331DF" w:rsidRPr="007F4ACD">
              <w:rPr>
                <w:rFonts w:ascii="Tahoma" w:hAnsi="Tahoma" w:cs="Tahoma"/>
                <w:color w:val="000000"/>
                <w:sz w:val="14"/>
                <w:szCs w:val="14"/>
                <w:shd w:val="clear" w:color="auto" w:fill="FFFFFF"/>
                <w:lang w:val="it-IT"/>
              </w:rPr>
              <w:t>Bruno Fabiano</w:t>
            </w:r>
            <w:r w:rsidR="00B57E6F" w:rsidRPr="007F4ACD">
              <w:rPr>
                <w:rFonts w:ascii="Tahoma" w:hAnsi="Tahoma" w:cs="Tahoma"/>
                <w:color w:val="000000"/>
                <w:sz w:val="14"/>
                <w:szCs w:val="14"/>
                <w:shd w:val="clear" w:color="auto" w:fill="FFFFFF"/>
                <w:lang w:val="it-IT"/>
              </w:rPr>
              <w:t xml:space="preserve">, </w:t>
            </w:r>
            <w:r w:rsidR="00B57E6F" w:rsidRPr="007F4ACD">
              <w:rPr>
                <w:rFonts w:ascii="Tahoma" w:hAnsi="Tahoma" w:cs="Tahoma"/>
                <w:bCs/>
                <w:color w:val="000000"/>
                <w:sz w:val="14"/>
                <w:szCs w:val="14"/>
                <w:lang w:val="it-IT" w:eastAsia="it-IT"/>
              </w:rPr>
              <w:t>Genserik Reniers</w:t>
            </w:r>
          </w:p>
          <w:p w14:paraId="1B0F1814" w14:textId="08709475" w:rsidR="000A03B2" w:rsidRPr="00854F71" w:rsidRDefault="00FA5F5F" w:rsidP="00B57E6F">
            <w:pPr>
              <w:tabs>
                <w:tab w:val="left" w:pos="-108"/>
              </w:tabs>
              <w:spacing w:line="140" w:lineRule="atLeast"/>
              <w:ind w:left="-107"/>
              <w:jc w:val="left"/>
            </w:pPr>
            <w:r w:rsidRPr="00854F71">
              <w:rPr>
                <w:rFonts w:ascii="Tahoma" w:hAnsi="Tahoma" w:cs="Tahoma"/>
                <w:iCs/>
                <w:color w:val="333333"/>
                <w:sz w:val="14"/>
                <w:szCs w:val="14"/>
                <w:lang w:eastAsia="it-IT"/>
              </w:rPr>
              <w:t>Copyright © 20</w:t>
            </w:r>
            <w:r w:rsidR="00DF5072" w:rsidRPr="00854F71">
              <w:rPr>
                <w:rFonts w:ascii="Tahoma" w:hAnsi="Tahoma" w:cs="Tahoma"/>
                <w:iCs/>
                <w:color w:val="333333"/>
                <w:sz w:val="14"/>
                <w:szCs w:val="14"/>
                <w:lang w:eastAsia="it-IT"/>
              </w:rPr>
              <w:t>2</w:t>
            </w:r>
            <w:r w:rsidR="00E72EAD" w:rsidRPr="00854F71">
              <w:rPr>
                <w:rFonts w:ascii="Tahoma" w:hAnsi="Tahoma" w:cs="Tahoma"/>
                <w:iCs/>
                <w:color w:val="333333"/>
                <w:sz w:val="14"/>
                <w:szCs w:val="14"/>
                <w:lang w:eastAsia="it-IT"/>
              </w:rPr>
              <w:t>2</w:t>
            </w:r>
            <w:r w:rsidR="00904C62" w:rsidRPr="00854F71">
              <w:rPr>
                <w:rFonts w:ascii="Tahoma" w:hAnsi="Tahoma" w:cs="Tahoma"/>
                <w:iCs/>
                <w:color w:val="333333"/>
                <w:sz w:val="14"/>
                <w:szCs w:val="14"/>
                <w:lang w:eastAsia="it-IT"/>
              </w:rPr>
              <w:t xml:space="preserve">, AIDIC </w:t>
            </w:r>
            <w:proofErr w:type="spellStart"/>
            <w:r w:rsidR="00904C62" w:rsidRPr="00854F71">
              <w:rPr>
                <w:rFonts w:ascii="Tahoma" w:hAnsi="Tahoma" w:cs="Tahoma"/>
                <w:iCs/>
                <w:color w:val="333333"/>
                <w:sz w:val="14"/>
                <w:szCs w:val="14"/>
                <w:lang w:eastAsia="it-IT"/>
              </w:rPr>
              <w:t>Servizi</w:t>
            </w:r>
            <w:proofErr w:type="spellEnd"/>
            <w:r w:rsidR="00904C62" w:rsidRPr="00854F71">
              <w:rPr>
                <w:rFonts w:ascii="Tahoma" w:hAnsi="Tahoma" w:cs="Tahoma"/>
                <w:iCs/>
                <w:color w:val="333333"/>
                <w:sz w:val="14"/>
                <w:szCs w:val="14"/>
                <w:lang w:eastAsia="it-IT"/>
              </w:rPr>
              <w:t xml:space="preserve"> </w:t>
            </w:r>
            <w:proofErr w:type="spellStart"/>
            <w:r w:rsidR="00904C62" w:rsidRPr="00854F71">
              <w:rPr>
                <w:rFonts w:ascii="Tahoma" w:hAnsi="Tahoma" w:cs="Tahoma"/>
                <w:iCs/>
                <w:color w:val="333333"/>
                <w:sz w:val="14"/>
                <w:szCs w:val="14"/>
                <w:lang w:eastAsia="it-IT"/>
              </w:rPr>
              <w:t>S.r.l</w:t>
            </w:r>
            <w:proofErr w:type="spellEnd"/>
            <w:r w:rsidR="00904C62" w:rsidRPr="00854F71">
              <w:rPr>
                <w:rFonts w:ascii="Tahoma" w:hAnsi="Tahoma" w:cs="Tahoma"/>
                <w:iCs/>
                <w:color w:val="333333"/>
                <w:sz w:val="14"/>
                <w:szCs w:val="14"/>
                <w:lang w:eastAsia="it-IT"/>
              </w:rPr>
              <w:t>.</w:t>
            </w:r>
            <w:r w:rsidR="00300E56" w:rsidRPr="00854F71">
              <w:rPr>
                <w:rFonts w:ascii="Tahoma" w:hAnsi="Tahoma" w:cs="Tahoma"/>
                <w:iCs/>
                <w:color w:val="333333"/>
                <w:sz w:val="14"/>
                <w:szCs w:val="14"/>
                <w:lang w:eastAsia="it-IT"/>
              </w:rPr>
              <w:br/>
            </w:r>
            <w:r w:rsidR="00300E56" w:rsidRPr="00854F71">
              <w:rPr>
                <w:rFonts w:ascii="Tahoma" w:hAnsi="Tahoma" w:cs="Tahoma"/>
                <w:b/>
                <w:iCs/>
                <w:color w:val="000000"/>
                <w:sz w:val="14"/>
                <w:szCs w:val="14"/>
                <w:lang w:eastAsia="it-IT"/>
              </w:rPr>
              <w:t>ISBN</w:t>
            </w:r>
            <w:r w:rsidR="00300E56" w:rsidRPr="00854F71">
              <w:rPr>
                <w:rFonts w:ascii="Tahoma" w:hAnsi="Tahoma" w:cs="Tahoma"/>
                <w:iCs/>
                <w:color w:val="000000"/>
                <w:sz w:val="14"/>
                <w:szCs w:val="14"/>
                <w:lang w:eastAsia="it-IT"/>
              </w:rPr>
              <w:t xml:space="preserve"> </w:t>
            </w:r>
            <w:r w:rsidR="008D32B9" w:rsidRPr="00854F71">
              <w:rPr>
                <w:rFonts w:ascii="Tahoma" w:hAnsi="Tahoma" w:cs="Tahoma"/>
                <w:sz w:val="14"/>
                <w:szCs w:val="14"/>
              </w:rPr>
              <w:t>978-88-95608</w:t>
            </w:r>
            <w:r w:rsidR="00D46B7E" w:rsidRPr="00854F71">
              <w:rPr>
                <w:rFonts w:ascii="Tahoma" w:hAnsi="Tahoma" w:cs="Tahoma"/>
                <w:sz w:val="14"/>
                <w:szCs w:val="14"/>
              </w:rPr>
              <w:t>-8</w:t>
            </w:r>
            <w:r w:rsidR="00B57E6F" w:rsidRPr="00854F71">
              <w:rPr>
                <w:rFonts w:ascii="Tahoma" w:hAnsi="Tahoma" w:cs="Tahoma"/>
                <w:sz w:val="14"/>
                <w:szCs w:val="14"/>
              </w:rPr>
              <w:t>9</w:t>
            </w:r>
            <w:r w:rsidR="00D46B7E" w:rsidRPr="00854F71">
              <w:rPr>
                <w:rFonts w:ascii="Tahoma" w:hAnsi="Tahoma" w:cs="Tahoma"/>
                <w:sz w:val="14"/>
                <w:szCs w:val="14"/>
              </w:rPr>
              <w:t>-</w:t>
            </w:r>
            <w:r w:rsidR="00B57E6F" w:rsidRPr="00854F71">
              <w:rPr>
                <w:rFonts w:ascii="Tahoma" w:hAnsi="Tahoma" w:cs="Tahoma"/>
                <w:sz w:val="14"/>
                <w:szCs w:val="14"/>
              </w:rPr>
              <w:t>1</w:t>
            </w:r>
            <w:r w:rsidR="007B48F9" w:rsidRPr="00854F71">
              <w:rPr>
                <w:rFonts w:ascii="Tahoma" w:hAnsi="Tahoma" w:cs="Tahoma"/>
                <w:iCs/>
                <w:color w:val="333333"/>
                <w:sz w:val="14"/>
                <w:szCs w:val="14"/>
                <w:lang w:eastAsia="it-IT"/>
              </w:rPr>
              <w:t>;</w:t>
            </w:r>
            <w:r w:rsidR="00300E56" w:rsidRPr="00854F71">
              <w:rPr>
                <w:rFonts w:ascii="Tahoma" w:hAnsi="Tahoma" w:cs="Tahoma"/>
                <w:iCs/>
                <w:color w:val="333333"/>
                <w:sz w:val="14"/>
                <w:szCs w:val="14"/>
                <w:lang w:eastAsia="it-IT"/>
              </w:rPr>
              <w:t xml:space="preserve"> </w:t>
            </w:r>
            <w:r w:rsidR="00300E56" w:rsidRPr="00854F71">
              <w:rPr>
                <w:rFonts w:ascii="Tahoma" w:hAnsi="Tahoma" w:cs="Tahoma"/>
                <w:b/>
                <w:iCs/>
                <w:color w:val="333333"/>
                <w:sz w:val="14"/>
                <w:szCs w:val="14"/>
                <w:lang w:eastAsia="it-IT"/>
              </w:rPr>
              <w:t>ISSN</w:t>
            </w:r>
            <w:r w:rsidR="00300E56" w:rsidRPr="00854F71">
              <w:rPr>
                <w:rFonts w:ascii="Tahoma" w:hAnsi="Tahoma" w:cs="Tahoma"/>
                <w:iCs/>
                <w:color w:val="333333"/>
                <w:sz w:val="14"/>
                <w:szCs w:val="14"/>
                <w:lang w:eastAsia="it-IT"/>
              </w:rPr>
              <w:t xml:space="preserve"> 2283-9216</w:t>
            </w:r>
          </w:p>
        </w:tc>
      </w:tr>
    </w:tbl>
    <w:p w14:paraId="10DAA130" w14:textId="77777777" w:rsidR="000A03B2" w:rsidRPr="00854F71" w:rsidRDefault="000A03B2" w:rsidP="000A03B2">
      <w:pPr>
        <w:pStyle w:val="CETAuthors"/>
        <w:sectPr w:rsidR="000A03B2" w:rsidRPr="00854F71" w:rsidSect="00CD5FE2">
          <w:type w:val="continuous"/>
          <w:pgSz w:w="11906" w:h="16838" w:code="9"/>
          <w:pgMar w:top="1701" w:right="1418" w:bottom="1701" w:left="1701" w:header="1701" w:footer="0" w:gutter="0"/>
          <w:cols w:space="708"/>
          <w:titlePg/>
          <w:docGrid w:linePitch="360"/>
        </w:sectPr>
      </w:pPr>
    </w:p>
    <w:p w14:paraId="2E667253" w14:textId="65C9033F" w:rsidR="00E978D0" w:rsidRPr="00854F71" w:rsidRDefault="009543A3" w:rsidP="00E978D0">
      <w:pPr>
        <w:pStyle w:val="CETTitle"/>
      </w:pPr>
      <w:r w:rsidRPr="00854F71">
        <w:t>Prediction of Condensed Phase Formation during an Accidental Release of Liquid Hydrogen</w:t>
      </w:r>
    </w:p>
    <w:p w14:paraId="0488FED2" w14:textId="134F3657" w:rsidR="00B57E6F" w:rsidRPr="007F4ACD" w:rsidRDefault="009543A3" w:rsidP="00B57E6F">
      <w:pPr>
        <w:pStyle w:val="CETAuthors"/>
        <w:rPr>
          <w:lang w:val="it-IT"/>
        </w:rPr>
      </w:pPr>
      <w:r w:rsidRPr="007F4ACD">
        <w:rPr>
          <w:lang w:val="it-IT"/>
        </w:rPr>
        <w:t>Federico Ustolin</w:t>
      </w:r>
      <w:r w:rsidR="00B57E6F" w:rsidRPr="007F4ACD">
        <w:rPr>
          <w:vertAlign w:val="superscript"/>
          <w:lang w:val="it-IT"/>
        </w:rPr>
        <w:t>a</w:t>
      </w:r>
      <w:r w:rsidR="00215635" w:rsidRPr="007F4ACD">
        <w:rPr>
          <w:lang w:val="it-IT"/>
        </w:rPr>
        <w:t>*</w:t>
      </w:r>
      <w:r w:rsidR="00B57E6F" w:rsidRPr="007F4ACD">
        <w:rPr>
          <w:lang w:val="it-IT"/>
        </w:rPr>
        <w:t xml:space="preserve">, </w:t>
      </w:r>
      <w:r w:rsidRPr="007F4ACD">
        <w:rPr>
          <w:lang w:val="it-IT"/>
        </w:rPr>
        <w:t>Federica Ferrari</w:t>
      </w:r>
      <w:r w:rsidR="00215635" w:rsidRPr="007F4ACD">
        <w:rPr>
          <w:vertAlign w:val="superscript"/>
          <w:lang w:val="it-IT"/>
        </w:rPr>
        <w:t>a</w:t>
      </w:r>
      <w:r w:rsidR="00B57E6F" w:rsidRPr="007F4ACD">
        <w:rPr>
          <w:vertAlign w:val="superscript"/>
          <w:lang w:val="it-IT"/>
        </w:rPr>
        <w:t>,</w:t>
      </w:r>
      <w:r w:rsidR="00215635" w:rsidRPr="007F4ACD">
        <w:rPr>
          <w:vertAlign w:val="superscript"/>
          <w:lang w:val="it-IT"/>
        </w:rPr>
        <w:t>b</w:t>
      </w:r>
      <w:r w:rsidR="00B57E6F" w:rsidRPr="007F4ACD">
        <w:rPr>
          <w:lang w:val="it-IT"/>
        </w:rPr>
        <w:t xml:space="preserve">, </w:t>
      </w:r>
      <w:r w:rsidR="00215635" w:rsidRPr="007F4ACD">
        <w:rPr>
          <w:lang w:val="it-IT"/>
        </w:rPr>
        <w:t>Nicola Paltrinieri</w:t>
      </w:r>
      <w:r w:rsidR="00215635" w:rsidRPr="007F4ACD">
        <w:rPr>
          <w:vertAlign w:val="superscript"/>
          <w:lang w:val="it-IT"/>
        </w:rPr>
        <w:t>a,b</w:t>
      </w:r>
    </w:p>
    <w:p w14:paraId="59F96BDA" w14:textId="77777777" w:rsidR="00FD41C1" w:rsidRPr="00854F71" w:rsidRDefault="00FD41C1" w:rsidP="00FD41C1">
      <w:pPr>
        <w:pStyle w:val="CETAddress"/>
      </w:pPr>
      <w:r w:rsidRPr="00854F71">
        <w:rPr>
          <w:vertAlign w:val="superscript"/>
        </w:rPr>
        <w:t>a</w:t>
      </w:r>
      <w:r w:rsidRPr="00854F71">
        <w:t xml:space="preserve">Department of Mechanical and Industrial Engineering, Norwegian University of Science and Technology NTNU, Richard Birkelands vei 2B, 7034 Trondheim, Norway </w:t>
      </w:r>
    </w:p>
    <w:p w14:paraId="50AB6562" w14:textId="77777777" w:rsidR="00FD41C1" w:rsidRPr="007F4ACD" w:rsidRDefault="00FD41C1" w:rsidP="00FD41C1">
      <w:pPr>
        <w:pStyle w:val="CETAddress"/>
        <w:rPr>
          <w:lang w:val="it-IT"/>
        </w:rPr>
      </w:pPr>
      <w:r w:rsidRPr="007F4ACD">
        <w:rPr>
          <w:vertAlign w:val="superscript"/>
          <w:lang w:val="it-IT"/>
        </w:rPr>
        <w:t>b</w:t>
      </w:r>
      <w:r w:rsidRPr="007F4ACD">
        <w:rPr>
          <w:lang w:val="it-IT"/>
        </w:rPr>
        <w:t xml:space="preserve">Dipartimento di Ingegneria Civile, Chimica, Ambientale e dei Materiali, Università degli studi di Bologna, Via Terracini 28, 40131 Bologna, Italy </w:t>
      </w:r>
    </w:p>
    <w:p w14:paraId="73F1267A" w14:textId="5A5D3C9D" w:rsidR="00B57E6F" w:rsidRPr="00854F71" w:rsidRDefault="00FD41C1" w:rsidP="00FD41C1">
      <w:pPr>
        <w:pStyle w:val="CETemail"/>
      </w:pPr>
      <w:r w:rsidRPr="007F4ACD">
        <w:rPr>
          <w:lang w:val="it-IT"/>
        </w:rPr>
        <w:t xml:space="preserve"> </w:t>
      </w:r>
      <w:r w:rsidRPr="00854F71">
        <w:t>federico.ustolin@ntnu.no</w:t>
      </w:r>
    </w:p>
    <w:p w14:paraId="37A61FCE" w14:textId="775E5654" w:rsidR="00DA24C6" w:rsidRPr="00854F71" w:rsidRDefault="00C667B6" w:rsidP="00C667B6">
      <w:pPr>
        <w:pStyle w:val="CETBodytext"/>
        <w:rPr>
          <w:lang w:val="en-GB"/>
        </w:rPr>
      </w:pPr>
      <w:r w:rsidRPr="00854F71">
        <w:rPr>
          <w:lang w:val="en-GB"/>
        </w:rPr>
        <w:t>Hydrogen can be adopted as a clean alternative to hydrocarbons fuels in the marine sector. Liquid hydrogen (LH</w:t>
      </w:r>
      <w:r w:rsidRPr="00854F71">
        <w:rPr>
          <w:vertAlign w:val="subscript"/>
          <w:lang w:val="en-GB"/>
        </w:rPr>
        <w:t>2</w:t>
      </w:r>
      <w:r w:rsidRPr="00854F71">
        <w:rPr>
          <w:lang w:val="en-GB"/>
        </w:rPr>
        <w:t>) is an efficient solution to transport and store hydrogen onboard of large ships. LH</w:t>
      </w:r>
      <w:r w:rsidRPr="00854F71">
        <w:rPr>
          <w:vertAlign w:val="subscript"/>
          <w:lang w:val="en-GB"/>
        </w:rPr>
        <w:t>2</w:t>
      </w:r>
      <w:r w:rsidRPr="00854F71">
        <w:rPr>
          <w:lang w:val="en-GB"/>
        </w:rPr>
        <w:t xml:space="preserve"> will be implemented in the maritime field </w:t>
      </w:r>
      <w:proofErr w:type="gramStart"/>
      <w:r w:rsidRPr="00854F71">
        <w:rPr>
          <w:lang w:val="en-GB"/>
        </w:rPr>
        <w:t>in the near future</w:t>
      </w:r>
      <w:proofErr w:type="gramEnd"/>
      <w:r w:rsidRPr="00854F71">
        <w:rPr>
          <w:lang w:val="en-GB"/>
        </w:rPr>
        <w:t>. Additional safety knowledge is required since this is a new application and emerging risk might arise. Recently, a series of LH</w:t>
      </w:r>
      <w:r w:rsidRPr="00854F71">
        <w:rPr>
          <w:vertAlign w:val="subscript"/>
          <w:lang w:val="en-GB"/>
        </w:rPr>
        <w:t>2</w:t>
      </w:r>
      <w:r w:rsidRPr="00854F71">
        <w:rPr>
          <w:lang w:val="en-GB"/>
        </w:rPr>
        <w:t xml:space="preserve"> large-scale release tests was carried out in an outdoor facility as well as in a closed room to simulate spills during a bunkering procedure and inside the ship’s tank connection space, respectively (</w:t>
      </w:r>
      <w:proofErr w:type="spellStart"/>
      <w:r w:rsidRPr="00854F71">
        <w:rPr>
          <w:lang w:val="en-GB"/>
        </w:rPr>
        <w:t>Aaneby</w:t>
      </w:r>
      <w:proofErr w:type="spellEnd"/>
      <w:r w:rsidRPr="00854F71">
        <w:rPr>
          <w:lang w:val="en-GB"/>
        </w:rPr>
        <w:t xml:space="preserve"> et al., 2021). The extremely low boiling point of hydrogen (-253°C (NIST, 2019)) can cause condensation or even solidification of oxygen and nitrogen contained in air, and thus enrich with oxygen the flammable mixture. This can represent a safety concern since it was demonstrated that a burning mixture of LH</w:t>
      </w:r>
      <w:r w:rsidRPr="00854F71">
        <w:rPr>
          <w:vertAlign w:val="subscript"/>
          <w:lang w:val="en-GB"/>
        </w:rPr>
        <w:t>2</w:t>
      </w:r>
      <w:r w:rsidRPr="00854F71">
        <w:rPr>
          <w:lang w:val="en-GB"/>
        </w:rPr>
        <w:t xml:space="preserve"> and solid oxygen may transition to detonation (Litchfield and Perlee, 1965).</w:t>
      </w:r>
      <w:r w:rsidR="0029079C">
        <w:rPr>
          <w:lang w:val="en-GB"/>
        </w:rPr>
        <w:t xml:space="preserve"> </w:t>
      </w:r>
      <w:r w:rsidRPr="00854F71">
        <w:rPr>
          <w:lang w:val="en-GB"/>
        </w:rPr>
        <w:t>In this study, the experimental data of an LH</w:t>
      </w:r>
      <w:r w:rsidRPr="00854F71">
        <w:rPr>
          <w:vertAlign w:val="subscript"/>
          <w:lang w:val="en-GB"/>
        </w:rPr>
        <w:t>2</w:t>
      </w:r>
      <w:r w:rsidRPr="00854F71">
        <w:rPr>
          <w:lang w:val="en-GB"/>
        </w:rPr>
        <w:t xml:space="preserve"> release test series recently carried out were analysed by means of an advanced machine learning approach. The aim of this study was to provide critical insights on the oxygen condensation and solidification during an LH</w:t>
      </w:r>
      <w:r w:rsidRPr="00854F71">
        <w:rPr>
          <w:vertAlign w:val="subscript"/>
          <w:lang w:val="en-GB"/>
        </w:rPr>
        <w:t>2</w:t>
      </w:r>
      <w:r w:rsidRPr="00854F71">
        <w:rPr>
          <w:lang w:val="en-GB"/>
        </w:rPr>
        <w:t xml:space="preserve"> accidental release. In particular, a model was developed to predict the possibility and the location of the oxygen phase change depending on the operative conditions during the bunkering operation (</w:t>
      </w:r>
      <w:proofErr w:type="gramStart"/>
      <w:r w:rsidRPr="00854F71">
        <w:rPr>
          <w:lang w:val="en-GB"/>
        </w:rPr>
        <w:t>e.g.</w:t>
      </w:r>
      <w:proofErr w:type="gramEnd"/>
      <w:r w:rsidRPr="00854F71">
        <w:rPr>
          <w:lang w:val="en-GB"/>
        </w:rPr>
        <w:t xml:space="preserve"> LH</w:t>
      </w:r>
      <w:r w:rsidRPr="00854F71">
        <w:rPr>
          <w:vertAlign w:val="subscript"/>
          <w:lang w:val="en-GB"/>
        </w:rPr>
        <w:t>2</w:t>
      </w:r>
      <w:r w:rsidRPr="00854F71">
        <w:rPr>
          <w:lang w:val="en-GB"/>
        </w:rPr>
        <w:t xml:space="preserve"> flowrate). The model demonstrated accurate and reliable predicting capabilities. The outcomes of the model can be exploited to select effective safety barriers such as a water deluge system to prevent the oxygen change phase.</w:t>
      </w:r>
    </w:p>
    <w:p w14:paraId="476B2F2E" w14:textId="77777777" w:rsidR="00600535" w:rsidRPr="00854F71" w:rsidRDefault="00600535" w:rsidP="00600535">
      <w:pPr>
        <w:pStyle w:val="CETHeading1"/>
        <w:rPr>
          <w:lang w:val="en-GB"/>
        </w:rPr>
      </w:pPr>
      <w:r w:rsidRPr="00854F71">
        <w:rPr>
          <w:lang w:val="en-GB"/>
        </w:rPr>
        <w:t>Introduction</w:t>
      </w:r>
    </w:p>
    <w:p w14:paraId="786624D0" w14:textId="1468E7C5" w:rsidR="00F70C76" w:rsidRDefault="002C16EE" w:rsidP="001074C4">
      <w:pPr>
        <w:pStyle w:val="CETBodytext"/>
        <w:rPr>
          <w:lang w:val="en-GB"/>
        </w:rPr>
      </w:pPr>
      <w:r>
        <w:rPr>
          <w:lang w:val="en-GB"/>
        </w:rPr>
        <w:t xml:space="preserve">The employment of hydrogen as alternative fuel in the maritime sector </w:t>
      </w:r>
      <w:r w:rsidR="0042433A">
        <w:rPr>
          <w:lang w:val="en-GB"/>
        </w:rPr>
        <w:t xml:space="preserve">has been suggested by different authors in the past and it is </w:t>
      </w:r>
      <w:r w:rsidR="00B03520">
        <w:rPr>
          <w:lang w:val="en-GB"/>
        </w:rPr>
        <w:t xml:space="preserve">now </w:t>
      </w:r>
      <w:r w:rsidR="0042433A">
        <w:rPr>
          <w:lang w:val="en-GB"/>
        </w:rPr>
        <w:t>becoming a reality</w:t>
      </w:r>
      <w:r w:rsidR="00772EE5">
        <w:rPr>
          <w:lang w:val="en-GB"/>
        </w:rPr>
        <w:t xml:space="preserve"> (Taccani et al., 2018). This is demonstrated by the </w:t>
      </w:r>
      <w:r w:rsidR="00B03520">
        <w:rPr>
          <w:lang w:val="en-GB"/>
        </w:rPr>
        <w:t xml:space="preserve">recent safety tests carried out </w:t>
      </w:r>
      <w:r w:rsidR="00023C49">
        <w:rPr>
          <w:lang w:val="en-GB"/>
        </w:rPr>
        <w:t xml:space="preserve">by DNV </w:t>
      </w:r>
      <w:r w:rsidR="00B03520">
        <w:rPr>
          <w:lang w:val="en-GB"/>
        </w:rPr>
        <w:t>on liquid hydrogen (LH</w:t>
      </w:r>
      <w:r w:rsidR="00B03520" w:rsidRPr="00B03520">
        <w:rPr>
          <w:vertAlign w:val="subscript"/>
          <w:lang w:val="en-GB"/>
        </w:rPr>
        <w:t>2</w:t>
      </w:r>
      <w:r w:rsidR="00B03520">
        <w:rPr>
          <w:lang w:val="en-GB"/>
        </w:rPr>
        <w:t xml:space="preserve">) </w:t>
      </w:r>
      <w:r w:rsidR="00023C49">
        <w:rPr>
          <w:lang w:val="en-GB"/>
        </w:rPr>
        <w:t xml:space="preserve">releases to simulate potential accident scenarios in the maritime field </w:t>
      </w:r>
      <w:r w:rsidR="00023C49" w:rsidRPr="00023C49">
        <w:rPr>
          <w:lang w:val="en-GB"/>
        </w:rPr>
        <w:t>(</w:t>
      </w:r>
      <w:proofErr w:type="spellStart"/>
      <w:r w:rsidR="00023C49" w:rsidRPr="00023C49">
        <w:rPr>
          <w:lang w:val="en-GB"/>
        </w:rPr>
        <w:t>Aaneby</w:t>
      </w:r>
      <w:proofErr w:type="spellEnd"/>
      <w:r w:rsidR="00023C49" w:rsidRPr="00023C49">
        <w:rPr>
          <w:lang w:val="en-GB"/>
        </w:rPr>
        <w:t xml:space="preserve"> et al., 2021)</w:t>
      </w:r>
      <w:r w:rsidR="004D1D10">
        <w:rPr>
          <w:lang w:val="en-GB"/>
        </w:rPr>
        <w:t xml:space="preserve">. </w:t>
      </w:r>
      <w:r w:rsidR="00A73311">
        <w:rPr>
          <w:lang w:val="en-GB"/>
        </w:rPr>
        <w:t>It is critical to focus on the hydrogen safety aspects when it is employed in new applications (Ustolin</w:t>
      </w:r>
      <w:r w:rsidR="002112A5">
        <w:rPr>
          <w:lang w:val="en-GB"/>
        </w:rPr>
        <w:t xml:space="preserve"> et al., 2020a</w:t>
      </w:r>
      <w:r w:rsidR="00A73311">
        <w:rPr>
          <w:lang w:val="en-GB"/>
        </w:rPr>
        <w:t xml:space="preserve">). </w:t>
      </w:r>
      <w:r w:rsidR="0078066F">
        <w:rPr>
          <w:lang w:val="en-GB"/>
        </w:rPr>
        <w:t>In fact, atypical accident scenarios</w:t>
      </w:r>
      <w:r w:rsidR="004E4207">
        <w:rPr>
          <w:lang w:val="en-GB"/>
        </w:rPr>
        <w:t>,</w:t>
      </w:r>
      <w:r w:rsidR="0078066F">
        <w:rPr>
          <w:lang w:val="en-GB"/>
        </w:rPr>
        <w:t xml:space="preserve"> </w:t>
      </w:r>
      <w:r w:rsidR="00EF2425">
        <w:rPr>
          <w:lang w:val="en-GB"/>
        </w:rPr>
        <w:t xml:space="preserve">which are phenomena </w:t>
      </w:r>
      <w:r w:rsidR="00360D40">
        <w:rPr>
          <w:lang w:val="en-GB"/>
        </w:rPr>
        <w:t xml:space="preserve">with low probability to occur </w:t>
      </w:r>
      <w:r w:rsidR="00854889">
        <w:rPr>
          <w:lang w:val="en-GB"/>
        </w:rPr>
        <w:t xml:space="preserve">and </w:t>
      </w:r>
      <w:r w:rsidR="004E4207">
        <w:rPr>
          <w:lang w:val="en-GB"/>
        </w:rPr>
        <w:t xml:space="preserve">that are </w:t>
      </w:r>
      <w:r w:rsidR="00854889">
        <w:rPr>
          <w:lang w:val="en-GB"/>
        </w:rPr>
        <w:t>not considered by conventional risk assessment techniques</w:t>
      </w:r>
      <w:r w:rsidR="004E4207">
        <w:rPr>
          <w:lang w:val="en-GB"/>
        </w:rPr>
        <w:t>,</w:t>
      </w:r>
      <w:r w:rsidR="00854889">
        <w:rPr>
          <w:lang w:val="en-GB"/>
        </w:rPr>
        <w:t xml:space="preserve"> </w:t>
      </w:r>
      <w:r w:rsidR="0078066F">
        <w:rPr>
          <w:lang w:val="en-GB"/>
        </w:rPr>
        <w:t xml:space="preserve">must be avoided </w:t>
      </w:r>
      <w:r w:rsidR="00854889">
        <w:rPr>
          <w:lang w:val="en-GB"/>
        </w:rPr>
        <w:t>during the deployment of hydrogen technologies</w:t>
      </w:r>
      <w:r w:rsidR="00253348">
        <w:rPr>
          <w:lang w:val="en-GB"/>
        </w:rPr>
        <w:t xml:space="preserve"> (Ustolin et al., 2020b)</w:t>
      </w:r>
      <w:r w:rsidR="00854889">
        <w:rPr>
          <w:lang w:val="en-GB"/>
        </w:rPr>
        <w:t>.</w:t>
      </w:r>
      <w:r w:rsidR="00253348">
        <w:rPr>
          <w:lang w:val="en-GB"/>
        </w:rPr>
        <w:t xml:space="preserve"> </w:t>
      </w:r>
      <w:r w:rsidR="000D7F16">
        <w:rPr>
          <w:lang w:val="en-GB"/>
        </w:rPr>
        <w:t xml:space="preserve">For instance, the </w:t>
      </w:r>
      <w:r w:rsidR="00B23DE1">
        <w:rPr>
          <w:lang w:val="en-GB"/>
        </w:rPr>
        <w:t>rapid phase transition (RPT) is a physical explosion that might arise when</w:t>
      </w:r>
      <w:r w:rsidR="00046E3E">
        <w:rPr>
          <w:lang w:val="en-GB"/>
        </w:rPr>
        <w:t xml:space="preserve"> </w:t>
      </w:r>
      <w:r w:rsidR="003409C0">
        <w:rPr>
          <w:lang w:val="en-GB"/>
        </w:rPr>
        <w:t>cryogenic fluids</w:t>
      </w:r>
      <w:r w:rsidR="00046E3E">
        <w:rPr>
          <w:lang w:val="en-GB"/>
        </w:rPr>
        <w:t xml:space="preserve"> </w:t>
      </w:r>
      <w:r w:rsidR="00483309">
        <w:rPr>
          <w:lang w:val="en-GB"/>
        </w:rPr>
        <w:t>are</w:t>
      </w:r>
      <w:r w:rsidR="00B23DE1">
        <w:rPr>
          <w:lang w:val="en-GB"/>
        </w:rPr>
        <w:t xml:space="preserve"> spilled</w:t>
      </w:r>
      <w:r w:rsidR="00046E3E">
        <w:rPr>
          <w:lang w:val="en-GB"/>
        </w:rPr>
        <w:t xml:space="preserve"> onto water </w:t>
      </w:r>
      <w:r w:rsidR="00B23DE1">
        <w:rPr>
          <w:lang w:val="en-GB"/>
        </w:rPr>
        <w:t>during bunkering operations</w:t>
      </w:r>
      <w:r w:rsidR="003409C0">
        <w:rPr>
          <w:lang w:val="en-GB"/>
        </w:rPr>
        <w:t xml:space="preserve"> (Ustolin et al., 2020c)</w:t>
      </w:r>
      <w:r w:rsidR="00483309">
        <w:rPr>
          <w:lang w:val="en-GB"/>
        </w:rPr>
        <w:t xml:space="preserve">. The possibility and consequences of an RPT </w:t>
      </w:r>
      <w:r w:rsidR="00D45F5C">
        <w:rPr>
          <w:lang w:val="en-GB"/>
        </w:rPr>
        <w:t>in the case of</w:t>
      </w:r>
      <w:r w:rsidR="00483309">
        <w:rPr>
          <w:lang w:val="en-GB"/>
        </w:rPr>
        <w:t xml:space="preserve"> LH</w:t>
      </w:r>
      <w:r w:rsidR="00483309" w:rsidRPr="00D45F5C">
        <w:rPr>
          <w:vertAlign w:val="subscript"/>
          <w:lang w:val="en-GB"/>
        </w:rPr>
        <w:t>2</w:t>
      </w:r>
      <w:r w:rsidR="00483309">
        <w:rPr>
          <w:lang w:val="en-GB"/>
        </w:rPr>
        <w:t xml:space="preserve"> </w:t>
      </w:r>
      <w:r w:rsidR="00D45F5C">
        <w:rPr>
          <w:lang w:val="en-GB"/>
        </w:rPr>
        <w:t xml:space="preserve">releases </w:t>
      </w:r>
      <w:r w:rsidR="00483309">
        <w:rPr>
          <w:lang w:val="en-GB"/>
        </w:rPr>
        <w:t>were investigated by (</w:t>
      </w:r>
      <w:r w:rsidR="00483309" w:rsidRPr="00483309">
        <w:rPr>
          <w:lang w:val="en-GB"/>
        </w:rPr>
        <w:t>Odsæter</w:t>
      </w:r>
      <w:r w:rsidR="00483309">
        <w:rPr>
          <w:lang w:val="en-GB"/>
        </w:rPr>
        <w:t xml:space="preserve"> et al., 2021). </w:t>
      </w:r>
    </w:p>
    <w:p w14:paraId="3ABCFCE1" w14:textId="5284DDC8" w:rsidR="007428CE" w:rsidRDefault="0080405E" w:rsidP="001074C4">
      <w:pPr>
        <w:pStyle w:val="CETBodytext"/>
        <w:rPr>
          <w:lang w:val="en-GB"/>
        </w:rPr>
      </w:pPr>
      <w:r>
        <w:rPr>
          <w:lang w:val="en-GB"/>
        </w:rPr>
        <w:t>T</w:t>
      </w:r>
      <w:r w:rsidRPr="0080405E">
        <w:rPr>
          <w:lang w:val="en-GB"/>
        </w:rPr>
        <w:t xml:space="preserve">he aim of this </w:t>
      </w:r>
      <w:r>
        <w:rPr>
          <w:lang w:val="en-GB"/>
        </w:rPr>
        <w:t>work</w:t>
      </w:r>
      <w:r w:rsidRPr="0080405E">
        <w:rPr>
          <w:lang w:val="en-GB"/>
        </w:rPr>
        <w:t xml:space="preserve"> is to determine </w:t>
      </w:r>
      <w:r w:rsidR="001A2357">
        <w:rPr>
          <w:lang w:val="en-GB"/>
        </w:rPr>
        <w:t>if</w:t>
      </w:r>
      <w:r w:rsidRPr="0080405E">
        <w:rPr>
          <w:lang w:val="en-GB"/>
        </w:rPr>
        <w:t xml:space="preserve"> a</w:t>
      </w:r>
      <w:r w:rsidR="001A2357">
        <w:rPr>
          <w:lang w:val="en-GB"/>
        </w:rPr>
        <w:t>n LH</w:t>
      </w:r>
      <w:r w:rsidR="001A2357" w:rsidRPr="001A2357">
        <w:rPr>
          <w:vertAlign w:val="subscript"/>
          <w:lang w:val="en-GB"/>
        </w:rPr>
        <w:t>2</w:t>
      </w:r>
      <w:r w:rsidRPr="0080405E">
        <w:rPr>
          <w:lang w:val="en-GB"/>
        </w:rPr>
        <w:t xml:space="preserve"> release </w:t>
      </w:r>
      <w:r w:rsidR="001A2357">
        <w:rPr>
          <w:lang w:val="en-GB"/>
        </w:rPr>
        <w:t>may</w:t>
      </w:r>
      <w:r w:rsidRPr="0080405E">
        <w:rPr>
          <w:lang w:val="en-GB"/>
        </w:rPr>
        <w:t xml:space="preserve"> cause air component’s liquefaction or solidification</w:t>
      </w:r>
      <w:r w:rsidR="001A2357">
        <w:rPr>
          <w:lang w:val="en-GB"/>
        </w:rPr>
        <w:t>,</w:t>
      </w:r>
      <w:r w:rsidRPr="0080405E">
        <w:rPr>
          <w:lang w:val="en-GB"/>
        </w:rPr>
        <w:t xml:space="preserve"> </w:t>
      </w:r>
      <w:r w:rsidR="001A2357">
        <w:rPr>
          <w:lang w:val="en-GB"/>
        </w:rPr>
        <w:t>and</w:t>
      </w:r>
      <w:r w:rsidRPr="0080405E">
        <w:rPr>
          <w:lang w:val="en-GB"/>
        </w:rPr>
        <w:t xml:space="preserve"> </w:t>
      </w:r>
      <w:r w:rsidR="0043681A">
        <w:rPr>
          <w:lang w:val="en-GB"/>
        </w:rPr>
        <w:t>whether</w:t>
      </w:r>
      <w:r w:rsidRPr="0080405E">
        <w:rPr>
          <w:lang w:val="en-GB"/>
        </w:rPr>
        <w:t xml:space="preserve"> the resulting cloud </w:t>
      </w:r>
      <w:r w:rsidR="00EA645E">
        <w:rPr>
          <w:lang w:val="en-GB"/>
        </w:rPr>
        <w:t>has</w:t>
      </w:r>
      <w:r w:rsidRPr="0080405E">
        <w:rPr>
          <w:lang w:val="en-GB"/>
        </w:rPr>
        <w:t xml:space="preserve"> a hydrogen</w:t>
      </w:r>
      <w:r w:rsidR="00EA645E">
        <w:rPr>
          <w:lang w:val="en-GB"/>
        </w:rPr>
        <w:t xml:space="preserve"> concentration</w:t>
      </w:r>
      <w:r w:rsidRPr="0080405E">
        <w:rPr>
          <w:lang w:val="en-GB"/>
        </w:rPr>
        <w:t xml:space="preserve"> higher than the</w:t>
      </w:r>
      <w:r>
        <w:rPr>
          <w:lang w:val="en-GB"/>
        </w:rPr>
        <w:t xml:space="preserve"> lower flammability limit</w:t>
      </w:r>
      <w:r w:rsidRPr="0080405E">
        <w:rPr>
          <w:lang w:val="en-GB"/>
        </w:rPr>
        <w:t xml:space="preserve"> </w:t>
      </w:r>
      <w:r w:rsidR="000E27D2">
        <w:rPr>
          <w:lang w:val="en-GB"/>
        </w:rPr>
        <w:t>(</w:t>
      </w:r>
      <w:r w:rsidRPr="0080405E">
        <w:rPr>
          <w:lang w:val="en-GB"/>
        </w:rPr>
        <w:t>L</w:t>
      </w:r>
      <w:r>
        <w:rPr>
          <w:lang w:val="en-GB"/>
        </w:rPr>
        <w:t>F</w:t>
      </w:r>
      <w:r w:rsidRPr="0080405E">
        <w:rPr>
          <w:lang w:val="en-GB"/>
        </w:rPr>
        <w:t>L</w:t>
      </w:r>
      <w:r w:rsidR="000E27D2">
        <w:rPr>
          <w:lang w:val="en-GB"/>
        </w:rPr>
        <w:t>).</w:t>
      </w:r>
      <w:r w:rsidR="00EA645E">
        <w:rPr>
          <w:lang w:val="en-GB"/>
        </w:rPr>
        <w:t xml:space="preserve"> A</w:t>
      </w:r>
      <w:r w:rsidR="00EA645E" w:rsidRPr="00854F71">
        <w:rPr>
          <w:lang w:val="en-GB"/>
        </w:rPr>
        <w:t>n advanced machine learning approach</w:t>
      </w:r>
      <w:r w:rsidR="00EA645E">
        <w:rPr>
          <w:lang w:val="en-GB"/>
        </w:rPr>
        <w:t xml:space="preserve"> was employed for this investigation</w:t>
      </w:r>
      <w:r w:rsidR="00426502">
        <w:rPr>
          <w:lang w:val="en-GB"/>
        </w:rPr>
        <w:t xml:space="preserve"> and a good agreement with experimental results was achieved.</w:t>
      </w:r>
    </w:p>
    <w:p w14:paraId="44DF9AC7" w14:textId="57BB7F91" w:rsidR="00CC60A1" w:rsidRDefault="00E004D8" w:rsidP="000A4F99">
      <w:pPr>
        <w:pStyle w:val="CETHeading1"/>
      </w:pPr>
      <w:r>
        <w:t xml:space="preserve">Liquid hydrogen </w:t>
      </w:r>
      <w:r w:rsidR="000A4F99">
        <w:t xml:space="preserve">release </w:t>
      </w:r>
      <w:r w:rsidR="00D778E4">
        <w:t>consequences</w:t>
      </w:r>
    </w:p>
    <w:p w14:paraId="09D35BCA" w14:textId="2278E629" w:rsidR="00085101" w:rsidRDefault="00FC45D3" w:rsidP="00085101">
      <w:pPr>
        <w:pStyle w:val="CETBodytext"/>
        <w:rPr>
          <w:lang w:val="en-GB"/>
        </w:rPr>
      </w:pPr>
      <w:r>
        <w:rPr>
          <w:lang w:val="en-GB"/>
        </w:rPr>
        <w:t>W</w:t>
      </w:r>
      <w:r w:rsidRPr="00213536">
        <w:rPr>
          <w:lang w:val="en-GB"/>
        </w:rPr>
        <w:t>hen released onto the ground</w:t>
      </w:r>
      <w:r>
        <w:rPr>
          <w:lang w:val="en-GB"/>
        </w:rPr>
        <w:t>,</w:t>
      </w:r>
      <w:r w:rsidRPr="00213536">
        <w:rPr>
          <w:lang w:val="en-GB"/>
        </w:rPr>
        <w:t xml:space="preserve"> </w:t>
      </w:r>
      <w:r>
        <w:rPr>
          <w:lang w:val="en-GB"/>
        </w:rPr>
        <w:t>t</w:t>
      </w:r>
      <w:r w:rsidR="00213536" w:rsidRPr="00213536">
        <w:rPr>
          <w:lang w:val="en-GB"/>
        </w:rPr>
        <w:t xml:space="preserve">he cryogenic liquid initially flashes to gas due to the large temperature difference </w:t>
      </w:r>
      <w:r w:rsidR="00E51363">
        <w:rPr>
          <w:lang w:val="en-GB"/>
        </w:rPr>
        <w:t xml:space="preserve">and the consequent heat transfer </w:t>
      </w:r>
      <w:r w:rsidR="00213536" w:rsidRPr="00213536">
        <w:rPr>
          <w:lang w:val="en-GB"/>
        </w:rPr>
        <w:t xml:space="preserve">between the </w:t>
      </w:r>
      <w:r w:rsidR="004516EB">
        <w:rPr>
          <w:lang w:val="en-GB"/>
        </w:rPr>
        <w:t>fluid</w:t>
      </w:r>
      <w:r w:rsidR="00213536" w:rsidRPr="00213536">
        <w:rPr>
          <w:lang w:val="en-GB"/>
        </w:rPr>
        <w:t xml:space="preserve"> and the ground surface. Then, the surface cools </w:t>
      </w:r>
      <w:r w:rsidR="00213536" w:rsidRPr="00213536">
        <w:rPr>
          <w:lang w:val="en-GB"/>
        </w:rPr>
        <w:lastRenderedPageBreak/>
        <w:t>down enough to allow the formation of a</w:t>
      </w:r>
      <w:r w:rsidR="00BB7F9E">
        <w:rPr>
          <w:lang w:val="en-GB"/>
        </w:rPr>
        <w:t>n</w:t>
      </w:r>
      <w:r w:rsidR="00213536" w:rsidRPr="00213536">
        <w:rPr>
          <w:lang w:val="en-GB"/>
        </w:rPr>
        <w:t xml:space="preserve"> </w:t>
      </w:r>
      <w:r w:rsidR="00BB7F9E">
        <w:rPr>
          <w:lang w:val="en-GB"/>
        </w:rPr>
        <w:t>LH</w:t>
      </w:r>
      <w:r w:rsidR="00BB7F9E" w:rsidRPr="00BB7F9E">
        <w:rPr>
          <w:vertAlign w:val="subscript"/>
          <w:lang w:val="en-GB"/>
        </w:rPr>
        <w:t>2</w:t>
      </w:r>
      <w:r w:rsidR="00213536" w:rsidRPr="00213536">
        <w:rPr>
          <w:lang w:val="en-GB"/>
        </w:rPr>
        <w:t xml:space="preserve"> </w:t>
      </w:r>
      <w:r w:rsidR="008A46EA" w:rsidRPr="00213536">
        <w:rPr>
          <w:lang w:val="en-GB"/>
        </w:rPr>
        <w:t xml:space="preserve">pool </w:t>
      </w:r>
      <w:r w:rsidR="00213536" w:rsidRPr="00213536">
        <w:rPr>
          <w:lang w:val="en-GB"/>
        </w:rPr>
        <w:t xml:space="preserve">within few minutes. Therefore, the pool formed on the ground is composed of </w:t>
      </w:r>
      <w:r w:rsidR="00BB7F9E">
        <w:rPr>
          <w:lang w:val="en-GB"/>
        </w:rPr>
        <w:t>LH</w:t>
      </w:r>
      <w:r w:rsidR="00BB7F9E" w:rsidRPr="00BB7F9E">
        <w:rPr>
          <w:vertAlign w:val="subscript"/>
          <w:lang w:val="en-GB"/>
        </w:rPr>
        <w:t>2</w:t>
      </w:r>
      <w:r w:rsidR="00213536" w:rsidRPr="00213536">
        <w:rPr>
          <w:lang w:val="en-GB"/>
        </w:rPr>
        <w:t>. It is also possible to observe the formation of a solid deposit which might be a mixture of solid</w:t>
      </w:r>
      <w:r w:rsidR="00800E84">
        <w:rPr>
          <w:lang w:val="en-GB"/>
        </w:rPr>
        <w:t xml:space="preserve"> air</w:t>
      </w:r>
      <w:r w:rsidR="00213536" w:rsidRPr="00213536">
        <w:rPr>
          <w:lang w:val="en-GB"/>
        </w:rPr>
        <w:t xml:space="preserve"> </w:t>
      </w:r>
      <w:r w:rsidR="00AB3BE3">
        <w:rPr>
          <w:lang w:val="en-GB"/>
        </w:rPr>
        <w:t xml:space="preserve">since </w:t>
      </w:r>
      <w:r w:rsidR="00800E84">
        <w:rPr>
          <w:lang w:val="en-GB"/>
        </w:rPr>
        <w:t>its components (oxygen and nitrogen)</w:t>
      </w:r>
      <w:r w:rsidR="00AB3BE3" w:rsidRPr="00AB3BE3">
        <w:rPr>
          <w:lang w:val="en-GB"/>
        </w:rPr>
        <w:t xml:space="preserve"> have </w:t>
      </w:r>
      <w:r w:rsidR="006D5471">
        <w:rPr>
          <w:lang w:val="en-GB"/>
        </w:rPr>
        <w:t xml:space="preserve">melting and </w:t>
      </w:r>
      <w:r w:rsidR="00AB3BE3" w:rsidRPr="00AB3BE3">
        <w:rPr>
          <w:lang w:val="en-GB"/>
        </w:rPr>
        <w:t>boiling points higher than the hydrogen one</w:t>
      </w:r>
      <w:r w:rsidR="006D5471">
        <w:rPr>
          <w:lang w:val="en-GB"/>
        </w:rPr>
        <w:t>s</w:t>
      </w:r>
      <w:r w:rsidR="00213536" w:rsidRPr="00213536">
        <w:rPr>
          <w:lang w:val="en-GB"/>
        </w:rPr>
        <w:t xml:space="preserve"> </w:t>
      </w:r>
      <w:r w:rsidR="004B174C">
        <w:rPr>
          <w:lang w:val="en-GB"/>
        </w:rPr>
        <w:t>(</w:t>
      </w:r>
      <w:r w:rsidR="004B174C" w:rsidRPr="004B174C">
        <w:rPr>
          <w:lang w:val="en-GB"/>
        </w:rPr>
        <w:t>Royle</w:t>
      </w:r>
      <w:r w:rsidR="004B174C">
        <w:rPr>
          <w:lang w:val="en-GB"/>
        </w:rPr>
        <w:t xml:space="preserve"> and</w:t>
      </w:r>
      <w:r w:rsidR="004B174C" w:rsidRPr="004B174C">
        <w:rPr>
          <w:lang w:val="en-GB"/>
        </w:rPr>
        <w:t xml:space="preserve"> Willoughby, 2014</w:t>
      </w:r>
      <w:r w:rsidR="004B174C">
        <w:rPr>
          <w:lang w:val="en-GB"/>
        </w:rPr>
        <w:t>)</w:t>
      </w:r>
      <w:r w:rsidR="005F0F91">
        <w:rPr>
          <w:lang w:val="en-GB"/>
        </w:rPr>
        <w:t>.</w:t>
      </w:r>
      <w:r w:rsidR="009C31F9">
        <w:rPr>
          <w:lang w:val="en-GB"/>
        </w:rPr>
        <w:t xml:space="preserve"> </w:t>
      </w:r>
      <w:r w:rsidR="00800E84">
        <w:rPr>
          <w:lang w:val="en-GB"/>
        </w:rPr>
        <w:t>Therefore, a</w:t>
      </w:r>
      <w:r w:rsidR="005F0F91" w:rsidRPr="005F0F91">
        <w:rPr>
          <w:lang w:val="en-GB"/>
        </w:rPr>
        <w:t xml:space="preserve">ir condenses and freezes on the pool surface and </w:t>
      </w:r>
      <w:r w:rsidR="009A4B3A">
        <w:rPr>
          <w:lang w:val="en-GB"/>
        </w:rPr>
        <w:t>at the edges.</w:t>
      </w:r>
      <w:r w:rsidR="000578F9">
        <w:rPr>
          <w:lang w:val="en-GB"/>
        </w:rPr>
        <w:t xml:space="preserve"> </w:t>
      </w:r>
      <w:r w:rsidR="009A4B3A">
        <w:rPr>
          <w:lang w:val="en-GB"/>
        </w:rPr>
        <w:t>Eventually, t</w:t>
      </w:r>
      <w:r w:rsidR="005F0F91" w:rsidRPr="005F0F91">
        <w:rPr>
          <w:lang w:val="en-GB"/>
        </w:rPr>
        <w:t xml:space="preserve">he solid deposit impedes the liquid to flow further on the ground. Not all the condensed air </w:t>
      </w:r>
      <w:r w:rsidR="009A4B3A" w:rsidRPr="005F0F91">
        <w:rPr>
          <w:lang w:val="en-GB"/>
        </w:rPr>
        <w:t xml:space="preserve">droplets </w:t>
      </w:r>
      <w:r w:rsidR="005F0F91" w:rsidRPr="005F0F91">
        <w:rPr>
          <w:lang w:val="en-GB"/>
        </w:rPr>
        <w:t>fall on the pool. Many of them fall outside the po</w:t>
      </w:r>
      <w:r w:rsidR="009A4B3A">
        <w:rPr>
          <w:lang w:val="en-GB"/>
        </w:rPr>
        <w:t>o</w:t>
      </w:r>
      <w:r w:rsidR="005F0F91" w:rsidRPr="005F0F91">
        <w:rPr>
          <w:lang w:val="en-GB"/>
        </w:rPr>
        <w:t xml:space="preserve">l due to the restriction of the liquid extent caused by the solid deposit. In this </w:t>
      </w:r>
      <w:r w:rsidR="00800E84">
        <w:rPr>
          <w:lang w:val="en-GB"/>
        </w:rPr>
        <w:t>manner</w:t>
      </w:r>
      <w:r w:rsidR="005F0F91" w:rsidRPr="005F0F91">
        <w:rPr>
          <w:lang w:val="en-GB"/>
        </w:rPr>
        <w:t>, condensed air accumulates on the previously deposited material forming a larger solid deposit</w:t>
      </w:r>
      <w:r w:rsidR="00F61926">
        <w:rPr>
          <w:lang w:val="en-GB"/>
        </w:rPr>
        <w:t xml:space="preserve"> </w:t>
      </w:r>
      <w:r w:rsidR="00AE6D23">
        <w:rPr>
          <w:lang w:val="en-GB"/>
        </w:rPr>
        <w:t>by</w:t>
      </w:r>
      <w:r w:rsidR="00F61926">
        <w:rPr>
          <w:lang w:val="en-GB"/>
        </w:rPr>
        <w:t xml:space="preserve"> freezing</w:t>
      </w:r>
      <w:r w:rsidR="005F0F91" w:rsidRPr="005F0F91">
        <w:rPr>
          <w:lang w:val="en-GB"/>
        </w:rPr>
        <w:t xml:space="preserve"> at a temperature higher than the hydrogen boiling point. </w:t>
      </w:r>
      <w:r w:rsidR="00CE4B53" w:rsidRPr="00CE4B53">
        <w:rPr>
          <w:lang w:val="en-GB"/>
        </w:rPr>
        <w:t>The main problem connected to the condensation and freezing of air components on the ground is related to the behaviour of the flammable mixture in case of ignition: a condensed phase explosion might occur. Condensed phase explosions can have harmful consequences to both buildings and people</w:t>
      </w:r>
      <w:r w:rsidR="00DA0A01">
        <w:rPr>
          <w:lang w:val="en-GB"/>
        </w:rPr>
        <w:t xml:space="preserve"> </w:t>
      </w:r>
      <w:r w:rsidR="00DA0A01" w:rsidRPr="00DA0A01">
        <w:rPr>
          <w:lang w:val="en-GB"/>
        </w:rPr>
        <w:t>which manifest as:</w:t>
      </w:r>
      <w:r w:rsidR="00DA0A01">
        <w:rPr>
          <w:lang w:val="en-GB"/>
        </w:rPr>
        <w:t xml:space="preserve"> </w:t>
      </w:r>
      <w:r w:rsidR="00B450C0">
        <w:rPr>
          <w:lang w:val="en-GB"/>
        </w:rPr>
        <w:t>shock wave, fragments, thermal radiation.</w:t>
      </w:r>
      <w:r w:rsidR="007D1BD7">
        <w:rPr>
          <w:lang w:val="en-GB"/>
        </w:rPr>
        <w:t xml:space="preserve"> </w:t>
      </w:r>
      <w:r w:rsidR="00085101" w:rsidRPr="00085101">
        <w:rPr>
          <w:lang w:val="en-GB"/>
        </w:rPr>
        <w:t>The condensed phase explosion may or may not occur if a liquid hydrogen-condensed air mixture is ignited depending on some conditions.</w:t>
      </w:r>
      <w:r w:rsidR="00677B60">
        <w:rPr>
          <w:lang w:val="en-GB"/>
        </w:rPr>
        <w:t xml:space="preserve"> </w:t>
      </w:r>
      <w:r w:rsidR="00085101" w:rsidRPr="00085101">
        <w:rPr>
          <w:lang w:val="en-GB"/>
        </w:rPr>
        <w:t xml:space="preserve">Many experimental tests were performed in the past </w:t>
      </w:r>
      <w:proofErr w:type="gramStart"/>
      <w:r w:rsidR="00085101" w:rsidRPr="00085101">
        <w:rPr>
          <w:lang w:val="en-GB"/>
        </w:rPr>
        <w:t>in order to</w:t>
      </w:r>
      <w:proofErr w:type="gramEnd"/>
      <w:r w:rsidR="00085101" w:rsidRPr="00085101">
        <w:rPr>
          <w:lang w:val="en-GB"/>
        </w:rPr>
        <w:t xml:space="preserve"> investigate the behaviour of the flammable mixture composed by liquid hydrogen and oxygen. Those tests established that in case of ignition of a liquid hydrogen</w:t>
      </w:r>
      <w:r w:rsidR="00677B60">
        <w:rPr>
          <w:lang w:val="en-GB"/>
        </w:rPr>
        <w:t>-</w:t>
      </w:r>
      <w:r w:rsidR="00085101" w:rsidRPr="00085101">
        <w:rPr>
          <w:lang w:val="en-GB"/>
        </w:rPr>
        <w:t xml:space="preserve">solid oxygen mixture, a rapid deflagration to detonation transition occurs and can still be observed if the solid oxygen is diluted with nitrogen to 50 % </w:t>
      </w:r>
      <w:proofErr w:type="spellStart"/>
      <w:r w:rsidR="00085101" w:rsidRPr="00085101">
        <w:rPr>
          <w:lang w:val="en-GB"/>
        </w:rPr>
        <w:t>wt</w:t>
      </w:r>
      <w:proofErr w:type="spellEnd"/>
      <w:r w:rsidR="00085101" w:rsidRPr="00085101">
        <w:rPr>
          <w:lang w:val="en-GB"/>
        </w:rPr>
        <w:t>/</w:t>
      </w:r>
      <w:proofErr w:type="spellStart"/>
      <w:r w:rsidR="00085101" w:rsidRPr="00085101">
        <w:rPr>
          <w:lang w:val="en-GB"/>
        </w:rPr>
        <w:t>wt</w:t>
      </w:r>
      <w:proofErr w:type="spellEnd"/>
      <w:r w:rsidR="00085101" w:rsidRPr="00085101">
        <w:rPr>
          <w:lang w:val="en-GB"/>
        </w:rPr>
        <w:t xml:space="preserve"> </w:t>
      </w:r>
      <w:r w:rsidR="00085101" w:rsidRPr="00DB05ED">
        <w:rPr>
          <w:lang w:val="en-GB"/>
        </w:rPr>
        <w:t>(</w:t>
      </w:r>
      <w:r w:rsidR="00DB05ED" w:rsidRPr="00DB05ED">
        <w:rPr>
          <w:lang w:val="en-GB"/>
        </w:rPr>
        <w:t>Atkinson, 2021</w:t>
      </w:r>
      <w:r w:rsidR="00085101" w:rsidRPr="00DB05ED">
        <w:rPr>
          <w:lang w:val="en-GB"/>
        </w:rPr>
        <w:t>)</w:t>
      </w:r>
      <w:r w:rsidR="00085101" w:rsidRPr="00085101">
        <w:rPr>
          <w:lang w:val="en-GB"/>
        </w:rPr>
        <w:t>. For higher nitrogen contents the mixture burns without exploding. This means that if air condenses on the surface of a cryogenic liquid spill, the resulting flammable mixture may or may not lead to a condensed phase explosion if ignited. The outcome depends on the composition of the frozen air and the extent to which it has been enriched by oxygen</w:t>
      </w:r>
      <w:r w:rsidR="00397D33">
        <w:rPr>
          <w:lang w:val="en-GB"/>
        </w:rPr>
        <w:t>. In fact,</w:t>
      </w:r>
      <w:r w:rsidR="00085101" w:rsidRPr="00085101">
        <w:rPr>
          <w:lang w:val="en-GB"/>
        </w:rPr>
        <w:t xml:space="preserve"> oxygen has higher melting and boiling temperatures than nitrogen, therefore it may condense faster than nitrogen, leading to oxygen enrichment in the solidified deposit </w:t>
      </w:r>
      <w:r w:rsidR="00DB05ED" w:rsidRPr="00DB05ED">
        <w:rPr>
          <w:lang w:val="en-GB"/>
        </w:rPr>
        <w:t>(Atkinson, 2021)</w:t>
      </w:r>
      <w:r w:rsidR="00085101" w:rsidRPr="00085101">
        <w:rPr>
          <w:lang w:val="en-GB"/>
        </w:rPr>
        <w:t>.</w:t>
      </w:r>
      <w:r w:rsidR="00C27CCD">
        <w:rPr>
          <w:lang w:val="en-GB"/>
        </w:rPr>
        <w:t xml:space="preserve"> However, o</w:t>
      </w:r>
      <w:r w:rsidR="00C27CCD" w:rsidRPr="00C27CCD">
        <w:rPr>
          <w:lang w:val="en-GB"/>
        </w:rPr>
        <w:t xml:space="preserve">nly the quantity of solid material in contact with LH2 in the pool reaches temperatures close to -253°C. Therefore, only a proportion of the solid deposit might form a detonable mixture with </w:t>
      </w:r>
      <w:r w:rsidR="00BB7F9E">
        <w:rPr>
          <w:lang w:val="en-GB"/>
        </w:rPr>
        <w:t>LH</w:t>
      </w:r>
      <w:r w:rsidR="00BB7F9E" w:rsidRPr="00BB7F9E">
        <w:rPr>
          <w:vertAlign w:val="subscript"/>
          <w:lang w:val="en-GB"/>
        </w:rPr>
        <w:t>2</w:t>
      </w:r>
      <w:r w:rsidR="00C27CCD" w:rsidRPr="00C27CCD">
        <w:rPr>
          <w:lang w:val="en-GB"/>
        </w:rPr>
        <w:t>.</w:t>
      </w:r>
      <w:r w:rsidR="00BB7F9E">
        <w:rPr>
          <w:lang w:val="en-GB"/>
        </w:rPr>
        <w:t xml:space="preserve"> </w:t>
      </w:r>
      <w:r w:rsidR="00085101" w:rsidRPr="00085101">
        <w:rPr>
          <w:lang w:val="en-GB"/>
        </w:rPr>
        <w:t>More recent studies about large spills scenarios onto concrete pads have shown significant condensed phase explosion following the initial ignition (secondary explosion), revealing that some flow conditions such as hydrogen to air ratio and wind conditions lead to oxygen enrichment and facilitate the deflagration to detonation transition.</w:t>
      </w:r>
      <w:r w:rsidR="00085101">
        <w:rPr>
          <w:lang w:val="en-GB"/>
        </w:rPr>
        <w:t xml:space="preserve"> </w:t>
      </w:r>
    </w:p>
    <w:p w14:paraId="5BF61378" w14:textId="1ACCE72D" w:rsidR="00946DA3" w:rsidRDefault="00686E8D" w:rsidP="00100BE8">
      <w:pPr>
        <w:pStyle w:val="CETBodytext"/>
        <w:rPr>
          <w:lang w:val="en-GB"/>
        </w:rPr>
      </w:pPr>
      <w:r>
        <w:rPr>
          <w:lang w:val="en-GB"/>
        </w:rPr>
        <w:t>Other consequences</w:t>
      </w:r>
      <w:r w:rsidR="00100BE8" w:rsidRPr="00100BE8">
        <w:rPr>
          <w:lang w:val="en-GB"/>
        </w:rPr>
        <w:t xml:space="preserve"> connected to the leakage of </w:t>
      </w:r>
      <w:r w:rsidR="00FD78E0">
        <w:rPr>
          <w:lang w:val="en-GB"/>
        </w:rPr>
        <w:t>LH</w:t>
      </w:r>
      <w:r w:rsidR="00FD78E0" w:rsidRPr="00BB7F9E">
        <w:rPr>
          <w:vertAlign w:val="subscript"/>
          <w:lang w:val="en-GB"/>
        </w:rPr>
        <w:t>2</w:t>
      </w:r>
      <w:r w:rsidR="00100BE8" w:rsidRPr="00100BE8">
        <w:rPr>
          <w:lang w:val="en-GB"/>
        </w:rPr>
        <w:t xml:space="preserve"> </w:t>
      </w:r>
      <w:r>
        <w:rPr>
          <w:lang w:val="en-GB"/>
        </w:rPr>
        <w:t>are</w:t>
      </w:r>
      <w:r w:rsidR="00100BE8" w:rsidRPr="00100BE8">
        <w:rPr>
          <w:lang w:val="en-GB"/>
        </w:rPr>
        <w:t xml:space="preserve"> related to the vapour cloud which is formed immediately after the release.</w:t>
      </w:r>
      <w:r w:rsidR="00CC2487">
        <w:rPr>
          <w:lang w:val="en-GB"/>
        </w:rPr>
        <w:t xml:space="preserve"> As previously mentioned</w:t>
      </w:r>
      <w:r w:rsidR="00CC2487" w:rsidRPr="00100BE8">
        <w:rPr>
          <w:lang w:val="en-GB"/>
        </w:rPr>
        <w:t xml:space="preserve">, part of the cryogenic liquid flashes forming a flammable aerosol </w:t>
      </w:r>
      <w:r w:rsidR="00CC2487">
        <w:rPr>
          <w:lang w:val="en-GB"/>
        </w:rPr>
        <w:t xml:space="preserve">(Liu et al., 2019). </w:t>
      </w:r>
      <w:r w:rsidR="00B065F8">
        <w:rPr>
          <w:lang w:val="en-GB"/>
        </w:rPr>
        <w:t>Despite hydrogen has no colour, t</w:t>
      </w:r>
      <w:r w:rsidR="00B065F8" w:rsidRPr="00213536">
        <w:rPr>
          <w:lang w:val="en-GB"/>
        </w:rPr>
        <w:t xml:space="preserve">he cloud is visible due to the condensation of water vapour </w:t>
      </w:r>
      <w:r w:rsidR="00B065F8">
        <w:rPr>
          <w:lang w:val="en-GB"/>
        </w:rPr>
        <w:t>present in</w:t>
      </w:r>
      <w:r w:rsidR="00B065F8" w:rsidRPr="00213536">
        <w:rPr>
          <w:lang w:val="en-GB"/>
        </w:rPr>
        <w:t xml:space="preserve"> air during the release. Moreover, </w:t>
      </w:r>
      <w:r w:rsidR="00B065F8">
        <w:rPr>
          <w:lang w:val="en-GB"/>
        </w:rPr>
        <w:t>the hydrogen</w:t>
      </w:r>
      <w:r w:rsidR="00B065F8" w:rsidRPr="00213536">
        <w:rPr>
          <w:lang w:val="en-GB"/>
        </w:rPr>
        <w:t xml:space="preserve"> dispersion highly depends on the wind speed and direction.</w:t>
      </w:r>
      <w:r w:rsidR="00100BE8" w:rsidRPr="00100BE8">
        <w:rPr>
          <w:lang w:val="en-GB"/>
        </w:rPr>
        <w:t xml:space="preserve"> </w:t>
      </w:r>
      <w:r w:rsidR="00D667AB">
        <w:rPr>
          <w:lang w:val="en-GB"/>
        </w:rPr>
        <w:t xml:space="preserve">Therefore, </w:t>
      </w:r>
      <w:r w:rsidR="00B50777">
        <w:rPr>
          <w:lang w:val="en-GB"/>
        </w:rPr>
        <w:t>a</w:t>
      </w:r>
      <w:r w:rsidR="00D4303A" w:rsidRPr="00100BE8">
        <w:rPr>
          <w:lang w:val="en-GB"/>
        </w:rPr>
        <w:t xml:space="preserve"> flammable atmosphere </w:t>
      </w:r>
      <w:r w:rsidR="00D4303A">
        <w:rPr>
          <w:lang w:val="en-GB"/>
        </w:rPr>
        <w:t>develop</w:t>
      </w:r>
      <w:r w:rsidR="00D667AB">
        <w:rPr>
          <w:lang w:val="en-GB"/>
        </w:rPr>
        <w:t>s</w:t>
      </w:r>
      <w:r w:rsidR="00D4303A">
        <w:rPr>
          <w:lang w:val="en-GB"/>
        </w:rPr>
        <w:t xml:space="preserve"> i</w:t>
      </w:r>
      <w:r w:rsidR="00100BE8" w:rsidRPr="00100BE8">
        <w:rPr>
          <w:lang w:val="en-GB"/>
        </w:rPr>
        <w:t>f th</w:t>
      </w:r>
      <w:r w:rsidR="00D4303A">
        <w:rPr>
          <w:lang w:val="en-GB"/>
        </w:rPr>
        <w:t>e hydrogen</w:t>
      </w:r>
      <w:r w:rsidR="00100BE8" w:rsidRPr="00100BE8">
        <w:rPr>
          <w:lang w:val="en-GB"/>
        </w:rPr>
        <w:t xml:space="preserve"> concentration reaches the lower </w:t>
      </w:r>
      <w:r w:rsidR="00B065F8">
        <w:rPr>
          <w:lang w:val="en-GB"/>
        </w:rPr>
        <w:t>flammability</w:t>
      </w:r>
      <w:r w:rsidR="00100BE8" w:rsidRPr="00100BE8">
        <w:rPr>
          <w:lang w:val="en-GB"/>
        </w:rPr>
        <w:t xml:space="preserve"> limit </w:t>
      </w:r>
      <w:r w:rsidR="00176419">
        <w:rPr>
          <w:lang w:val="en-GB"/>
        </w:rPr>
        <w:t>(LFL)</w:t>
      </w:r>
      <w:r w:rsidR="00100BE8" w:rsidRPr="00100BE8">
        <w:rPr>
          <w:lang w:val="en-GB"/>
        </w:rPr>
        <w:t>.</w:t>
      </w:r>
      <w:r w:rsidR="00D667AB">
        <w:rPr>
          <w:lang w:val="en-GB"/>
        </w:rPr>
        <w:t xml:space="preserve"> </w:t>
      </w:r>
      <w:r w:rsidR="00100BE8" w:rsidRPr="00100BE8">
        <w:rPr>
          <w:lang w:val="en-GB"/>
        </w:rPr>
        <w:t xml:space="preserve">If it is immediately ignited a jet fire continuously fed by the leakage is originated. On the other hand, if an immediate ignition is not present </w:t>
      </w:r>
      <w:r w:rsidR="00A557B1">
        <w:rPr>
          <w:lang w:val="en-GB"/>
        </w:rPr>
        <w:t xml:space="preserve">and </w:t>
      </w:r>
      <w:r w:rsidR="00100BE8" w:rsidRPr="00100BE8">
        <w:rPr>
          <w:lang w:val="en-GB"/>
        </w:rPr>
        <w:t xml:space="preserve">the dilution is fast enough, the cloud disperses safely, </w:t>
      </w:r>
      <w:r w:rsidR="00554272">
        <w:rPr>
          <w:lang w:val="en-GB"/>
        </w:rPr>
        <w:t>while</w:t>
      </w:r>
      <w:r w:rsidR="00100BE8" w:rsidRPr="00100BE8">
        <w:rPr>
          <w:lang w:val="en-GB"/>
        </w:rPr>
        <w:t xml:space="preserve"> </w:t>
      </w:r>
      <w:r w:rsidR="006D66ED">
        <w:rPr>
          <w:lang w:val="en-GB"/>
        </w:rPr>
        <w:t xml:space="preserve">a </w:t>
      </w:r>
      <w:r w:rsidR="00554272" w:rsidRPr="00100BE8">
        <w:rPr>
          <w:lang w:val="en-GB"/>
        </w:rPr>
        <w:t>fire or a</w:t>
      </w:r>
      <w:r w:rsidR="00A71727">
        <w:rPr>
          <w:lang w:val="en-GB"/>
        </w:rPr>
        <w:t>n</w:t>
      </w:r>
      <w:r w:rsidR="00554272" w:rsidRPr="00100BE8">
        <w:rPr>
          <w:lang w:val="en-GB"/>
        </w:rPr>
        <w:t xml:space="preserve"> explosion are generated </w:t>
      </w:r>
      <w:r w:rsidR="00100BE8" w:rsidRPr="00100BE8">
        <w:rPr>
          <w:lang w:val="en-GB"/>
        </w:rPr>
        <w:t xml:space="preserve">if the cloud </w:t>
      </w:r>
      <w:r w:rsidR="00946DA3">
        <w:rPr>
          <w:lang w:val="en-GB"/>
        </w:rPr>
        <w:t>encounters</w:t>
      </w:r>
      <w:r w:rsidR="00100BE8" w:rsidRPr="00100BE8">
        <w:rPr>
          <w:lang w:val="en-GB"/>
        </w:rPr>
        <w:t xml:space="preserve"> a delayed ignition </w:t>
      </w:r>
      <w:r w:rsidR="00946DA3">
        <w:rPr>
          <w:lang w:val="en-GB"/>
        </w:rPr>
        <w:t>(</w:t>
      </w:r>
      <w:r w:rsidR="00100BE8" w:rsidRPr="00100BE8">
        <w:rPr>
          <w:lang w:val="en-GB"/>
        </w:rPr>
        <w:t>1-5 minutes after the release began</w:t>
      </w:r>
      <w:r w:rsidR="00946DA3">
        <w:rPr>
          <w:lang w:val="en-GB"/>
        </w:rPr>
        <w:t>)</w:t>
      </w:r>
      <w:r w:rsidR="00100BE8" w:rsidRPr="00100BE8">
        <w:rPr>
          <w:lang w:val="en-GB"/>
        </w:rPr>
        <w:t>:</w:t>
      </w:r>
    </w:p>
    <w:p w14:paraId="3FF8C0CA" w14:textId="3719FE3A" w:rsidR="00100BE8" w:rsidRPr="00100BE8" w:rsidRDefault="00946DA3" w:rsidP="009B7D93">
      <w:pPr>
        <w:pStyle w:val="CETBodytext"/>
        <w:numPr>
          <w:ilvl w:val="0"/>
          <w:numId w:val="26"/>
        </w:numPr>
        <w:ind w:left="340" w:hanging="227"/>
        <w:rPr>
          <w:lang w:val="en-GB"/>
        </w:rPr>
      </w:pPr>
      <w:r>
        <w:rPr>
          <w:lang w:val="en-GB"/>
        </w:rPr>
        <w:t>v</w:t>
      </w:r>
      <w:r w:rsidR="00100BE8" w:rsidRPr="00100BE8">
        <w:rPr>
          <w:lang w:val="en-GB"/>
        </w:rPr>
        <w:t>apour cloud fire: fire with no explosive effects</w:t>
      </w:r>
    </w:p>
    <w:p w14:paraId="2FF6F717" w14:textId="77777777" w:rsidR="000D64E0" w:rsidRDefault="00946DA3" w:rsidP="009B7D93">
      <w:pPr>
        <w:pStyle w:val="CETBodytext"/>
        <w:numPr>
          <w:ilvl w:val="0"/>
          <w:numId w:val="26"/>
        </w:numPr>
        <w:ind w:left="340" w:hanging="227"/>
        <w:rPr>
          <w:lang w:val="en-GB"/>
        </w:rPr>
      </w:pPr>
      <w:r>
        <w:rPr>
          <w:lang w:val="en-GB"/>
        </w:rPr>
        <w:t>v</w:t>
      </w:r>
      <w:r w:rsidR="00100BE8" w:rsidRPr="00100BE8">
        <w:rPr>
          <w:lang w:val="en-GB"/>
        </w:rPr>
        <w:t>apour cloud explosion</w:t>
      </w:r>
      <w:r>
        <w:rPr>
          <w:lang w:val="en-GB"/>
        </w:rPr>
        <w:t xml:space="preserve"> (VCE)</w:t>
      </w:r>
      <w:r w:rsidR="000D64E0">
        <w:rPr>
          <w:lang w:val="en-GB"/>
        </w:rPr>
        <w:t>:</w:t>
      </w:r>
      <w:r w:rsidR="00100BE8" w:rsidRPr="00100BE8">
        <w:rPr>
          <w:lang w:val="en-GB"/>
        </w:rPr>
        <w:t xml:space="preserve"> fire with explosive effects. </w:t>
      </w:r>
    </w:p>
    <w:p w14:paraId="6E0A46A4" w14:textId="542E645A" w:rsidR="00397D33" w:rsidRDefault="000D64E0" w:rsidP="00100BE8">
      <w:pPr>
        <w:pStyle w:val="CETBodytext"/>
        <w:rPr>
          <w:lang w:val="en-GB"/>
        </w:rPr>
      </w:pPr>
      <w:r>
        <w:rPr>
          <w:lang w:val="en-GB"/>
        </w:rPr>
        <w:t xml:space="preserve">A VCE </w:t>
      </w:r>
      <w:r w:rsidR="00100BE8" w:rsidRPr="00100BE8">
        <w:rPr>
          <w:lang w:val="en-GB"/>
        </w:rPr>
        <w:t>occurs when the flame front accelerates to a velocity higher than 40 m/s in presence of partial confinement</w:t>
      </w:r>
      <w:r w:rsidR="00B463DB">
        <w:rPr>
          <w:lang w:val="en-GB"/>
        </w:rPr>
        <w:t xml:space="preserve"> (Thomas et al., 20</w:t>
      </w:r>
      <w:r w:rsidR="00E07E86">
        <w:rPr>
          <w:lang w:val="en-GB"/>
        </w:rPr>
        <w:t>14</w:t>
      </w:r>
      <w:r w:rsidR="00B463DB">
        <w:rPr>
          <w:lang w:val="en-GB"/>
        </w:rPr>
        <w:t>)</w:t>
      </w:r>
      <w:r w:rsidR="00100BE8" w:rsidRPr="00100BE8">
        <w:rPr>
          <w:lang w:val="en-GB"/>
        </w:rPr>
        <w:t>.</w:t>
      </w:r>
      <w:r>
        <w:rPr>
          <w:lang w:val="en-GB"/>
        </w:rPr>
        <w:t xml:space="preserve"> </w:t>
      </w:r>
      <w:r w:rsidR="00100BE8" w:rsidRPr="00100BE8">
        <w:rPr>
          <w:lang w:val="en-GB"/>
        </w:rPr>
        <w:t>Since the consequences of an explosion event are extremely severe</w:t>
      </w:r>
      <w:r w:rsidR="00946DA3">
        <w:rPr>
          <w:lang w:val="en-GB"/>
        </w:rPr>
        <w:t>,</w:t>
      </w:r>
      <w:r w:rsidR="00100BE8" w:rsidRPr="00100BE8">
        <w:rPr>
          <w:lang w:val="en-GB"/>
        </w:rPr>
        <w:t xml:space="preserve"> the </w:t>
      </w:r>
      <w:r w:rsidR="00200CB7">
        <w:rPr>
          <w:lang w:val="en-GB"/>
        </w:rPr>
        <w:t xml:space="preserve">prediction of the </w:t>
      </w:r>
      <w:r w:rsidR="00946DA3">
        <w:rPr>
          <w:lang w:val="en-GB"/>
        </w:rPr>
        <w:t xml:space="preserve">hydrogen </w:t>
      </w:r>
      <w:r w:rsidR="00100BE8" w:rsidRPr="00100BE8">
        <w:rPr>
          <w:lang w:val="en-GB"/>
        </w:rPr>
        <w:t>concentration</w:t>
      </w:r>
      <w:r w:rsidR="00200CB7">
        <w:rPr>
          <w:lang w:val="en-GB"/>
        </w:rPr>
        <w:t xml:space="preserve"> in</w:t>
      </w:r>
      <w:r w:rsidR="00100BE8" w:rsidRPr="00100BE8">
        <w:rPr>
          <w:lang w:val="en-GB"/>
        </w:rPr>
        <w:t xml:space="preserve"> the cloud is crucial</w:t>
      </w:r>
      <w:r w:rsidR="00100BE8" w:rsidRPr="00E16D53">
        <w:rPr>
          <w:lang w:val="en-GB"/>
        </w:rPr>
        <w:t>.</w:t>
      </w:r>
    </w:p>
    <w:p w14:paraId="7007E28F" w14:textId="739BE76E" w:rsidR="00E755F8" w:rsidRDefault="00E755F8" w:rsidP="00FA5179">
      <w:pPr>
        <w:pStyle w:val="CETheadingx"/>
      </w:pPr>
      <w:r>
        <w:t>M</w:t>
      </w:r>
      <w:r w:rsidR="003239F5">
        <w:t>itigation m</w:t>
      </w:r>
      <w:r>
        <w:t xml:space="preserve">easures </w:t>
      </w:r>
    </w:p>
    <w:p w14:paraId="4A6A85CD" w14:textId="4D2C23F2" w:rsidR="00FA5179" w:rsidRDefault="007F4ACD" w:rsidP="001074C4">
      <w:pPr>
        <w:pStyle w:val="CETBodytext"/>
        <w:rPr>
          <w:lang w:val="en-GB"/>
        </w:rPr>
      </w:pPr>
      <w:r w:rsidRPr="007F4ACD">
        <w:rPr>
          <w:lang w:val="en-GB"/>
        </w:rPr>
        <w:t xml:space="preserve">Once the release has occurred, some safety procedures should be automatically activated. Typically, sensors and detectors can be used to detect hydrogen leakages. These sensors </w:t>
      </w:r>
      <w:proofErr w:type="gramStart"/>
      <w:r w:rsidRPr="007F4ACD">
        <w:rPr>
          <w:lang w:val="en-GB"/>
        </w:rPr>
        <w:t>are able to</w:t>
      </w:r>
      <w:proofErr w:type="gramEnd"/>
      <w:r w:rsidRPr="007F4ACD">
        <w:rPr>
          <w:lang w:val="en-GB"/>
        </w:rPr>
        <w:t xml:space="preserve"> shut down systems, limiting the amount of liquid hydrogen released, and activate alarms to warn the operators.</w:t>
      </w:r>
      <w:r w:rsidR="00CD332B">
        <w:rPr>
          <w:lang w:val="en-GB"/>
        </w:rPr>
        <w:t xml:space="preserve"> </w:t>
      </w:r>
      <w:r w:rsidR="007D124B">
        <w:rPr>
          <w:lang w:val="en-GB"/>
        </w:rPr>
        <w:t>It is suggested</w:t>
      </w:r>
      <w:r w:rsidR="00CD332B" w:rsidRPr="007D124B">
        <w:rPr>
          <w:lang w:val="en-GB"/>
        </w:rPr>
        <w:t xml:space="preserve"> to set the set point</w:t>
      </w:r>
      <w:r w:rsidR="007D124B" w:rsidRPr="007D124B">
        <w:rPr>
          <w:lang w:val="en-GB"/>
        </w:rPr>
        <w:t xml:space="preserve"> of the detector</w:t>
      </w:r>
      <w:r w:rsidR="00CD332B" w:rsidRPr="007D124B">
        <w:rPr>
          <w:lang w:val="en-GB"/>
        </w:rPr>
        <w:t xml:space="preserve"> </w:t>
      </w:r>
      <w:r w:rsidR="007D124B" w:rsidRPr="007D124B">
        <w:rPr>
          <w:lang w:val="en-GB"/>
        </w:rPr>
        <w:t>to a hydrogen concentration of</w:t>
      </w:r>
      <w:r w:rsidR="00CD332B" w:rsidRPr="007D124B">
        <w:rPr>
          <w:lang w:val="en-GB"/>
        </w:rPr>
        <w:t xml:space="preserve"> 1%</w:t>
      </w:r>
      <w:r w:rsidR="007D124B" w:rsidRPr="007D124B">
        <w:rPr>
          <w:lang w:val="en-GB"/>
        </w:rPr>
        <w:t>vol</w:t>
      </w:r>
      <w:r w:rsidR="00CD332B" w:rsidRPr="007D124B">
        <w:rPr>
          <w:lang w:val="en-GB"/>
        </w:rPr>
        <w:t xml:space="preserve"> in air, which corresponds to 25% of the lower flammability limit (LFL)</w:t>
      </w:r>
      <w:r w:rsidR="00CD332B">
        <w:rPr>
          <w:lang w:val="en-GB"/>
        </w:rPr>
        <w:t xml:space="preserve"> (</w:t>
      </w:r>
      <w:proofErr w:type="spellStart"/>
      <w:r w:rsidR="009C33AD" w:rsidRPr="009C33AD">
        <w:rPr>
          <w:lang w:val="en-GB"/>
        </w:rPr>
        <w:t>HydrogenTools</w:t>
      </w:r>
      <w:proofErr w:type="spellEnd"/>
      <w:r w:rsidR="009C33AD" w:rsidRPr="009C33AD">
        <w:rPr>
          <w:lang w:val="en-GB"/>
        </w:rPr>
        <w:t>, 2022</w:t>
      </w:r>
      <w:r w:rsidR="00CD332B">
        <w:rPr>
          <w:lang w:val="en-GB"/>
        </w:rPr>
        <w:t>)</w:t>
      </w:r>
      <w:r w:rsidR="00CD332B" w:rsidRPr="00CD332B">
        <w:rPr>
          <w:lang w:val="en-GB"/>
        </w:rPr>
        <w:t>.</w:t>
      </w:r>
      <w:r w:rsidR="00742AA4">
        <w:rPr>
          <w:lang w:val="en-GB"/>
        </w:rPr>
        <w:t xml:space="preserve"> </w:t>
      </w:r>
      <w:r w:rsidR="006F14B2" w:rsidRPr="006F14B2">
        <w:rPr>
          <w:lang w:val="en-GB"/>
        </w:rPr>
        <w:t>Sensor</w:t>
      </w:r>
      <w:r w:rsidR="00B030FE">
        <w:rPr>
          <w:lang w:val="en-GB"/>
        </w:rPr>
        <w:t>s</w:t>
      </w:r>
      <w:r w:rsidR="006F14B2" w:rsidRPr="006F14B2">
        <w:rPr>
          <w:lang w:val="en-GB"/>
        </w:rPr>
        <w:t xml:space="preserve"> and detectors might also be designed so that they could activate mitigation tools, such as sprinklers, water curtains or release inert gases in case of hydrogen leakage detection, as well as ventilation.</w:t>
      </w:r>
    </w:p>
    <w:p w14:paraId="5741900F" w14:textId="53028527" w:rsidR="00453E24" w:rsidRPr="00854F71" w:rsidRDefault="001074C4" w:rsidP="00453E24">
      <w:pPr>
        <w:pStyle w:val="CETHeading1"/>
        <w:rPr>
          <w:lang w:val="en-GB"/>
        </w:rPr>
      </w:pPr>
      <w:r w:rsidRPr="00854F71">
        <w:rPr>
          <w:lang w:val="en-GB"/>
        </w:rPr>
        <w:t>Methodology</w:t>
      </w:r>
    </w:p>
    <w:p w14:paraId="2B03F8FD" w14:textId="3676A6F9" w:rsidR="00BD1C83" w:rsidRDefault="00633E8F" w:rsidP="00453E24">
      <w:pPr>
        <w:pStyle w:val="CETBodytext"/>
        <w:rPr>
          <w:lang w:val="en-GB"/>
        </w:rPr>
      </w:pPr>
      <w:r>
        <w:rPr>
          <w:lang w:val="en-GB"/>
        </w:rPr>
        <w:t xml:space="preserve">An </w:t>
      </w:r>
      <w:r w:rsidRPr="00854F71">
        <w:rPr>
          <w:lang w:val="en-GB"/>
        </w:rPr>
        <w:t>advanced machine learning approach</w:t>
      </w:r>
      <w:r>
        <w:rPr>
          <w:lang w:val="en-GB"/>
        </w:rPr>
        <w:t xml:space="preserve"> </w:t>
      </w:r>
      <w:r w:rsidR="00BA5735">
        <w:rPr>
          <w:lang w:val="en-GB"/>
        </w:rPr>
        <w:t xml:space="preserve">was adopted in this study to </w:t>
      </w:r>
      <w:r w:rsidR="00BA5735" w:rsidRPr="00854F71">
        <w:rPr>
          <w:lang w:val="en-GB"/>
        </w:rPr>
        <w:t>provide critical insights on the oxygen condensation and solidification</w:t>
      </w:r>
      <w:r w:rsidR="00B6420D">
        <w:rPr>
          <w:lang w:val="en-GB"/>
        </w:rPr>
        <w:t>, and hydrogen dispersion</w:t>
      </w:r>
      <w:r w:rsidR="00573435">
        <w:rPr>
          <w:lang w:val="en-GB"/>
        </w:rPr>
        <w:t xml:space="preserve"> (concentration) </w:t>
      </w:r>
      <w:r w:rsidR="00BA5735" w:rsidRPr="00854F71">
        <w:rPr>
          <w:lang w:val="en-GB"/>
        </w:rPr>
        <w:t>during an LH</w:t>
      </w:r>
      <w:r w:rsidR="00BA5735" w:rsidRPr="00854F71">
        <w:rPr>
          <w:vertAlign w:val="subscript"/>
          <w:lang w:val="en-GB"/>
        </w:rPr>
        <w:t>2</w:t>
      </w:r>
      <w:r w:rsidR="00BA5735" w:rsidRPr="00854F71">
        <w:rPr>
          <w:lang w:val="en-GB"/>
        </w:rPr>
        <w:t xml:space="preserve"> accidental release</w:t>
      </w:r>
      <w:r w:rsidR="00287ADD">
        <w:rPr>
          <w:lang w:val="en-GB"/>
        </w:rPr>
        <w:t xml:space="preserve"> in the vicinity of the </w:t>
      </w:r>
      <w:r w:rsidR="00C32EB6">
        <w:rPr>
          <w:lang w:val="en-GB"/>
        </w:rPr>
        <w:t>leakage</w:t>
      </w:r>
      <w:r w:rsidR="00BA5735" w:rsidRPr="00854F71">
        <w:rPr>
          <w:lang w:val="en-GB"/>
        </w:rPr>
        <w:t>.</w:t>
      </w:r>
      <w:r w:rsidR="00B6420D">
        <w:rPr>
          <w:lang w:val="en-GB"/>
        </w:rPr>
        <w:t xml:space="preserve"> </w:t>
      </w:r>
      <w:r w:rsidR="004C6E7F" w:rsidRPr="001A2719">
        <w:rPr>
          <w:lang w:val="en-GB"/>
        </w:rPr>
        <w:t>In machine learning, t</w:t>
      </w:r>
      <w:r w:rsidR="00335180" w:rsidRPr="001A2719">
        <w:rPr>
          <w:lang w:val="en-GB"/>
        </w:rPr>
        <w:t>he s</w:t>
      </w:r>
      <w:r w:rsidR="001F5C32" w:rsidRPr="001A2719">
        <w:rPr>
          <w:lang w:val="en-GB"/>
        </w:rPr>
        <w:t xml:space="preserve">upervised learning </w:t>
      </w:r>
      <w:r w:rsidR="004C6E7F" w:rsidRPr="001A2719">
        <w:rPr>
          <w:lang w:val="en-GB"/>
        </w:rPr>
        <w:t xml:space="preserve">approach is used when the model </w:t>
      </w:r>
      <w:r w:rsidR="001F5C32" w:rsidRPr="001A2719">
        <w:rPr>
          <w:lang w:val="en-GB"/>
        </w:rPr>
        <w:t xml:space="preserve">is fed with both input and output data to perform a task, such as </w:t>
      </w:r>
      <w:r w:rsidR="00C25DE4" w:rsidRPr="001A2719">
        <w:rPr>
          <w:lang w:val="en-GB"/>
        </w:rPr>
        <w:t>c</w:t>
      </w:r>
      <w:r w:rsidR="001F5C32" w:rsidRPr="001A2719">
        <w:rPr>
          <w:lang w:val="en-GB"/>
        </w:rPr>
        <w:t xml:space="preserve">lassification (for categories or classes prediction) or </w:t>
      </w:r>
      <w:r w:rsidR="00C25DE4" w:rsidRPr="001A2719">
        <w:rPr>
          <w:lang w:val="en-GB"/>
        </w:rPr>
        <w:t>r</w:t>
      </w:r>
      <w:r w:rsidR="001F5C32" w:rsidRPr="001A2719">
        <w:rPr>
          <w:lang w:val="en-GB"/>
        </w:rPr>
        <w:t xml:space="preserve">egression (to predict a continuous outcome). </w:t>
      </w:r>
      <w:r w:rsidR="001F5C32" w:rsidRPr="00665FEE">
        <w:rPr>
          <w:lang w:val="en-GB"/>
        </w:rPr>
        <w:t xml:space="preserve">In this work, </w:t>
      </w:r>
      <w:r w:rsidR="00C25DE4" w:rsidRPr="00665FEE">
        <w:rPr>
          <w:lang w:val="en-GB"/>
        </w:rPr>
        <w:t xml:space="preserve">the </w:t>
      </w:r>
      <w:r w:rsidR="001F5C32" w:rsidRPr="00665FEE">
        <w:rPr>
          <w:lang w:val="en-GB"/>
        </w:rPr>
        <w:t>supervised learning</w:t>
      </w:r>
      <w:r w:rsidR="00C25DE4" w:rsidRPr="00665FEE">
        <w:rPr>
          <w:lang w:val="en-GB"/>
        </w:rPr>
        <w:t xml:space="preserve"> method</w:t>
      </w:r>
      <w:r w:rsidR="001F5C32" w:rsidRPr="00665FEE">
        <w:rPr>
          <w:lang w:val="en-GB"/>
        </w:rPr>
        <w:t xml:space="preserve"> </w:t>
      </w:r>
      <w:r w:rsidR="00C25DE4" w:rsidRPr="00665FEE">
        <w:rPr>
          <w:lang w:val="en-GB"/>
        </w:rPr>
        <w:t>w</w:t>
      </w:r>
      <w:r w:rsidR="001F5C32" w:rsidRPr="00665FEE">
        <w:rPr>
          <w:lang w:val="en-GB"/>
        </w:rPr>
        <w:t xml:space="preserve">as </w:t>
      </w:r>
      <w:r w:rsidR="00C25DE4" w:rsidRPr="00665FEE">
        <w:rPr>
          <w:lang w:val="en-GB"/>
        </w:rPr>
        <w:t>employed</w:t>
      </w:r>
      <w:r w:rsidR="001F5C32" w:rsidRPr="00665FEE">
        <w:rPr>
          <w:lang w:val="en-GB"/>
        </w:rPr>
        <w:t xml:space="preserve"> </w:t>
      </w:r>
      <w:r w:rsidR="00C25DE4" w:rsidRPr="00665FEE">
        <w:rPr>
          <w:lang w:val="en-GB"/>
        </w:rPr>
        <w:t>only with the</w:t>
      </w:r>
      <w:r w:rsidR="001F5C32" w:rsidRPr="00665FEE">
        <w:rPr>
          <w:lang w:val="en-GB"/>
        </w:rPr>
        <w:t xml:space="preserve"> </w:t>
      </w:r>
      <w:r w:rsidR="00C25DE4" w:rsidRPr="00665FEE">
        <w:rPr>
          <w:lang w:val="en-GB"/>
        </w:rPr>
        <w:t>c</w:t>
      </w:r>
      <w:r w:rsidR="001F5C32" w:rsidRPr="00665FEE">
        <w:rPr>
          <w:lang w:val="en-GB"/>
        </w:rPr>
        <w:t xml:space="preserve">lassification </w:t>
      </w:r>
      <w:r w:rsidR="00C25DE4" w:rsidRPr="00665FEE">
        <w:rPr>
          <w:lang w:val="en-GB"/>
        </w:rPr>
        <w:t>task</w:t>
      </w:r>
      <w:r w:rsidR="001F5C32" w:rsidRPr="00665FEE">
        <w:rPr>
          <w:lang w:val="en-GB"/>
        </w:rPr>
        <w:t xml:space="preserve"> since the aim </w:t>
      </w:r>
      <w:r w:rsidR="00FC2C0C" w:rsidRPr="00665FEE">
        <w:rPr>
          <w:lang w:val="en-GB"/>
        </w:rPr>
        <w:t>wa</w:t>
      </w:r>
      <w:r w:rsidR="001F5C32" w:rsidRPr="00665FEE">
        <w:rPr>
          <w:lang w:val="en-GB"/>
        </w:rPr>
        <w:t xml:space="preserve">s to </w:t>
      </w:r>
      <w:r w:rsidR="00330F79" w:rsidRPr="00665FEE">
        <w:rPr>
          <w:lang w:val="en-GB"/>
        </w:rPr>
        <w:t>investigate if</w:t>
      </w:r>
      <w:r w:rsidR="001F5C32" w:rsidRPr="00665FEE">
        <w:rPr>
          <w:lang w:val="en-GB"/>
        </w:rPr>
        <w:t xml:space="preserve"> </w:t>
      </w:r>
      <w:r w:rsidR="00131D68" w:rsidRPr="00665FEE">
        <w:rPr>
          <w:lang w:val="en-GB"/>
        </w:rPr>
        <w:t>the cryogenic LH</w:t>
      </w:r>
      <w:r w:rsidR="00131D68" w:rsidRPr="00665FEE">
        <w:rPr>
          <w:vertAlign w:val="subscript"/>
          <w:lang w:val="en-GB"/>
        </w:rPr>
        <w:t>2</w:t>
      </w:r>
      <w:r w:rsidR="001F5C32" w:rsidRPr="00665FEE">
        <w:rPr>
          <w:lang w:val="en-GB"/>
        </w:rPr>
        <w:t xml:space="preserve"> release </w:t>
      </w:r>
      <w:r w:rsidR="00131D68" w:rsidRPr="00665FEE">
        <w:rPr>
          <w:lang w:val="en-GB"/>
        </w:rPr>
        <w:t xml:space="preserve">can </w:t>
      </w:r>
      <w:r w:rsidR="006967AB" w:rsidRPr="00665FEE">
        <w:rPr>
          <w:lang w:val="en-GB"/>
        </w:rPr>
        <w:lastRenderedPageBreak/>
        <w:t>provoke</w:t>
      </w:r>
      <w:r w:rsidR="001F5C32" w:rsidRPr="00665FEE">
        <w:rPr>
          <w:lang w:val="en-GB"/>
        </w:rPr>
        <w:t xml:space="preserve"> liquefaction or solidification</w:t>
      </w:r>
      <w:r w:rsidR="00FC2C0C" w:rsidRPr="00665FEE">
        <w:rPr>
          <w:lang w:val="en-GB"/>
        </w:rPr>
        <w:t xml:space="preserve"> of air components</w:t>
      </w:r>
      <w:r w:rsidR="001F5C32" w:rsidRPr="00665FEE">
        <w:rPr>
          <w:lang w:val="en-GB"/>
        </w:rPr>
        <w:t>, and if</w:t>
      </w:r>
      <w:r w:rsidR="0049701F" w:rsidRPr="00665FEE">
        <w:rPr>
          <w:lang w:val="en-GB"/>
        </w:rPr>
        <w:t xml:space="preserve"> a flammable</w:t>
      </w:r>
      <w:r w:rsidR="00F930AE" w:rsidRPr="00665FEE">
        <w:rPr>
          <w:lang w:val="en-GB"/>
        </w:rPr>
        <w:t xml:space="preserve"> gaseous </w:t>
      </w:r>
      <w:r w:rsidR="001F5C32" w:rsidRPr="00665FEE">
        <w:rPr>
          <w:lang w:val="en-GB"/>
        </w:rPr>
        <w:t>cloud</w:t>
      </w:r>
      <w:r w:rsidR="00A43BC6" w:rsidRPr="00665FEE">
        <w:rPr>
          <w:lang w:val="en-GB"/>
        </w:rPr>
        <w:t xml:space="preserve"> develops</w:t>
      </w:r>
      <w:r w:rsidR="001F5C32" w:rsidRPr="00665FEE">
        <w:rPr>
          <w:lang w:val="en-GB"/>
        </w:rPr>
        <w:t xml:space="preserve">, </w:t>
      </w:r>
      <w:proofErr w:type="gramStart"/>
      <w:r w:rsidR="001F5C32" w:rsidRPr="00665FEE">
        <w:rPr>
          <w:lang w:val="en-GB"/>
        </w:rPr>
        <w:t>i.e.</w:t>
      </w:r>
      <w:proofErr w:type="gramEnd"/>
      <w:r w:rsidR="001F5C32" w:rsidRPr="00665FEE">
        <w:rPr>
          <w:lang w:val="en-GB"/>
        </w:rPr>
        <w:t xml:space="preserve"> if the hydrogen concentration is higher than the LFL. </w:t>
      </w:r>
      <w:proofErr w:type="gramStart"/>
      <w:r w:rsidR="001F5C32" w:rsidRPr="00665FEE">
        <w:rPr>
          <w:lang w:val="en-GB"/>
        </w:rPr>
        <w:t>In particular, a</w:t>
      </w:r>
      <w:proofErr w:type="gramEnd"/>
      <w:r w:rsidR="001F5C32" w:rsidRPr="00665FEE">
        <w:rPr>
          <w:lang w:val="en-GB"/>
        </w:rPr>
        <w:t xml:space="preserve"> linear model was used in the framework of the python library </w:t>
      </w:r>
      <w:proofErr w:type="spellStart"/>
      <w:r w:rsidR="001F5C32" w:rsidRPr="00665FEE">
        <w:rPr>
          <w:lang w:val="en-GB"/>
        </w:rPr>
        <w:t>Tensorflow</w:t>
      </w:r>
      <w:proofErr w:type="spellEnd"/>
      <w:r w:rsidR="001F5C32" w:rsidRPr="00665FEE">
        <w:rPr>
          <w:lang w:val="en-GB"/>
        </w:rPr>
        <w:t>.</w:t>
      </w:r>
    </w:p>
    <w:p w14:paraId="6B715F7C" w14:textId="2E143F9E" w:rsidR="00592CE7" w:rsidRDefault="00BD1C83" w:rsidP="00453E24">
      <w:pPr>
        <w:pStyle w:val="CETBodytext"/>
        <w:rPr>
          <w:lang w:val="en-GB"/>
        </w:rPr>
      </w:pPr>
      <w:r w:rsidRPr="00BD1C83">
        <w:rPr>
          <w:lang w:val="en-GB"/>
        </w:rPr>
        <w:t xml:space="preserve">The first step in developing a machine learning </w:t>
      </w:r>
      <w:r w:rsidR="00633E8F">
        <w:rPr>
          <w:lang w:val="en-GB"/>
        </w:rPr>
        <w:t>model</w:t>
      </w:r>
      <w:r w:rsidRPr="00BD1C83">
        <w:rPr>
          <w:lang w:val="en-GB"/>
        </w:rPr>
        <w:t xml:space="preserve"> is to build a database</w:t>
      </w:r>
      <w:r w:rsidR="009B121A">
        <w:rPr>
          <w:lang w:val="en-GB"/>
        </w:rPr>
        <w:t xml:space="preserve"> (matrix)</w:t>
      </w:r>
      <w:r w:rsidRPr="00BD1C83">
        <w:rPr>
          <w:lang w:val="en-GB"/>
        </w:rPr>
        <w:t xml:space="preserve"> containing both features and labels</w:t>
      </w:r>
      <w:r>
        <w:rPr>
          <w:lang w:val="en-GB"/>
        </w:rPr>
        <w:t>.</w:t>
      </w:r>
      <w:r w:rsidRPr="00BD1C83">
        <w:rPr>
          <w:lang w:val="en-GB"/>
        </w:rPr>
        <w:t xml:space="preserve"> </w:t>
      </w:r>
      <w:r w:rsidR="001A1831">
        <w:rPr>
          <w:lang w:val="en-GB"/>
        </w:rPr>
        <w:t>The f</w:t>
      </w:r>
      <w:r w:rsidR="00E50BFF">
        <w:rPr>
          <w:lang w:val="en-GB"/>
        </w:rPr>
        <w:t>eatures</w:t>
      </w:r>
      <w:r w:rsidR="001A1831">
        <w:rPr>
          <w:lang w:val="en-GB"/>
        </w:rPr>
        <w:t xml:space="preserve"> are </w:t>
      </w:r>
      <w:r w:rsidR="001A1831" w:rsidRPr="001A1831">
        <w:rPr>
          <w:lang w:val="en-GB"/>
        </w:rPr>
        <w:t>vector of attributes associated to an instance of data</w:t>
      </w:r>
      <w:r w:rsidR="001157F9">
        <w:rPr>
          <w:lang w:val="en-GB"/>
        </w:rPr>
        <w:t xml:space="preserve">. </w:t>
      </w:r>
      <w:proofErr w:type="gramStart"/>
      <w:r w:rsidR="0071324B">
        <w:rPr>
          <w:lang w:val="en-GB"/>
        </w:rPr>
        <w:t>In order t</w:t>
      </w:r>
      <w:r w:rsidR="00D85E44" w:rsidRPr="00D85E44">
        <w:rPr>
          <w:lang w:val="en-GB"/>
        </w:rPr>
        <w:t>o</w:t>
      </w:r>
      <w:proofErr w:type="gramEnd"/>
      <w:r w:rsidR="00D85E44" w:rsidRPr="00D85E44">
        <w:rPr>
          <w:lang w:val="en-GB"/>
        </w:rPr>
        <w:t xml:space="preserve"> predict the liquefaction or freezing of air components due to liquid hydrogen leakage,</w:t>
      </w:r>
      <w:r w:rsidR="0071324B">
        <w:rPr>
          <w:lang w:val="en-GB"/>
        </w:rPr>
        <w:t xml:space="preserve"> and the hydrogen concentration close to the release</w:t>
      </w:r>
      <w:r w:rsidR="00FD3EF1">
        <w:rPr>
          <w:lang w:val="en-GB"/>
        </w:rPr>
        <w:t xml:space="preserve"> point</w:t>
      </w:r>
      <w:r w:rsidR="0071324B">
        <w:rPr>
          <w:lang w:val="en-GB"/>
        </w:rPr>
        <w:t>, the</w:t>
      </w:r>
      <w:r w:rsidR="00D85E44" w:rsidRPr="00D85E44">
        <w:rPr>
          <w:lang w:val="en-GB"/>
        </w:rPr>
        <w:t xml:space="preserve"> features </w:t>
      </w:r>
      <w:r w:rsidR="0071324B">
        <w:rPr>
          <w:lang w:val="en-GB"/>
        </w:rPr>
        <w:t>selected to build the database were the following</w:t>
      </w:r>
      <w:r w:rsidR="00665A4B">
        <w:rPr>
          <w:lang w:val="en-GB"/>
        </w:rPr>
        <w:t xml:space="preserve"> parameters measured during the experimental tests</w:t>
      </w:r>
      <w:r w:rsidR="0071324B">
        <w:rPr>
          <w:lang w:val="en-GB"/>
        </w:rPr>
        <w:t>:</w:t>
      </w:r>
    </w:p>
    <w:p w14:paraId="3D0EE9D5" w14:textId="4F9D219B" w:rsidR="00592CE7" w:rsidRPr="00592CE7" w:rsidRDefault="00592CE7" w:rsidP="009B7D93">
      <w:pPr>
        <w:pStyle w:val="CETBodytext"/>
        <w:numPr>
          <w:ilvl w:val="0"/>
          <w:numId w:val="24"/>
        </w:numPr>
        <w:ind w:left="340" w:hanging="227"/>
        <w:rPr>
          <w:lang w:val="en-GB"/>
        </w:rPr>
      </w:pPr>
      <w:r w:rsidRPr="00592CE7">
        <w:rPr>
          <w:lang w:val="en-GB"/>
        </w:rPr>
        <w:t xml:space="preserve">the timestamp </w:t>
      </w:r>
      <w:r w:rsidR="001B6390">
        <w:rPr>
          <w:lang w:val="en-GB"/>
        </w:rPr>
        <w:t>which corresponds to the sampl</w:t>
      </w:r>
      <w:r w:rsidR="005A61B4">
        <w:rPr>
          <w:lang w:val="en-GB"/>
        </w:rPr>
        <w:t>ing</w:t>
      </w:r>
      <w:r w:rsidR="001B6390">
        <w:rPr>
          <w:lang w:val="en-GB"/>
        </w:rPr>
        <w:t xml:space="preserve"> rate of the</w:t>
      </w:r>
      <w:r w:rsidR="008C3C1B">
        <w:rPr>
          <w:lang w:val="en-GB"/>
        </w:rPr>
        <w:t xml:space="preserve"> </w:t>
      </w:r>
      <w:proofErr w:type="gramStart"/>
      <w:r w:rsidR="008C3C1B">
        <w:rPr>
          <w:lang w:val="en-GB"/>
        </w:rPr>
        <w:t>sensors</w:t>
      </w:r>
      <w:r w:rsidRPr="00592CE7">
        <w:rPr>
          <w:lang w:val="en-GB"/>
        </w:rPr>
        <w:t>;</w:t>
      </w:r>
      <w:proofErr w:type="gramEnd"/>
    </w:p>
    <w:p w14:paraId="27ED80E5" w14:textId="1F15A1F4" w:rsidR="00B33BC0" w:rsidRDefault="0071324B" w:rsidP="009B7D93">
      <w:pPr>
        <w:pStyle w:val="CETBodytext"/>
        <w:numPr>
          <w:ilvl w:val="0"/>
          <w:numId w:val="24"/>
        </w:numPr>
        <w:ind w:left="340" w:hanging="227"/>
        <w:rPr>
          <w:lang w:val="en-GB"/>
        </w:rPr>
      </w:pPr>
      <w:r>
        <w:rPr>
          <w:lang w:val="en-GB"/>
        </w:rPr>
        <w:t>LH</w:t>
      </w:r>
      <w:r w:rsidRPr="0071324B">
        <w:rPr>
          <w:vertAlign w:val="subscript"/>
          <w:lang w:val="en-GB"/>
        </w:rPr>
        <w:t>2</w:t>
      </w:r>
      <w:r>
        <w:rPr>
          <w:lang w:val="en-GB"/>
        </w:rPr>
        <w:t xml:space="preserve"> </w:t>
      </w:r>
      <w:r w:rsidR="00592CE7" w:rsidRPr="00592CE7">
        <w:rPr>
          <w:lang w:val="en-GB"/>
        </w:rPr>
        <w:t xml:space="preserve">release </w:t>
      </w:r>
      <w:r w:rsidR="00B33BC0">
        <w:rPr>
          <w:lang w:val="en-GB"/>
        </w:rPr>
        <w:t>flow</w:t>
      </w:r>
      <w:r w:rsidR="00592CE7" w:rsidRPr="00592CE7">
        <w:rPr>
          <w:lang w:val="en-GB"/>
        </w:rPr>
        <w:t>rate</w:t>
      </w:r>
      <w:r w:rsidR="00B33BC0">
        <w:rPr>
          <w:lang w:val="en-GB"/>
        </w:rPr>
        <w:t xml:space="preserve"> and </w:t>
      </w:r>
      <w:proofErr w:type="gramStart"/>
      <w:r w:rsidR="00B33BC0">
        <w:rPr>
          <w:lang w:val="en-GB"/>
        </w:rPr>
        <w:t>orientation</w:t>
      </w:r>
      <w:r w:rsidR="00592CE7" w:rsidRPr="00592CE7">
        <w:rPr>
          <w:lang w:val="en-GB"/>
        </w:rPr>
        <w:t>;</w:t>
      </w:r>
      <w:proofErr w:type="gramEnd"/>
    </w:p>
    <w:p w14:paraId="18394D3E" w14:textId="4477A122" w:rsidR="00592CE7" w:rsidRPr="00592CE7" w:rsidRDefault="002B7A4A" w:rsidP="009B7D93">
      <w:pPr>
        <w:pStyle w:val="CETBodytext"/>
        <w:numPr>
          <w:ilvl w:val="0"/>
          <w:numId w:val="24"/>
        </w:numPr>
        <w:ind w:left="340" w:hanging="227"/>
        <w:rPr>
          <w:lang w:val="en-GB"/>
        </w:rPr>
      </w:pPr>
      <w:r>
        <w:rPr>
          <w:lang w:val="en-GB"/>
        </w:rPr>
        <w:t>atmospheric</w:t>
      </w:r>
      <w:r w:rsidR="00B33BC0">
        <w:rPr>
          <w:lang w:val="en-GB"/>
        </w:rPr>
        <w:t xml:space="preserve"> conditions: </w:t>
      </w:r>
      <w:r w:rsidR="009E1BD3" w:rsidRPr="00592CE7">
        <w:rPr>
          <w:lang w:val="en-GB"/>
        </w:rPr>
        <w:t>pressure</w:t>
      </w:r>
      <w:r w:rsidR="0026321E">
        <w:rPr>
          <w:lang w:val="en-GB"/>
        </w:rPr>
        <w:t xml:space="preserve">, </w:t>
      </w:r>
      <w:r w:rsidR="00592CE7" w:rsidRPr="00592CE7">
        <w:rPr>
          <w:lang w:val="en-GB"/>
        </w:rPr>
        <w:t>relative humidity</w:t>
      </w:r>
      <w:r w:rsidR="0026321E">
        <w:rPr>
          <w:lang w:val="en-GB"/>
        </w:rPr>
        <w:t xml:space="preserve">, wind direction and </w:t>
      </w:r>
      <w:proofErr w:type="gramStart"/>
      <w:r w:rsidR="0026321E">
        <w:rPr>
          <w:lang w:val="en-GB"/>
        </w:rPr>
        <w:t>speed</w:t>
      </w:r>
      <w:r w:rsidR="00592CE7" w:rsidRPr="00592CE7">
        <w:rPr>
          <w:lang w:val="en-GB"/>
        </w:rPr>
        <w:t>;</w:t>
      </w:r>
      <w:proofErr w:type="gramEnd"/>
    </w:p>
    <w:p w14:paraId="2070AA52" w14:textId="4A3F82A4" w:rsidR="00592CE7" w:rsidRPr="00592CE7" w:rsidRDefault="00592CE7" w:rsidP="009B7D93">
      <w:pPr>
        <w:pStyle w:val="CETBodytext"/>
        <w:numPr>
          <w:ilvl w:val="0"/>
          <w:numId w:val="24"/>
        </w:numPr>
        <w:ind w:left="340" w:hanging="227"/>
        <w:rPr>
          <w:lang w:val="en-GB"/>
        </w:rPr>
      </w:pPr>
      <w:r w:rsidRPr="00592CE7">
        <w:rPr>
          <w:lang w:val="en-GB"/>
        </w:rPr>
        <w:t>hydrogen tank internal pressure</w:t>
      </w:r>
      <w:r w:rsidR="0026321E">
        <w:rPr>
          <w:lang w:val="en-GB"/>
        </w:rPr>
        <w:t xml:space="preserve"> and </w:t>
      </w:r>
      <w:proofErr w:type="gramStart"/>
      <w:r w:rsidR="0026321E">
        <w:rPr>
          <w:lang w:val="en-GB"/>
        </w:rPr>
        <w:t>temperature</w:t>
      </w:r>
      <w:r w:rsidRPr="00592CE7">
        <w:rPr>
          <w:lang w:val="en-GB"/>
        </w:rPr>
        <w:t>;</w:t>
      </w:r>
      <w:proofErr w:type="gramEnd"/>
      <w:r w:rsidRPr="00592CE7">
        <w:rPr>
          <w:lang w:val="en-GB"/>
        </w:rPr>
        <w:t xml:space="preserve"> </w:t>
      </w:r>
    </w:p>
    <w:p w14:paraId="25E6D769" w14:textId="188FE1EE" w:rsidR="00592CE7" w:rsidRPr="00592CE7" w:rsidRDefault="00592CE7" w:rsidP="009B7D93">
      <w:pPr>
        <w:pStyle w:val="CETBodytext"/>
        <w:numPr>
          <w:ilvl w:val="0"/>
          <w:numId w:val="24"/>
        </w:numPr>
        <w:ind w:left="340" w:hanging="227"/>
        <w:rPr>
          <w:lang w:val="en-GB"/>
        </w:rPr>
      </w:pPr>
      <w:r w:rsidRPr="00592CE7">
        <w:rPr>
          <w:lang w:val="en-GB"/>
        </w:rPr>
        <w:t xml:space="preserve">temperature </w:t>
      </w:r>
      <w:r w:rsidR="00FE42FF">
        <w:rPr>
          <w:lang w:val="en-GB"/>
        </w:rPr>
        <w:t>and hydrogen</w:t>
      </w:r>
      <w:r w:rsidRPr="00592CE7">
        <w:rPr>
          <w:lang w:val="en-GB"/>
        </w:rPr>
        <w:t xml:space="preserve"> </w:t>
      </w:r>
      <w:proofErr w:type="gramStart"/>
      <w:r w:rsidRPr="00592CE7">
        <w:rPr>
          <w:lang w:val="en-GB"/>
        </w:rPr>
        <w:t>concentration;</w:t>
      </w:r>
      <w:proofErr w:type="gramEnd"/>
    </w:p>
    <w:p w14:paraId="6A739C78" w14:textId="7FD05FAD" w:rsidR="00592CE7" w:rsidRDefault="00592CE7" w:rsidP="009B7D93">
      <w:pPr>
        <w:pStyle w:val="CETBodytext"/>
        <w:numPr>
          <w:ilvl w:val="0"/>
          <w:numId w:val="24"/>
        </w:numPr>
        <w:ind w:left="340" w:hanging="227"/>
        <w:rPr>
          <w:lang w:val="en-GB"/>
        </w:rPr>
      </w:pPr>
      <w:r w:rsidRPr="00592CE7">
        <w:rPr>
          <w:lang w:val="en-GB"/>
        </w:rPr>
        <w:t>spatial coordinates of the instrumentation (x, y, z).</w:t>
      </w:r>
    </w:p>
    <w:p w14:paraId="226B1727" w14:textId="3CDF3BF0" w:rsidR="00095181" w:rsidRDefault="002B3E51" w:rsidP="00453E24">
      <w:pPr>
        <w:pStyle w:val="CETBodytext"/>
        <w:rPr>
          <w:lang w:val="en-GB"/>
        </w:rPr>
      </w:pPr>
      <w:r>
        <w:rPr>
          <w:lang w:val="en-GB"/>
        </w:rPr>
        <w:t>The</w:t>
      </w:r>
      <w:r w:rsidR="007724AB">
        <w:rPr>
          <w:lang w:val="en-GB"/>
        </w:rPr>
        <w:t xml:space="preserve"> </w:t>
      </w:r>
      <w:r w:rsidR="007724AB" w:rsidRPr="007724AB">
        <w:rPr>
          <w:lang w:val="en-GB"/>
        </w:rPr>
        <w:t>label</w:t>
      </w:r>
      <w:r w:rsidR="007724AB">
        <w:rPr>
          <w:lang w:val="en-GB"/>
        </w:rPr>
        <w:t>s</w:t>
      </w:r>
      <w:r w:rsidR="001670CD">
        <w:rPr>
          <w:lang w:val="en-GB"/>
        </w:rPr>
        <w:t xml:space="preserve"> defined in the database</w:t>
      </w:r>
      <w:r>
        <w:rPr>
          <w:lang w:val="en-GB"/>
        </w:rPr>
        <w:t xml:space="preserve"> </w:t>
      </w:r>
      <w:r w:rsidR="00AC2E99">
        <w:rPr>
          <w:lang w:val="en-GB"/>
        </w:rPr>
        <w:t>are the parameters</w:t>
      </w:r>
      <w:r w:rsidR="00095181">
        <w:rPr>
          <w:lang w:val="en-GB"/>
        </w:rPr>
        <w:t xml:space="preserve"> (values or categorise)</w:t>
      </w:r>
      <w:r w:rsidR="00AC2E99">
        <w:rPr>
          <w:lang w:val="en-GB"/>
        </w:rPr>
        <w:t xml:space="preserve"> that the model </w:t>
      </w:r>
      <w:proofErr w:type="gramStart"/>
      <w:r w:rsidR="00095181">
        <w:rPr>
          <w:lang w:val="en-GB"/>
        </w:rPr>
        <w:t>have to</w:t>
      </w:r>
      <w:proofErr w:type="gramEnd"/>
      <w:r w:rsidR="00095181">
        <w:rPr>
          <w:lang w:val="en-GB"/>
        </w:rPr>
        <w:t xml:space="preserve"> predict</w:t>
      </w:r>
      <w:r w:rsidR="001670CD">
        <w:rPr>
          <w:lang w:val="en-GB"/>
        </w:rPr>
        <w:t>.</w:t>
      </w:r>
      <w:r w:rsidR="007724AB" w:rsidRPr="007724AB">
        <w:rPr>
          <w:lang w:val="en-GB"/>
        </w:rPr>
        <w:t xml:space="preserve"> </w:t>
      </w:r>
      <w:r w:rsidR="00095181">
        <w:rPr>
          <w:lang w:val="en-GB"/>
        </w:rPr>
        <w:t>In this study</w:t>
      </w:r>
      <w:r w:rsidR="006B0023">
        <w:rPr>
          <w:lang w:val="en-GB"/>
        </w:rPr>
        <w:t>,</w:t>
      </w:r>
      <w:r w:rsidR="00095181">
        <w:rPr>
          <w:lang w:val="en-GB"/>
        </w:rPr>
        <w:t xml:space="preserve"> the labels were</w:t>
      </w:r>
      <w:r w:rsidR="007F4E16">
        <w:rPr>
          <w:lang w:val="en-GB"/>
        </w:rPr>
        <w:t xml:space="preserve"> defined for each sensor location and time</w:t>
      </w:r>
      <w:r w:rsidR="006B0023">
        <w:rPr>
          <w:lang w:val="en-GB"/>
        </w:rPr>
        <w:t xml:space="preserve"> as </w:t>
      </w:r>
      <w:r w:rsidR="00095181">
        <w:rPr>
          <w:lang w:val="en-GB"/>
        </w:rPr>
        <w:t>following:</w:t>
      </w:r>
    </w:p>
    <w:p w14:paraId="5A229337" w14:textId="62A3CF27" w:rsidR="00D85E44" w:rsidRDefault="00095181" w:rsidP="009B7D93">
      <w:pPr>
        <w:pStyle w:val="CETBodytext"/>
        <w:numPr>
          <w:ilvl w:val="0"/>
          <w:numId w:val="25"/>
        </w:numPr>
        <w:ind w:left="340" w:hanging="227"/>
        <w:rPr>
          <w:lang w:val="en-GB"/>
        </w:rPr>
      </w:pPr>
      <w:r>
        <w:rPr>
          <w:lang w:val="en-GB"/>
        </w:rPr>
        <w:t>o</w:t>
      </w:r>
      <w:r w:rsidR="007724AB" w:rsidRPr="007724AB">
        <w:rPr>
          <w:lang w:val="en-GB"/>
        </w:rPr>
        <w:t>xygen condense</w:t>
      </w:r>
      <w:r>
        <w:rPr>
          <w:lang w:val="en-GB"/>
        </w:rPr>
        <w:t>s</w:t>
      </w:r>
      <w:r w:rsidR="0018531B">
        <w:rPr>
          <w:lang w:val="en-GB"/>
        </w:rPr>
        <w:t xml:space="preserve"> or not</w:t>
      </w:r>
    </w:p>
    <w:p w14:paraId="2C455069" w14:textId="321359C6" w:rsidR="006B0023" w:rsidRDefault="006B0023" w:rsidP="009B7D93">
      <w:pPr>
        <w:pStyle w:val="CETBodytext"/>
        <w:numPr>
          <w:ilvl w:val="0"/>
          <w:numId w:val="25"/>
        </w:numPr>
        <w:ind w:left="340" w:hanging="227"/>
        <w:rPr>
          <w:lang w:val="en-GB"/>
        </w:rPr>
      </w:pPr>
      <w:r>
        <w:rPr>
          <w:lang w:val="en-GB"/>
        </w:rPr>
        <w:t xml:space="preserve">oxygen </w:t>
      </w:r>
      <w:r w:rsidR="00161398">
        <w:rPr>
          <w:lang w:val="en-GB"/>
        </w:rPr>
        <w:t>freezes</w:t>
      </w:r>
      <w:r w:rsidR="0018531B">
        <w:rPr>
          <w:lang w:val="en-GB"/>
        </w:rPr>
        <w:t xml:space="preserve"> or not</w:t>
      </w:r>
    </w:p>
    <w:p w14:paraId="117479BB" w14:textId="0342CBBC" w:rsidR="00161398" w:rsidRDefault="00161398" w:rsidP="009B7D93">
      <w:pPr>
        <w:pStyle w:val="CETBodytext"/>
        <w:numPr>
          <w:ilvl w:val="0"/>
          <w:numId w:val="25"/>
        </w:numPr>
        <w:ind w:left="340" w:hanging="227"/>
        <w:rPr>
          <w:lang w:val="en-GB"/>
        </w:rPr>
      </w:pPr>
      <w:r>
        <w:rPr>
          <w:lang w:val="en-GB"/>
        </w:rPr>
        <w:t>hydrogen concentration &gt;</w:t>
      </w:r>
      <w:r w:rsidR="0018531B">
        <w:rPr>
          <w:lang w:val="en-GB"/>
        </w:rPr>
        <w:t xml:space="preserve"> or </w:t>
      </w:r>
      <w:r w:rsidR="00E863D4">
        <w:rPr>
          <w:lang w:val="en-GB"/>
        </w:rPr>
        <w:t>&lt;</w:t>
      </w:r>
      <w:r>
        <w:rPr>
          <w:lang w:val="en-GB"/>
        </w:rPr>
        <w:t xml:space="preserve"> LFL</w:t>
      </w:r>
    </w:p>
    <w:p w14:paraId="73F2C0B0" w14:textId="30A5691C" w:rsidR="0057265A" w:rsidRDefault="001076FC" w:rsidP="00453E24">
      <w:pPr>
        <w:pStyle w:val="CETBodytext"/>
        <w:rPr>
          <w:lang w:val="en-GB"/>
        </w:rPr>
      </w:pPr>
      <w:r w:rsidRPr="00E2154C">
        <w:rPr>
          <w:lang w:val="en-GB"/>
        </w:rPr>
        <w:t xml:space="preserve">If </w:t>
      </w:r>
      <w:r w:rsidRPr="00E2154C">
        <w:rPr>
          <w:lang w:val="en-GB"/>
        </w:rPr>
        <w:t>the</w:t>
      </w:r>
      <w:r w:rsidR="00EC2DB8" w:rsidRPr="00E2154C">
        <w:rPr>
          <w:lang w:val="en-GB"/>
        </w:rPr>
        <w:t>se</w:t>
      </w:r>
      <w:r w:rsidRPr="00E2154C">
        <w:rPr>
          <w:lang w:val="en-GB"/>
        </w:rPr>
        <w:t xml:space="preserve"> phenomen</w:t>
      </w:r>
      <w:r w:rsidR="00EC2DB8" w:rsidRPr="00E2154C">
        <w:rPr>
          <w:lang w:val="en-GB"/>
        </w:rPr>
        <w:t>a</w:t>
      </w:r>
      <w:r w:rsidRPr="00E2154C">
        <w:rPr>
          <w:lang w:val="en-GB"/>
        </w:rPr>
        <w:t xml:space="preserve"> </w:t>
      </w:r>
      <w:r w:rsidR="008C5401" w:rsidRPr="00E2154C">
        <w:rPr>
          <w:lang w:val="en-GB"/>
        </w:rPr>
        <w:t>occur</w:t>
      </w:r>
      <w:r w:rsidR="00EC2DB8" w:rsidRPr="00E2154C">
        <w:rPr>
          <w:lang w:val="en-GB"/>
        </w:rPr>
        <w:t xml:space="preserve">, </w:t>
      </w:r>
      <w:r w:rsidR="0094046A" w:rsidRPr="00E2154C">
        <w:rPr>
          <w:lang w:val="en-GB"/>
        </w:rPr>
        <w:t>the</w:t>
      </w:r>
      <w:r w:rsidR="00EC2DB8" w:rsidRPr="00E2154C">
        <w:rPr>
          <w:lang w:val="en-GB"/>
        </w:rPr>
        <w:t xml:space="preserve"> </w:t>
      </w:r>
      <w:r w:rsidR="0094046A" w:rsidRPr="00E2154C">
        <w:rPr>
          <w:lang w:val="en-GB"/>
        </w:rPr>
        <w:t>correspondent</w:t>
      </w:r>
      <w:r w:rsidR="00EC2DB8" w:rsidRPr="00E2154C">
        <w:rPr>
          <w:lang w:val="en-GB"/>
        </w:rPr>
        <w:t xml:space="preserve"> </w:t>
      </w:r>
      <w:r w:rsidR="00954089" w:rsidRPr="00E2154C">
        <w:rPr>
          <w:lang w:val="en-GB"/>
        </w:rPr>
        <w:t>label will have a value of 1, while</w:t>
      </w:r>
      <w:r w:rsidRPr="00E2154C">
        <w:rPr>
          <w:lang w:val="en-GB"/>
        </w:rPr>
        <w:t xml:space="preserve"> </w:t>
      </w:r>
      <w:r w:rsidR="0094046A" w:rsidRPr="00E2154C">
        <w:rPr>
          <w:lang w:val="en-GB"/>
        </w:rPr>
        <w:t>this will be</w:t>
      </w:r>
      <w:r w:rsidRPr="00E2154C">
        <w:rPr>
          <w:lang w:val="en-GB"/>
        </w:rPr>
        <w:t xml:space="preserve"> 0 if it will not manifest</w:t>
      </w:r>
      <w:r w:rsidR="00C81C44" w:rsidRPr="00E2154C">
        <w:rPr>
          <w:lang w:val="en-GB"/>
        </w:rPr>
        <w:t xml:space="preserve">. This </w:t>
      </w:r>
      <w:r w:rsidR="00891ADF" w:rsidRPr="00E2154C">
        <w:rPr>
          <w:lang w:val="en-GB"/>
        </w:rPr>
        <w:t>method is</w:t>
      </w:r>
      <w:r w:rsidR="00100B59" w:rsidRPr="00E2154C">
        <w:rPr>
          <w:lang w:val="en-GB"/>
        </w:rPr>
        <w:t xml:space="preserve"> c</w:t>
      </w:r>
      <w:r w:rsidR="007C6023" w:rsidRPr="00E2154C">
        <w:rPr>
          <w:lang w:val="en-GB"/>
        </w:rPr>
        <w:t>alled</w:t>
      </w:r>
      <w:r w:rsidR="00C81C44" w:rsidRPr="00E2154C">
        <w:rPr>
          <w:lang w:val="en-GB"/>
        </w:rPr>
        <w:t xml:space="preserve"> supervised learning binary classification problem.</w:t>
      </w:r>
      <w:r w:rsidR="00C06866" w:rsidRPr="00E2154C">
        <w:rPr>
          <w:lang w:val="en-GB"/>
        </w:rPr>
        <w:t xml:space="preserve"> </w:t>
      </w:r>
      <w:r w:rsidR="005536D8" w:rsidRPr="00E2154C">
        <w:rPr>
          <w:lang w:val="en-GB"/>
        </w:rPr>
        <w:t>Hence</w:t>
      </w:r>
      <w:r w:rsidR="008B4B90" w:rsidRPr="00DB2564">
        <w:rPr>
          <w:lang w:val="en-GB"/>
        </w:rPr>
        <w:t xml:space="preserve">, </w:t>
      </w:r>
      <w:r w:rsidR="00F356F0" w:rsidRPr="00DB2564">
        <w:rPr>
          <w:lang w:val="en-GB"/>
        </w:rPr>
        <w:t>the</w:t>
      </w:r>
      <w:r w:rsidR="00DF75E2" w:rsidRPr="00DB2564">
        <w:rPr>
          <w:lang w:val="en-GB"/>
        </w:rPr>
        <w:t xml:space="preserve"> database row</w:t>
      </w:r>
      <w:r w:rsidR="005536D8" w:rsidRPr="00DB2564">
        <w:rPr>
          <w:lang w:val="en-GB"/>
        </w:rPr>
        <w:t>s</w:t>
      </w:r>
      <w:r w:rsidR="00DF75E2" w:rsidRPr="00DB2564">
        <w:rPr>
          <w:lang w:val="en-GB"/>
        </w:rPr>
        <w:t xml:space="preserve"> are</w:t>
      </w:r>
      <w:r w:rsidR="007824B0" w:rsidRPr="00DB2564">
        <w:rPr>
          <w:lang w:val="en-GB"/>
        </w:rPr>
        <w:t xml:space="preserve"> </w:t>
      </w:r>
      <w:r w:rsidR="005536D8" w:rsidRPr="00DB2564">
        <w:rPr>
          <w:lang w:val="en-GB"/>
        </w:rPr>
        <w:t>composed</w:t>
      </w:r>
      <w:r w:rsidR="00DF75E2" w:rsidRPr="00DB2564">
        <w:rPr>
          <w:lang w:val="en-GB"/>
        </w:rPr>
        <w:t xml:space="preserve"> </w:t>
      </w:r>
      <w:r w:rsidR="005536D8" w:rsidRPr="00DB2564">
        <w:rPr>
          <w:lang w:val="en-GB"/>
        </w:rPr>
        <w:t>by the</w:t>
      </w:r>
      <w:r w:rsidR="00F356F0" w:rsidRPr="00DB2564">
        <w:rPr>
          <w:lang w:val="en-GB"/>
        </w:rPr>
        <w:t xml:space="preserve"> </w:t>
      </w:r>
      <w:r w:rsidR="00CC08AD" w:rsidRPr="00DB2564">
        <w:rPr>
          <w:lang w:val="en-GB"/>
        </w:rPr>
        <w:t>LH</w:t>
      </w:r>
      <w:r w:rsidR="00CC08AD" w:rsidRPr="00DB2564">
        <w:rPr>
          <w:vertAlign w:val="subscript"/>
          <w:lang w:val="en-GB"/>
        </w:rPr>
        <w:t>2</w:t>
      </w:r>
      <w:r w:rsidR="00F356F0" w:rsidRPr="00DB2564">
        <w:rPr>
          <w:lang w:val="en-GB"/>
        </w:rPr>
        <w:t xml:space="preserve"> release features</w:t>
      </w:r>
      <w:r w:rsidR="00116EC7" w:rsidRPr="00DB2564">
        <w:rPr>
          <w:lang w:val="en-GB"/>
        </w:rPr>
        <w:t>,</w:t>
      </w:r>
      <w:r w:rsidR="00CC08AD" w:rsidRPr="00DB2564">
        <w:rPr>
          <w:lang w:val="en-GB"/>
        </w:rPr>
        <w:t xml:space="preserve"> listed above</w:t>
      </w:r>
      <w:r w:rsidR="00116EC7" w:rsidRPr="00DB2564">
        <w:rPr>
          <w:lang w:val="en-GB"/>
        </w:rPr>
        <w:t>,</w:t>
      </w:r>
      <w:r w:rsidR="00F356F0" w:rsidRPr="00DB2564">
        <w:rPr>
          <w:lang w:val="en-GB"/>
        </w:rPr>
        <w:t xml:space="preserve"> for each sensor and the related label.</w:t>
      </w:r>
      <w:r w:rsidR="00C74574">
        <w:rPr>
          <w:lang w:val="en-GB"/>
        </w:rPr>
        <w:t xml:space="preserve"> </w:t>
      </w:r>
      <w:r w:rsidR="00C74574" w:rsidRPr="00C74574">
        <w:rPr>
          <w:lang w:val="en-GB"/>
        </w:rPr>
        <w:t>The databases have been developed by considering a row for each temperature or concentration value measured by every single thermocouple or sensor for each instant of time, for the entire duration of the experimental test. This has been repeated for every test and all the data collected for each of them have been merged.</w:t>
      </w:r>
      <w:r w:rsidR="00A271E5">
        <w:rPr>
          <w:lang w:val="en-GB"/>
        </w:rPr>
        <w:t xml:space="preserve"> </w:t>
      </w:r>
      <w:r w:rsidR="0057265A">
        <w:rPr>
          <w:lang w:val="en-GB"/>
        </w:rPr>
        <w:t xml:space="preserve">The data were </w:t>
      </w:r>
      <w:r w:rsidR="0057265A" w:rsidRPr="0057265A">
        <w:rPr>
          <w:lang w:val="en-GB"/>
        </w:rPr>
        <w:t>pre-process</w:t>
      </w:r>
      <w:r w:rsidR="008E1FB7">
        <w:rPr>
          <w:lang w:val="en-GB"/>
        </w:rPr>
        <w:t>ed</w:t>
      </w:r>
      <w:r w:rsidR="0057265A" w:rsidRPr="0057265A">
        <w:rPr>
          <w:lang w:val="en-GB"/>
        </w:rPr>
        <w:t xml:space="preserve"> </w:t>
      </w:r>
      <w:r w:rsidR="008E1FB7">
        <w:rPr>
          <w:lang w:val="en-GB"/>
        </w:rPr>
        <w:t>by</w:t>
      </w:r>
      <w:r w:rsidR="0057265A" w:rsidRPr="0057265A">
        <w:rPr>
          <w:lang w:val="en-GB"/>
        </w:rPr>
        <w:t xml:space="preserve"> using the </w:t>
      </w:r>
      <w:proofErr w:type="spellStart"/>
      <w:r w:rsidR="0057265A" w:rsidRPr="0057265A">
        <w:rPr>
          <w:lang w:val="en-GB"/>
        </w:rPr>
        <w:t>MinMaxScaler</w:t>
      </w:r>
      <w:proofErr w:type="spellEnd"/>
      <w:r w:rsidR="0057265A" w:rsidRPr="0057265A">
        <w:rPr>
          <w:lang w:val="en-GB"/>
        </w:rPr>
        <w:t xml:space="preserve"> normalization method</w:t>
      </w:r>
      <w:r w:rsidR="004078AD">
        <w:rPr>
          <w:lang w:val="en-GB"/>
        </w:rPr>
        <w:t xml:space="preserve"> (</w:t>
      </w:r>
      <w:r w:rsidR="003F2CF7" w:rsidRPr="003F2CF7">
        <w:rPr>
          <w:lang w:val="en-GB"/>
        </w:rPr>
        <w:t>scikit-learn developers</w:t>
      </w:r>
      <w:r w:rsidR="003F2CF7">
        <w:rPr>
          <w:lang w:val="en-GB"/>
        </w:rPr>
        <w:t>, 2022</w:t>
      </w:r>
      <w:r w:rsidR="004078AD">
        <w:rPr>
          <w:lang w:val="en-GB"/>
        </w:rPr>
        <w:t>)</w:t>
      </w:r>
      <w:r w:rsidR="0057265A" w:rsidRPr="0057265A">
        <w:rPr>
          <w:lang w:val="en-GB"/>
        </w:rPr>
        <w:t xml:space="preserve"> </w:t>
      </w:r>
      <w:proofErr w:type="gramStart"/>
      <w:r w:rsidR="0057265A" w:rsidRPr="0057265A">
        <w:rPr>
          <w:lang w:val="en-GB"/>
        </w:rPr>
        <w:t>in order to</w:t>
      </w:r>
      <w:proofErr w:type="gramEnd"/>
      <w:r w:rsidR="0057265A" w:rsidRPr="0057265A">
        <w:rPr>
          <w:lang w:val="en-GB"/>
        </w:rPr>
        <w:t xml:space="preserve"> avoid the </w:t>
      </w:r>
      <w:r w:rsidR="00336053">
        <w:rPr>
          <w:lang w:val="en-GB"/>
        </w:rPr>
        <w:t>different</w:t>
      </w:r>
      <w:r w:rsidR="0057265A" w:rsidRPr="0057265A">
        <w:rPr>
          <w:lang w:val="en-GB"/>
        </w:rPr>
        <w:t xml:space="preserve"> impact of </w:t>
      </w:r>
      <w:r w:rsidR="00336053">
        <w:rPr>
          <w:lang w:val="en-GB"/>
        </w:rPr>
        <w:t>the</w:t>
      </w:r>
      <w:r w:rsidR="0057265A" w:rsidRPr="0057265A">
        <w:rPr>
          <w:lang w:val="en-GB"/>
        </w:rPr>
        <w:t xml:space="preserve"> features due to their different scale</w:t>
      </w:r>
      <w:r w:rsidR="00336053">
        <w:rPr>
          <w:lang w:val="en-GB"/>
        </w:rPr>
        <w:t>s</w:t>
      </w:r>
      <w:r w:rsidR="0057265A" w:rsidRPr="0057265A">
        <w:rPr>
          <w:lang w:val="en-GB"/>
        </w:rPr>
        <w:t xml:space="preserve">. The normalization method used in this work has been selected among others as it is the most utilised in various fields of application with good results. Therefore, all the variables </w:t>
      </w:r>
      <w:r w:rsidR="00B1468F">
        <w:rPr>
          <w:lang w:val="en-GB"/>
        </w:rPr>
        <w:t>we</w:t>
      </w:r>
      <w:r w:rsidR="0057265A" w:rsidRPr="0057265A">
        <w:rPr>
          <w:lang w:val="en-GB"/>
        </w:rPr>
        <w:t xml:space="preserve">re rescaled to </w:t>
      </w:r>
      <w:r w:rsidR="003F2CF7">
        <w:rPr>
          <w:lang w:val="en-GB"/>
        </w:rPr>
        <w:t>fit</w:t>
      </w:r>
      <w:r w:rsidR="0057265A" w:rsidRPr="0057265A">
        <w:rPr>
          <w:lang w:val="en-GB"/>
        </w:rPr>
        <w:t xml:space="preserve"> in the range [0,1] through </w:t>
      </w:r>
      <w:proofErr w:type="spellStart"/>
      <w:proofErr w:type="gramStart"/>
      <w:r w:rsidR="003F2CF7">
        <w:rPr>
          <w:lang w:val="en-GB"/>
        </w:rPr>
        <w:t>Eq</w:t>
      </w:r>
      <w:proofErr w:type="spellEnd"/>
      <w:r w:rsidR="003F2CF7">
        <w:rPr>
          <w:lang w:val="en-GB"/>
        </w:rPr>
        <w:t>(</w:t>
      </w:r>
      <w:proofErr w:type="gramEnd"/>
      <w:r w:rsidR="003F2CF7">
        <w:rPr>
          <w:lang w:val="en-GB"/>
        </w:rPr>
        <w:t>1)</w:t>
      </w:r>
      <w:r w:rsidR="0057265A" w:rsidRPr="0057265A">
        <w:rPr>
          <w:lang w:val="en-GB"/>
        </w:rPr>
        <w:t>:</w:t>
      </w:r>
    </w:p>
    <w:tbl>
      <w:tblPr>
        <w:tblW w:w="5000" w:type="pct"/>
        <w:tblLook w:val="04A0" w:firstRow="1" w:lastRow="0" w:firstColumn="1" w:lastColumn="0" w:noHBand="0" w:noVBand="1"/>
      </w:tblPr>
      <w:tblGrid>
        <w:gridCol w:w="8188"/>
        <w:gridCol w:w="815"/>
      </w:tblGrid>
      <w:tr w:rsidR="00B1468F" w:rsidRPr="00854F71" w14:paraId="44A35C4A" w14:textId="77777777" w:rsidTr="00632F26">
        <w:tc>
          <w:tcPr>
            <w:tcW w:w="8188" w:type="dxa"/>
            <w:shd w:val="clear" w:color="auto" w:fill="auto"/>
            <w:vAlign w:val="center"/>
          </w:tcPr>
          <w:p w14:paraId="769DE953" w14:textId="77D998DD" w:rsidR="00B1468F" w:rsidRPr="00854F71" w:rsidRDefault="00D52D9C" w:rsidP="00632F26">
            <w:pPr>
              <w:pStyle w:val="CETEquation"/>
            </w:pPr>
            <m:oMath>
              <m:sSub>
                <m:sSubPr>
                  <m:ctrlPr>
                    <w:rPr>
                      <w:rFonts w:ascii="Cambria Math" w:hAnsi="Cambria Math"/>
                      <w:i/>
                    </w:rPr>
                  </m:ctrlPr>
                </m:sSubPr>
                <m:e>
                  <m:r>
                    <w:rPr>
                      <w:rFonts w:ascii="Cambria Math" w:hAnsi="Cambria Math"/>
                    </w:rPr>
                    <m:t>x</m:t>
                  </m:r>
                </m:e>
                <m:sub>
                  <m:r>
                    <w:rPr>
                      <w:rFonts w:ascii="Cambria Math" w:hAnsi="Cambria Math"/>
                    </w:rPr>
                    <m:t>norm</m:t>
                  </m:r>
                </m:sub>
              </m:sSub>
              <m:r>
                <w:rPr>
                  <w:rFonts w:ascii="Cambria Math" w:hAnsi="Cambria Math"/>
                </w:rPr>
                <m:t>=</m:t>
              </m:r>
              <m:f>
                <m:fPr>
                  <m:ctrlPr>
                    <w:rPr>
                      <w:rFonts w:ascii="Cambria Math" w:hAnsi="Cambria Math"/>
                      <w:i/>
                    </w:rPr>
                  </m:ctrlPr>
                </m:fPr>
                <m:num>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min</m:t>
                      </m:r>
                    </m:sub>
                  </m:sSub>
                </m:num>
                <m:den>
                  <m:sSub>
                    <m:sSubPr>
                      <m:ctrlPr>
                        <w:rPr>
                          <w:rFonts w:ascii="Cambria Math" w:hAnsi="Cambria Math"/>
                          <w:i/>
                        </w:rPr>
                      </m:ctrlPr>
                    </m:sSubPr>
                    <m:e>
                      <m:r>
                        <w:rPr>
                          <w:rFonts w:ascii="Cambria Math" w:hAnsi="Cambria Math"/>
                        </w:rPr>
                        <m:t>x</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min</m:t>
                      </m:r>
                    </m:sub>
                  </m:sSub>
                </m:den>
              </m:f>
            </m:oMath>
            <w:r w:rsidR="00B1468F">
              <w:t xml:space="preserve"> </w:t>
            </w:r>
          </w:p>
        </w:tc>
        <w:tc>
          <w:tcPr>
            <w:tcW w:w="815" w:type="dxa"/>
            <w:shd w:val="clear" w:color="auto" w:fill="auto"/>
            <w:vAlign w:val="center"/>
          </w:tcPr>
          <w:p w14:paraId="230CFF1A" w14:textId="506E02D9" w:rsidR="00B1468F" w:rsidRPr="00854F71" w:rsidRDefault="00B1468F" w:rsidP="00632F26">
            <w:pPr>
              <w:pStyle w:val="CETEquation"/>
              <w:jc w:val="right"/>
            </w:pPr>
            <w:r w:rsidRPr="00854F71">
              <w:t>(</w:t>
            </w:r>
            <w:r w:rsidR="004078AD">
              <w:t>1</w:t>
            </w:r>
            <w:r w:rsidRPr="00854F71">
              <w:t>)</w:t>
            </w:r>
          </w:p>
        </w:tc>
      </w:tr>
    </w:tbl>
    <w:p w14:paraId="7E3C2ABD" w14:textId="42D71979" w:rsidR="00BD05CE" w:rsidRDefault="00AC6630" w:rsidP="00453E24">
      <w:pPr>
        <w:pStyle w:val="CETBodytext"/>
        <w:rPr>
          <w:lang w:val="en-GB"/>
        </w:rPr>
      </w:pPr>
      <w:r>
        <w:rPr>
          <w:lang w:val="en-GB"/>
        </w:rPr>
        <w:t>T</w:t>
      </w:r>
      <w:r w:rsidRPr="00AC6630">
        <w:rPr>
          <w:lang w:val="en-GB"/>
        </w:rPr>
        <w:t xml:space="preserve">he database </w:t>
      </w:r>
      <w:r>
        <w:rPr>
          <w:lang w:val="en-GB"/>
        </w:rPr>
        <w:t>wa</w:t>
      </w:r>
      <w:r w:rsidRPr="00AC6630">
        <w:rPr>
          <w:lang w:val="en-GB"/>
        </w:rPr>
        <w:t xml:space="preserve">s </w:t>
      </w:r>
      <w:r w:rsidR="00A271E5">
        <w:rPr>
          <w:lang w:val="en-GB"/>
        </w:rPr>
        <w:t>then shuffled</w:t>
      </w:r>
      <w:r w:rsidR="00203BF5">
        <w:rPr>
          <w:lang w:val="en-GB"/>
        </w:rPr>
        <w:t xml:space="preserve"> </w:t>
      </w:r>
      <w:r w:rsidR="00203BF5" w:rsidRPr="00203BF5">
        <w:rPr>
          <w:lang w:val="en-GB"/>
        </w:rPr>
        <w:t>to avoid poor data distribution</w:t>
      </w:r>
      <w:r w:rsidR="00A271E5">
        <w:rPr>
          <w:lang w:val="en-GB"/>
        </w:rPr>
        <w:t xml:space="preserve"> and </w:t>
      </w:r>
      <w:r w:rsidRPr="00AC6630">
        <w:rPr>
          <w:lang w:val="en-GB"/>
        </w:rPr>
        <w:t>split into two parts</w:t>
      </w:r>
      <w:r>
        <w:rPr>
          <w:lang w:val="en-GB"/>
        </w:rPr>
        <w:t>:</w:t>
      </w:r>
      <w:r w:rsidRPr="00AC6630">
        <w:rPr>
          <w:lang w:val="en-GB"/>
        </w:rPr>
        <w:t xml:space="preserve"> the first one </w:t>
      </w:r>
      <w:r>
        <w:rPr>
          <w:lang w:val="en-GB"/>
        </w:rPr>
        <w:t>wa</w:t>
      </w:r>
      <w:r w:rsidRPr="00AC6630">
        <w:rPr>
          <w:lang w:val="en-GB"/>
        </w:rPr>
        <w:t xml:space="preserve">s used to train the model and the second one to evaluate </w:t>
      </w:r>
      <w:r w:rsidR="009F4F09">
        <w:rPr>
          <w:lang w:val="en-GB"/>
        </w:rPr>
        <w:t xml:space="preserve">the performance </w:t>
      </w:r>
      <w:r w:rsidR="004279BF">
        <w:rPr>
          <w:lang w:val="en-GB"/>
        </w:rPr>
        <w:t>(prediction capability)</w:t>
      </w:r>
      <w:r w:rsidR="004D071F">
        <w:rPr>
          <w:lang w:val="en-GB"/>
        </w:rPr>
        <w:t xml:space="preserve"> of the trained model</w:t>
      </w:r>
      <w:r w:rsidRPr="00AC6630">
        <w:rPr>
          <w:lang w:val="en-GB"/>
        </w:rPr>
        <w:t>.</w:t>
      </w:r>
    </w:p>
    <w:p w14:paraId="23E2954A" w14:textId="33121EF0" w:rsidR="006A67B9" w:rsidRDefault="008F0213" w:rsidP="00CF2F52">
      <w:pPr>
        <w:pStyle w:val="CETBodytext"/>
        <w:rPr>
          <w:lang w:val="en-GB"/>
        </w:rPr>
      </w:pPr>
      <w:r w:rsidRPr="0043490E">
        <w:rPr>
          <w:lang w:val="en-GB"/>
        </w:rPr>
        <w:t>T</w:t>
      </w:r>
      <w:r w:rsidRPr="0043490E">
        <w:rPr>
          <w:lang w:val="en-GB"/>
        </w:rPr>
        <w:t>o evaluate the performance of the model</w:t>
      </w:r>
      <w:r w:rsidRPr="0043490E">
        <w:rPr>
          <w:lang w:val="en-GB"/>
        </w:rPr>
        <w:t>, p</w:t>
      </w:r>
      <w:r w:rsidR="00BD05CE" w:rsidRPr="0043490E">
        <w:rPr>
          <w:lang w:val="en-GB"/>
        </w:rPr>
        <w:t xml:space="preserve">erformance metrics were used. </w:t>
      </w:r>
      <w:r w:rsidR="00BE2545" w:rsidRPr="0043490E">
        <w:rPr>
          <w:lang w:val="en-GB"/>
        </w:rPr>
        <w:t>T</w:t>
      </w:r>
      <w:r w:rsidR="00BD05CE" w:rsidRPr="0043490E">
        <w:rPr>
          <w:lang w:val="en-GB"/>
        </w:rPr>
        <w:t>he</w:t>
      </w:r>
      <w:r w:rsidR="00BD05CE" w:rsidRPr="00BD05CE">
        <w:rPr>
          <w:lang w:val="en-GB"/>
        </w:rPr>
        <w:t xml:space="preserve"> confusion matrix</w:t>
      </w:r>
      <w:r w:rsidR="00BE2545">
        <w:rPr>
          <w:lang w:val="en-GB"/>
        </w:rPr>
        <w:t xml:space="preserve"> is usually adopted</w:t>
      </w:r>
      <w:r w:rsidR="00BD05CE" w:rsidRPr="00BD05CE">
        <w:rPr>
          <w:lang w:val="en-GB"/>
        </w:rPr>
        <w:t xml:space="preserve"> </w:t>
      </w:r>
      <w:r w:rsidR="00213F65">
        <w:rPr>
          <w:lang w:val="en-GB"/>
        </w:rPr>
        <w:t>i</w:t>
      </w:r>
      <w:r w:rsidR="00BE2545" w:rsidRPr="00BD05CE">
        <w:rPr>
          <w:lang w:val="en-GB"/>
        </w:rPr>
        <w:t xml:space="preserve">n binary classification problems </w:t>
      </w:r>
      <w:r w:rsidR="00BE2545">
        <w:rPr>
          <w:lang w:val="en-GB"/>
        </w:rPr>
        <w:t xml:space="preserve">to </w:t>
      </w:r>
      <w:r w:rsidR="00BD05CE" w:rsidRPr="00BD05CE">
        <w:rPr>
          <w:lang w:val="en-GB"/>
        </w:rPr>
        <w:t>depict the total number of predictions dividing them in four possible outcomes</w:t>
      </w:r>
      <w:r w:rsidR="00BE2545">
        <w:rPr>
          <w:lang w:val="en-GB"/>
        </w:rPr>
        <w:t xml:space="preserve">: </w:t>
      </w:r>
      <w:r w:rsidR="00A443C5">
        <w:rPr>
          <w:lang w:val="en-GB"/>
        </w:rPr>
        <w:t xml:space="preserve">(i) </w:t>
      </w:r>
      <w:r w:rsidR="00CF2F52">
        <w:rPr>
          <w:lang w:val="en-GB"/>
        </w:rPr>
        <w:t>t</w:t>
      </w:r>
      <w:r w:rsidR="00CF2F52" w:rsidRPr="00CF2F52">
        <w:rPr>
          <w:lang w:val="en-GB"/>
        </w:rPr>
        <w:t xml:space="preserve">rue positive (TP) </w:t>
      </w:r>
      <w:r w:rsidR="00A443C5">
        <w:rPr>
          <w:lang w:val="en-GB"/>
        </w:rPr>
        <w:t xml:space="preserve">when </w:t>
      </w:r>
      <w:r w:rsidR="00CF2F52" w:rsidRPr="00CF2F52">
        <w:rPr>
          <w:lang w:val="en-GB"/>
        </w:rPr>
        <w:t>both the real label and the predicted label of a sample are positive (1)</w:t>
      </w:r>
      <w:r w:rsidR="00CF2F52">
        <w:rPr>
          <w:lang w:val="en-GB"/>
        </w:rPr>
        <w:t>, (ii)</w:t>
      </w:r>
      <w:r w:rsidR="00A443C5">
        <w:rPr>
          <w:lang w:val="en-GB"/>
        </w:rPr>
        <w:t xml:space="preserve"> t</w:t>
      </w:r>
      <w:r w:rsidR="00CF2F52" w:rsidRPr="00CF2F52">
        <w:rPr>
          <w:lang w:val="en-GB"/>
        </w:rPr>
        <w:t xml:space="preserve">rue negative (TN) </w:t>
      </w:r>
      <w:r w:rsidR="00A443C5">
        <w:rPr>
          <w:lang w:val="en-GB"/>
        </w:rPr>
        <w:t xml:space="preserve">when </w:t>
      </w:r>
      <w:r w:rsidR="00CF2F52" w:rsidRPr="00CF2F52">
        <w:rPr>
          <w:lang w:val="en-GB"/>
        </w:rPr>
        <w:t>both the real label and the predicted label of a sample are negative (0)</w:t>
      </w:r>
      <w:r w:rsidR="007779DD">
        <w:rPr>
          <w:lang w:val="en-GB"/>
        </w:rPr>
        <w:t>, (iii) f</w:t>
      </w:r>
      <w:r w:rsidR="00CF2F52" w:rsidRPr="00CF2F52">
        <w:rPr>
          <w:lang w:val="en-GB"/>
        </w:rPr>
        <w:t>alse positive (FP)</w:t>
      </w:r>
      <w:r w:rsidR="007779DD">
        <w:rPr>
          <w:lang w:val="en-GB"/>
        </w:rPr>
        <w:t xml:space="preserve"> when</w:t>
      </w:r>
      <w:r w:rsidR="00CF2F52" w:rsidRPr="00CF2F52">
        <w:rPr>
          <w:lang w:val="en-GB"/>
        </w:rPr>
        <w:t xml:space="preserve"> the real label is negative and the predicted label is positive</w:t>
      </w:r>
      <w:r w:rsidR="007779DD">
        <w:rPr>
          <w:lang w:val="en-GB"/>
        </w:rPr>
        <w:t xml:space="preserve"> and (iv) f</w:t>
      </w:r>
      <w:r w:rsidR="00CF2F52" w:rsidRPr="00CF2F52">
        <w:rPr>
          <w:lang w:val="en-GB"/>
        </w:rPr>
        <w:t>alse negative (FN)</w:t>
      </w:r>
      <w:r w:rsidR="007779DD">
        <w:rPr>
          <w:lang w:val="en-GB"/>
        </w:rPr>
        <w:t xml:space="preserve"> when</w:t>
      </w:r>
      <w:r w:rsidR="00CF2F52" w:rsidRPr="00CF2F52">
        <w:rPr>
          <w:lang w:val="en-GB"/>
        </w:rPr>
        <w:t xml:space="preserve"> the real label is positive and the predicted label is negative</w:t>
      </w:r>
      <w:r w:rsidR="002F6B4B">
        <w:rPr>
          <w:lang w:val="en-GB"/>
        </w:rPr>
        <w:t xml:space="preserve"> (</w:t>
      </w:r>
      <w:r w:rsidR="002F6B4B" w:rsidRPr="002F6B4B">
        <w:rPr>
          <w:lang w:val="en-GB"/>
        </w:rPr>
        <w:t xml:space="preserve">Jiao </w:t>
      </w:r>
      <w:r w:rsidR="002F6B4B">
        <w:rPr>
          <w:lang w:val="en-GB"/>
        </w:rPr>
        <w:t>and</w:t>
      </w:r>
      <w:r w:rsidR="002F6B4B" w:rsidRPr="002F6B4B">
        <w:rPr>
          <w:lang w:val="en-GB"/>
        </w:rPr>
        <w:t xml:space="preserve"> Du, 2016</w:t>
      </w:r>
      <w:r w:rsidR="002F6B4B">
        <w:rPr>
          <w:lang w:val="en-GB"/>
        </w:rPr>
        <w:t>)</w:t>
      </w:r>
      <w:r w:rsidR="000A64E8">
        <w:rPr>
          <w:lang w:val="en-GB"/>
        </w:rPr>
        <w:t>.</w:t>
      </w:r>
      <w:r w:rsidR="005D7E29">
        <w:rPr>
          <w:lang w:val="en-GB"/>
        </w:rPr>
        <w:t xml:space="preserve"> </w:t>
      </w:r>
      <w:r w:rsidR="00126085">
        <w:rPr>
          <w:lang w:val="en-GB"/>
        </w:rPr>
        <w:t xml:space="preserve">Therefore, </w:t>
      </w:r>
      <w:r w:rsidR="00126085" w:rsidRPr="00126085">
        <w:rPr>
          <w:lang w:val="en-GB"/>
        </w:rPr>
        <w:t xml:space="preserve">the classifier performance metrics </w:t>
      </w:r>
      <w:r w:rsidR="00EB3039">
        <w:rPr>
          <w:lang w:val="en-GB"/>
        </w:rPr>
        <w:t>we</w:t>
      </w:r>
      <w:r w:rsidR="00126085" w:rsidRPr="00126085">
        <w:rPr>
          <w:lang w:val="en-GB"/>
        </w:rPr>
        <w:t>re obtained combining these four values</w:t>
      </w:r>
      <w:r w:rsidR="00EB3039">
        <w:rPr>
          <w:lang w:val="en-GB"/>
        </w:rPr>
        <w:t xml:space="preserve"> as suggested by</w:t>
      </w:r>
      <w:r w:rsidR="00A56836">
        <w:rPr>
          <w:lang w:val="en-GB"/>
        </w:rPr>
        <w:t xml:space="preserve"> </w:t>
      </w:r>
      <w:proofErr w:type="spellStart"/>
      <w:r w:rsidR="00A56836" w:rsidRPr="00A56836">
        <w:rPr>
          <w:lang w:val="en-GB"/>
        </w:rPr>
        <w:t>Seliya</w:t>
      </w:r>
      <w:proofErr w:type="spellEnd"/>
      <w:r w:rsidR="00A56836">
        <w:rPr>
          <w:lang w:val="en-GB"/>
        </w:rPr>
        <w:t xml:space="preserve"> et al.</w:t>
      </w:r>
      <w:r w:rsidR="00EB3039">
        <w:rPr>
          <w:lang w:val="en-GB"/>
        </w:rPr>
        <w:t xml:space="preserve"> </w:t>
      </w:r>
      <w:r w:rsidR="00A56836">
        <w:rPr>
          <w:lang w:val="en-GB"/>
        </w:rPr>
        <w:t>(2009)</w:t>
      </w:r>
      <w:r w:rsidR="00203946">
        <w:rPr>
          <w:lang w:val="en-GB"/>
        </w:rPr>
        <w:t xml:space="preserve">. </w:t>
      </w:r>
      <w:r w:rsidR="0086351C" w:rsidRPr="0086351C">
        <w:rPr>
          <w:lang w:val="en-GB"/>
        </w:rPr>
        <w:t>Based on the definitions above</w:t>
      </w:r>
      <w:r>
        <w:rPr>
          <w:lang w:val="en-GB"/>
        </w:rPr>
        <w:t>,</w:t>
      </w:r>
      <w:r w:rsidR="0086351C" w:rsidRPr="0086351C">
        <w:rPr>
          <w:lang w:val="en-GB"/>
        </w:rPr>
        <w:t xml:space="preserve"> three basic performance metrics</w:t>
      </w:r>
      <w:r w:rsidR="008B5E7E">
        <w:rPr>
          <w:lang w:val="en-GB"/>
        </w:rPr>
        <w:t xml:space="preserve"> can be estimated:</w:t>
      </w:r>
      <w:r w:rsidR="0086351C">
        <w:rPr>
          <w:lang w:val="en-GB"/>
        </w:rPr>
        <w:t xml:space="preserve"> accuracy, </w:t>
      </w:r>
      <w:proofErr w:type="gramStart"/>
      <w:r w:rsidR="0086351C">
        <w:rPr>
          <w:lang w:val="en-GB"/>
        </w:rPr>
        <w:t>precision</w:t>
      </w:r>
      <w:proofErr w:type="gramEnd"/>
      <w:r w:rsidR="0086351C">
        <w:rPr>
          <w:lang w:val="en-GB"/>
        </w:rPr>
        <w:t xml:space="preserve"> and recall</w:t>
      </w:r>
      <w:r w:rsidR="008B5E7E">
        <w:rPr>
          <w:lang w:val="en-GB"/>
        </w:rPr>
        <w:t xml:space="preserve">. In particular, accuracy </w:t>
      </w:r>
      <w:r w:rsidR="006D0A66" w:rsidRPr="006D0A66">
        <w:rPr>
          <w:lang w:val="en-GB"/>
        </w:rPr>
        <w:t>expresses the fraction of predictions correctly performed by the model</w:t>
      </w:r>
      <w:r w:rsidR="00385A39">
        <w:rPr>
          <w:lang w:val="en-GB"/>
        </w:rPr>
        <w:t xml:space="preserve"> and can be estimated</w:t>
      </w:r>
      <w:r w:rsidR="0086351C">
        <w:rPr>
          <w:lang w:val="en-GB"/>
        </w:rPr>
        <w:t xml:space="preserve"> by means of </w:t>
      </w:r>
      <w:proofErr w:type="spellStart"/>
      <w:proofErr w:type="gramStart"/>
      <w:r w:rsidR="0086351C">
        <w:rPr>
          <w:lang w:val="en-GB"/>
        </w:rPr>
        <w:t>Eq</w:t>
      </w:r>
      <w:proofErr w:type="spellEnd"/>
      <w:r w:rsidR="0086351C">
        <w:rPr>
          <w:lang w:val="en-GB"/>
        </w:rPr>
        <w:t>(</w:t>
      </w:r>
      <w:proofErr w:type="gramEnd"/>
      <w:r w:rsidR="003F2CF7">
        <w:rPr>
          <w:lang w:val="en-GB"/>
        </w:rPr>
        <w:t>2</w:t>
      </w:r>
      <w:r w:rsidR="0086351C">
        <w:rPr>
          <w:lang w:val="en-GB"/>
        </w:rPr>
        <w:t>)</w:t>
      </w:r>
      <w:r w:rsidR="004208AD">
        <w:rPr>
          <w:lang w:val="en-GB"/>
        </w:rPr>
        <w:t xml:space="preserve"> </w:t>
      </w:r>
      <w:r w:rsidR="004B3D4A">
        <w:rPr>
          <w:lang w:val="en-GB"/>
        </w:rPr>
        <w:t>(Google Developers, 2022)</w:t>
      </w:r>
      <w:r w:rsidR="00385A39">
        <w:rPr>
          <w:lang w:val="en-GB"/>
        </w:rPr>
        <w:t xml:space="preserve">. </w:t>
      </w:r>
      <w:r w:rsidR="000669F4">
        <w:rPr>
          <w:lang w:val="en-GB"/>
        </w:rPr>
        <w:t xml:space="preserve">Precision </w:t>
      </w:r>
      <w:r w:rsidR="000669F4" w:rsidRPr="000669F4">
        <w:rPr>
          <w:lang w:val="en-GB"/>
        </w:rPr>
        <w:t>which expresses the fraction of correct positive predictions</w:t>
      </w:r>
      <w:r w:rsidR="000669F4">
        <w:rPr>
          <w:lang w:val="en-GB"/>
        </w:rPr>
        <w:t xml:space="preserve"> and is calculated with </w:t>
      </w:r>
      <w:proofErr w:type="spellStart"/>
      <w:proofErr w:type="gramStart"/>
      <w:r w:rsidR="000669F4">
        <w:rPr>
          <w:lang w:val="en-GB"/>
        </w:rPr>
        <w:t>Eq</w:t>
      </w:r>
      <w:proofErr w:type="spellEnd"/>
      <w:r w:rsidR="0094231E">
        <w:rPr>
          <w:lang w:val="en-GB"/>
        </w:rPr>
        <w:t>(</w:t>
      </w:r>
      <w:proofErr w:type="gramEnd"/>
      <w:r w:rsidR="003F2CF7">
        <w:rPr>
          <w:lang w:val="en-GB"/>
        </w:rPr>
        <w:t>3</w:t>
      </w:r>
      <w:r w:rsidR="0094231E">
        <w:rPr>
          <w:lang w:val="en-GB"/>
        </w:rPr>
        <w:t>)</w:t>
      </w:r>
      <w:r w:rsidR="00552CF9">
        <w:rPr>
          <w:lang w:val="en-GB"/>
        </w:rPr>
        <w:t xml:space="preserve">, while </w:t>
      </w:r>
      <w:r w:rsidR="004208AD">
        <w:rPr>
          <w:lang w:val="en-GB"/>
        </w:rPr>
        <w:t xml:space="preserve">recall </w:t>
      </w:r>
      <w:r w:rsidR="004208AD" w:rsidRPr="004208AD">
        <w:rPr>
          <w:lang w:val="en-GB"/>
        </w:rPr>
        <w:t>expresses the fraction of real positive label correctly predicted</w:t>
      </w:r>
      <w:r w:rsidR="0094231E">
        <w:rPr>
          <w:lang w:val="en-GB"/>
        </w:rPr>
        <w:t xml:space="preserve"> and </w:t>
      </w:r>
      <w:r w:rsidR="004208AD">
        <w:rPr>
          <w:lang w:val="en-GB"/>
        </w:rPr>
        <w:t xml:space="preserve">is assessed with </w:t>
      </w:r>
      <w:proofErr w:type="spellStart"/>
      <w:r w:rsidR="004208AD">
        <w:rPr>
          <w:lang w:val="en-GB"/>
        </w:rPr>
        <w:t>Eq</w:t>
      </w:r>
      <w:proofErr w:type="spellEnd"/>
      <w:r w:rsidR="0094231E">
        <w:rPr>
          <w:lang w:val="en-GB"/>
        </w:rPr>
        <w:t>(</w:t>
      </w:r>
      <w:r w:rsidR="003F2CF7">
        <w:rPr>
          <w:lang w:val="en-GB"/>
        </w:rPr>
        <w:t>4</w:t>
      </w:r>
      <w:r w:rsidR="0094231E">
        <w:rPr>
          <w:lang w:val="en-GB"/>
        </w:rPr>
        <w:t>)</w:t>
      </w:r>
      <w:r w:rsidR="00914AFD">
        <w:rPr>
          <w:lang w:val="en-GB"/>
        </w:rPr>
        <w:t xml:space="preserve"> (Google Developers, 2022)</w:t>
      </w:r>
      <w:r w:rsidR="0094231E">
        <w:rPr>
          <w:lang w:val="en-GB"/>
        </w:rPr>
        <w:t>.</w:t>
      </w:r>
    </w:p>
    <w:tbl>
      <w:tblPr>
        <w:tblW w:w="5000" w:type="pct"/>
        <w:tblLook w:val="04A0" w:firstRow="1" w:lastRow="0" w:firstColumn="1" w:lastColumn="0" w:noHBand="0" w:noVBand="1"/>
      </w:tblPr>
      <w:tblGrid>
        <w:gridCol w:w="8188"/>
        <w:gridCol w:w="815"/>
      </w:tblGrid>
      <w:tr w:rsidR="00B14FBD" w:rsidRPr="00854F71" w14:paraId="73E50EEB" w14:textId="77777777" w:rsidTr="00632F26">
        <w:tc>
          <w:tcPr>
            <w:tcW w:w="8188" w:type="dxa"/>
            <w:shd w:val="clear" w:color="auto" w:fill="auto"/>
            <w:vAlign w:val="center"/>
          </w:tcPr>
          <w:p w14:paraId="771462AF" w14:textId="2B9A5E39" w:rsidR="00B14FBD" w:rsidRPr="00854F71" w:rsidRDefault="001B040B" w:rsidP="00632F26">
            <w:pPr>
              <w:pStyle w:val="CETEquation"/>
            </w:pPr>
            <m:oMath>
              <m:r>
                <w:rPr>
                  <w:rFonts w:ascii="Cambria Math" w:hAnsi="Cambria Math"/>
                </w:rPr>
                <m:t>Accuracy=</m:t>
              </m:r>
              <m:f>
                <m:fPr>
                  <m:ctrlPr>
                    <w:rPr>
                      <w:rFonts w:ascii="Cambria Math" w:hAnsi="Cambria Math"/>
                      <w:i/>
                    </w:rPr>
                  </m:ctrlPr>
                </m:fPr>
                <m:num>
                  <m:r>
                    <w:rPr>
                      <w:rFonts w:ascii="Cambria Math" w:hAnsi="Cambria Math"/>
                    </w:rPr>
                    <m:t>TN+TP</m:t>
                  </m:r>
                </m:num>
                <m:den>
                  <m:r>
                    <w:rPr>
                      <w:rFonts w:ascii="Cambria Math" w:hAnsi="Cambria Math"/>
                    </w:rPr>
                    <m:t>TN+FN+TP+FP</m:t>
                  </m:r>
                </m:den>
              </m:f>
            </m:oMath>
            <w:r w:rsidR="00B14FBD">
              <w:t xml:space="preserve"> </w:t>
            </w:r>
          </w:p>
        </w:tc>
        <w:tc>
          <w:tcPr>
            <w:tcW w:w="815" w:type="dxa"/>
            <w:shd w:val="clear" w:color="auto" w:fill="auto"/>
            <w:vAlign w:val="center"/>
          </w:tcPr>
          <w:p w14:paraId="641AD187" w14:textId="4CC28833" w:rsidR="00B14FBD" w:rsidRPr="00854F71" w:rsidRDefault="00B14FBD" w:rsidP="00632F26">
            <w:pPr>
              <w:pStyle w:val="CETEquation"/>
              <w:jc w:val="right"/>
            </w:pPr>
            <w:r w:rsidRPr="00854F71">
              <w:t>(</w:t>
            </w:r>
            <w:r w:rsidR="003F2CF7">
              <w:t>2</w:t>
            </w:r>
            <w:r w:rsidRPr="00854F71">
              <w:t>)</w:t>
            </w:r>
          </w:p>
        </w:tc>
      </w:tr>
      <w:tr w:rsidR="00983C58" w:rsidRPr="00854F71" w14:paraId="35D78F54" w14:textId="77777777" w:rsidTr="00632F26">
        <w:tc>
          <w:tcPr>
            <w:tcW w:w="8188" w:type="dxa"/>
            <w:shd w:val="clear" w:color="auto" w:fill="auto"/>
            <w:vAlign w:val="center"/>
          </w:tcPr>
          <w:p w14:paraId="77DAD4E0" w14:textId="4BAD7D89" w:rsidR="00983C58" w:rsidRDefault="00343AA8" w:rsidP="00983C58">
            <w:pPr>
              <w:pStyle w:val="CETEquation"/>
            </w:pPr>
            <m:oMath>
              <m:r>
                <w:rPr>
                  <w:rFonts w:ascii="Cambria Math" w:hAnsi="Cambria Math"/>
                </w:rPr>
                <m:t>Precision=</m:t>
              </m:r>
              <m:f>
                <m:fPr>
                  <m:ctrlPr>
                    <w:rPr>
                      <w:rFonts w:ascii="Cambria Math" w:hAnsi="Cambria Math"/>
                      <w:i/>
                    </w:rPr>
                  </m:ctrlPr>
                </m:fPr>
                <m:num>
                  <m:r>
                    <w:rPr>
                      <w:rFonts w:ascii="Cambria Math" w:hAnsi="Cambria Math"/>
                    </w:rPr>
                    <m:t>TP</m:t>
                  </m:r>
                </m:num>
                <m:den>
                  <m:r>
                    <w:rPr>
                      <w:rFonts w:ascii="Cambria Math" w:hAnsi="Cambria Math"/>
                    </w:rPr>
                    <m:t>TP+FP</m:t>
                  </m:r>
                </m:den>
              </m:f>
            </m:oMath>
            <w:r w:rsidR="00983C58">
              <w:t xml:space="preserve"> </w:t>
            </w:r>
          </w:p>
        </w:tc>
        <w:tc>
          <w:tcPr>
            <w:tcW w:w="815" w:type="dxa"/>
            <w:shd w:val="clear" w:color="auto" w:fill="auto"/>
            <w:vAlign w:val="center"/>
          </w:tcPr>
          <w:p w14:paraId="21257A75" w14:textId="585F8A91" w:rsidR="00983C58" w:rsidRPr="00854F71" w:rsidRDefault="00983C58" w:rsidP="00983C58">
            <w:pPr>
              <w:pStyle w:val="CETEquation"/>
              <w:jc w:val="right"/>
            </w:pPr>
            <w:r w:rsidRPr="00854F71">
              <w:t>(</w:t>
            </w:r>
            <w:r w:rsidR="003F2CF7">
              <w:t>3</w:t>
            </w:r>
            <w:r w:rsidRPr="00854F71">
              <w:t>)</w:t>
            </w:r>
          </w:p>
        </w:tc>
      </w:tr>
      <w:tr w:rsidR="00983C58" w:rsidRPr="00854F71" w14:paraId="54F96EB1" w14:textId="77777777" w:rsidTr="00632F26">
        <w:tc>
          <w:tcPr>
            <w:tcW w:w="8188" w:type="dxa"/>
            <w:shd w:val="clear" w:color="auto" w:fill="auto"/>
            <w:vAlign w:val="center"/>
          </w:tcPr>
          <w:p w14:paraId="4F8DBD27" w14:textId="16D6CCE0" w:rsidR="00983C58" w:rsidRDefault="000617C7" w:rsidP="00983C58">
            <w:pPr>
              <w:pStyle w:val="CETEquation"/>
            </w:pPr>
            <m:oMath>
              <m:r>
                <w:rPr>
                  <w:rFonts w:ascii="Cambria Math" w:hAnsi="Cambria Math"/>
                </w:rPr>
                <m:t>Recall=</m:t>
              </m:r>
              <m:f>
                <m:fPr>
                  <m:ctrlPr>
                    <w:rPr>
                      <w:rFonts w:ascii="Cambria Math" w:hAnsi="Cambria Math"/>
                      <w:i/>
                    </w:rPr>
                  </m:ctrlPr>
                </m:fPr>
                <m:num>
                  <m:r>
                    <w:rPr>
                      <w:rFonts w:ascii="Cambria Math" w:hAnsi="Cambria Math"/>
                    </w:rPr>
                    <m:t>TP</m:t>
                  </m:r>
                </m:num>
                <m:den>
                  <m:r>
                    <w:rPr>
                      <w:rFonts w:ascii="Cambria Math" w:hAnsi="Cambria Math"/>
                    </w:rPr>
                    <m:t>FN+TP</m:t>
                  </m:r>
                </m:den>
              </m:f>
            </m:oMath>
            <w:r w:rsidR="00983C58">
              <w:t xml:space="preserve"> </w:t>
            </w:r>
          </w:p>
        </w:tc>
        <w:tc>
          <w:tcPr>
            <w:tcW w:w="815" w:type="dxa"/>
            <w:shd w:val="clear" w:color="auto" w:fill="auto"/>
            <w:vAlign w:val="center"/>
          </w:tcPr>
          <w:p w14:paraId="0B9E5A43" w14:textId="7E3F6D13" w:rsidR="00983C58" w:rsidRPr="00854F71" w:rsidRDefault="00983C58" w:rsidP="00983C58">
            <w:pPr>
              <w:pStyle w:val="CETEquation"/>
              <w:jc w:val="right"/>
            </w:pPr>
            <w:r w:rsidRPr="00854F71">
              <w:t>(</w:t>
            </w:r>
            <w:r w:rsidR="003F2CF7">
              <w:t>4</w:t>
            </w:r>
            <w:r w:rsidRPr="00854F71">
              <w:t>)</w:t>
            </w:r>
          </w:p>
        </w:tc>
      </w:tr>
    </w:tbl>
    <w:p w14:paraId="233CAFB7" w14:textId="69FC9753" w:rsidR="00C3491C" w:rsidRDefault="007755DC" w:rsidP="00C3491C">
      <w:pPr>
        <w:pStyle w:val="CETBodytext"/>
        <w:rPr>
          <w:lang w:val="en-GB"/>
        </w:rPr>
      </w:pPr>
      <w:r>
        <w:rPr>
          <w:lang w:val="en-GB"/>
        </w:rPr>
        <w:t>Thus, t</w:t>
      </w:r>
      <w:r w:rsidR="005F1E29" w:rsidRPr="005F1E29">
        <w:rPr>
          <w:lang w:val="en-GB"/>
        </w:rPr>
        <w:t xml:space="preserve">he </w:t>
      </w:r>
      <w:r w:rsidR="005F1E29">
        <w:rPr>
          <w:lang w:val="en-GB"/>
        </w:rPr>
        <w:t>p</w:t>
      </w:r>
      <w:r w:rsidR="005F1E29" w:rsidRPr="005F1E29">
        <w:rPr>
          <w:lang w:val="en-GB"/>
        </w:rPr>
        <w:t>recision-</w:t>
      </w:r>
      <w:r w:rsidR="005F1E29">
        <w:rPr>
          <w:lang w:val="en-GB"/>
        </w:rPr>
        <w:t>r</w:t>
      </w:r>
      <w:r w:rsidR="005F1E29" w:rsidRPr="005F1E29">
        <w:rPr>
          <w:lang w:val="en-GB"/>
        </w:rPr>
        <w:t>ecall curve</w:t>
      </w:r>
      <w:r w:rsidR="00C871C8">
        <w:rPr>
          <w:lang w:val="en-GB"/>
        </w:rPr>
        <w:t>s were obtained</w:t>
      </w:r>
      <w:r w:rsidR="008706B5">
        <w:rPr>
          <w:lang w:val="en-GB"/>
        </w:rPr>
        <w:t xml:space="preserve"> and the</w:t>
      </w:r>
      <w:r w:rsidR="005F1E29" w:rsidRPr="005F1E29">
        <w:rPr>
          <w:lang w:val="en-GB"/>
        </w:rPr>
        <w:t xml:space="preserve"> </w:t>
      </w:r>
      <w:r w:rsidR="005F1E29">
        <w:rPr>
          <w:lang w:val="en-GB"/>
        </w:rPr>
        <w:t>a</w:t>
      </w:r>
      <w:r w:rsidR="005F1E29" w:rsidRPr="005F1E29">
        <w:rPr>
          <w:lang w:val="en-GB"/>
        </w:rPr>
        <w:t xml:space="preserve">rea </w:t>
      </w:r>
      <w:r w:rsidR="005F1E29">
        <w:rPr>
          <w:lang w:val="en-GB"/>
        </w:rPr>
        <w:t>u</w:t>
      </w:r>
      <w:r w:rsidR="005F1E29" w:rsidRPr="005F1E29">
        <w:rPr>
          <w:lang w:val="en-GB"/>
        </w:rPr>
        <w:t xml:space="preserve">nder the </w:t>
      </w:r>
      <w:r w:rsidR="005F1E29">
        <w:rPr>
          <w:lang w:val="en-GB"/>
        </w:rPr>
        <w:t>p</w:t>
      </w:r>
      <w:r w:rsidR="005F1E29" w:rsidRPr="005F1E29">
        <w:rPr>
          <w:lang w:val="en-GB"/>
        </w:rPr>
        <w:t>recision-</w:t>
      </w:r>
      <w:r w:rsidR="005F1E29">
        <w:rPr>
          <w:lang w:val="en-GB"/>
        </w:rPr>
        <w:t>r</w:t>
      </w:r>
      <w:r w:rsidR="005F1E29" w:rsidRPr="005F1E29">
        <w:rPr>
          <w:lang w:val="en-GB"/>
        </w:rPr>
        <w:t xml:space="preserve">ecall </w:t>
      </w:r>
      <w:r w:rsidR="005F1E29">
        <w:rPr>
          <w:lang w:val="en-GB"/>
        </w:rPr>
        <w:t>c</w:t>
      </w:r>
      <w:r w:rsidR="005F1E29" w:rsidRPr="005F1E29">
        <w:rPr>
          <w:lang w:val="en-GB"/>
        </w:rPr>
        <w:t>urve (</w:t>
      </w:r>
      <w:proofErr w:type="spellStart"/>
      <w:r w:rsidR="005F1E29" w:rsidRPr="005F1E29">
        <w:rPr>
          <w:lang w:val="en-GB"/>
        </w:rPr>
        <w:t>AUCpr</w:t>
      </w:r>
      <w:proofErr w:type="spellEnd"/>
      <w:r w:rsidR="005F1E29" w:rsidRPr="005F1E29">
        <w:rPr>
          <w:lang w:val="en-GB"/>
        </w:rPr>
        <w:t>)</w:t>
      </w:r>
      <w:r>
        <w:rPr>
          <w:lang w:val="en-GB"/>
        </w:rPr>
        <w:t xml:space="preserve">, </w:t>
      </w:r>
      <w:r w:rsidRPr="007755DC">
        <w:rPr>
          <w:lang w:val="en-GB"/>
        </w:rPr>
        <w:t>another important performance metric</w:t>
      </w:r>
      <w:r w:rsidR="005F1E29" w:rsidRPr="005F1E29">
        <w:rPr>
          <w:lang w:val="en-GB"/>
        </w:rPr>
        <w:t>. This is represented by a single value ranging from 0 to 1</w:t>
      </w:r>
      <w:r w:rsidR="00C15265">
        <w:rPr>
          <w:lang w:val="en-GB"/>
        </w:rPr>
        <w:t>.</w:t>
      </w:r>
      <w:r w:rsidR="005F1E29" w:rsidRPr="005F1E29">
        <w:rPr>
          <w:lang w:val="en-GB"/>
        </w:rPr>
        <w:t xml:space="preserve"> </w:t>
      </w:r>
      <w:r w:rsidR="00C15265">
        <w:rPr>
          <w:lang w:val="en-GB"/>
        </w:rPr>
        <w:t>T</w:t>
      </w:r>
      <w:r w:rsidR="005F1E29" w:rsidRPr="005F1E29">
        <w:rPr>
          <w:lang w:val="en-GB"/>
        </w:rPr>
        <w:t xml:space="preserve">he higher the </w:t>
      </w:r>
      <w:proofErr w:type="spellStart"/>
      <w:r w:rsidR="005F1E29" w:rsidRPr="005F1E29">
        <w:rPr>
          <w:lang w:val="en-GB"/>
        </w:rPr>
        <w:t>AUCpr</w:t>
      </w:r>
      <w:proofErr w:type="spellEnd"/>
      <w:r w:rsidR="005F1E29" w:rsidRPr="005F1E29">
        <w:rPr>
          <w:lang w:val="en-GB"/>
        </w:rPr>
        <w:t xml:space="preserve"> the better the classifier’s performance</w:t>
      </w:r>
      <w:r w:rsidR="001B013A">
        <w:rPr>
          <w:lang w:val="en-GB"/>
        </w:rPr>
        <w:t xml:space="preserve"> (</w:t>
      </w:r>
      <w:proofErr w:type="spellStart"/>
      <w:r w:rsidR="001B013A" w:rsidRPr="00A56836">
        <w:rPr>
          <w:lang w:val="en-GB"/>
        </w:rPr>
        <w:t>Seliya</w:t>
      </w:r>
      <w:proofErr w:type="spellEnd"/>
      <w:r w:rsidR="001B013A">
        <w:rPr>
          <w:lang w:val="en-GB"/>
        </w:rPr>
        <w:t xml:space="preserve"> et al., 2009)</w:t>
      </w:r>
      <w:r w:rsidR="005F1E29" w:rsidRPr="005F1E29">
        <w:rPr>
          <w:lang w:val="en-GB"/>
        </w:rPr>
        <w:t>.</w:t>
      </w:r>
      <w:r>
        <w:rPr>
          <w:lang w:val="en-GB"/>
        </w:rPr>
        <w:t xml:space="preserve"> </w:t>
      </w:r>
      <w:r w:rsidR="002945F7">
        <w:rPr>
          <w:lang w:val="en-GB"/>
        </w:rPr>
        <w:t>A</w:t>
      </w:r>
      <w:r w:rsidR="00C3491C" w:rsidRPr="00C3491C">
        <w:rPr>
          <w:lang w:val="en-GB"/>
        </w:rPr>
        <w:t xml:space="preserve">nother performance metric used in this </w:t>
      </w:r>
      <w:r w:rsidR="003C1B4A">
        <w:rPr>
          <w:lang w:val="en-GB"/>
        </w:rPr>
        <w:t>work</w:t>
      </w:r>
      <w:r w:rsidR="00C3491C" w:rsidRPr="00C3491C">
        <w:rPr>
          <w:lang w:val="en-GB"/>
        </w:rPr>
        <w:t xml:space="preserve"> is the </w:t>
      </w:r>
      <w:proofErr w:type="spellStart"/>
      <w:r w:rsidR="00C3491C" w:rsidRPr="00C3491C">
        <w:rPr>
          <w:lang w:val="en-GB"/>
        </w:rPr>
        <w:t>F</w:t>
      </w:r>
      <w:r w:rsidR="0093229E">
        <w:rPr>
          <w:lang w:val="en-GB"/>
        </w:rPr>
        <w:t>_</w:t>
      </w:r>
      <w:r w:rsidR="00C3491C" w:rsidRPr="00C3491C">
        <w:rPr>
          <w:lang w:val="en-GB"/>
        </w:rPr>
        <w:t>measure</w:t>
      </w:r>
      <w:proofErr w:type="spellEnd"/>
      <w:r w:rsidR="00F02949">
        <w:rPr>
          <w:lang w:val="en-GB"/>
        </w:rPr>
        <w:t xml:space="preserve"> (</w:t>
      </w:r>
      <w:proofErr w:type="spellStart"/>
      <w:proofErr w:type="gramStart"/>
      <w:r w:rsidR="00F02949">
        <w:rPr>
          <w:lang w:val="en-GB"/>
        </w:rPr>
        <w:t>Eq</w:t>
      </w:r>
      <w:proofErr w:type="spellEnd"/>
      <w:r w:rsidR="00F02949">
        <w:rPr>
          <w:lang w:val="en-GB"/>
        </w:rPr>
        <w:t>(</w:t>
      </w:r>
      <w:proofErr w:type="gramEnd"/>
      <w:r w:rsidR="00F02949">
        <w:rPr>
          <w:lang w:val="en-GB"/>
        </w:rPr>
        <w:t>5))</w:t>
      </w:r>
      <w:r w:rsidR="00C3491C" w:rsidRPr="00C3491C">
        <w:rPr>
          <w:lang w:val="en-GB"/>
        </w:rPr>
        <w:t xml:space="preserve">, that can be calculated as a function of </w:t>
      </w:r>
      <w:r w:rsidR="00396003">
        <w:rPr>
          <w:lang w:val="en-GB"/>
        </w:rPr>
        <w:t>p</w:t>
      </w:r>
      <w:r w:rsidR="00C3491C" w:rsidRPr="00C3491C">
        <w:rPr>
          <w:lang w:val="en-GB"/>
        </w:rPr>
        <w:t xml:space="preserve">recision and </w:t>
      </w:r>
      <w:r w:rsidR="00396003">
        <w:rPr>
          <w:lang w:val="en-GB"/>
        </w:rPr>
        <w:t>r</w:t>
      </w:r>
      <w:r w:rsidR="00C3491C" w:rsidRPr="00C3491C">
        <w:rPr>
          <w:lang w:val="en-GB"/>
        </w:rPr>
        <w:t>ecall</w:t>
      </w:r>
      <w:r w:rsidR="002B001D">
        <w:rPr>
          <w:lang w:val="en-GB"/>
        </w:rPr>
        <w:t xml:space="preserve"> (</w:t>
      </w:r>
      <w:proofErr w:type="spellStart"/>
      <w:r w:rsidR="002B001D">
        <w:rPr>
          <w:lang w:val="en-GB"/>
        </w:rPr>
        <w:t>Chinchor</w:t>
      </w:r>
      <w:proofErr w:type="spellEnd"/>
      <w:r w:rsidR="002B001D">
        <w:rPr>
          <w:lang w:val="en-GB"/>
        </w:rPr>
        <w:t>, 1992)</w:t>
      </w:r>
      <w:r w:rsidR="00C3491C" w:rsidRPr="00C3491C">
        <w:rPr>
          <w:lang w:val="en-GB"/>
        </w:rPr>
        <w:t>:</w:t>
      </w:r>
    </w:p>
    <w:tbl>
      <w:tblPr>
        <w:tblW w:w="5000" w:type="pct"/>
        <w:tblLook w:val="04A0" w:firstRow="1" w:lastRow="0" w:firstColumn="1" w:lastColumn="0" w:noHBand="0" w:noVBand="1"/>
      </w:tblPr>
      <w:tblGrid>
        <w:gridCol w:w="8188"/>
        <w:gridCol w:w="815"/>
      </w:tblGrid>
      <w:tr w:rsidR="00606C14" w:rsidRPr="00854F71" w14:paraId="182FE007" w14:textId="77777777" w:rsidTr="00D20A40">
        <w:tc>
          <w:tcPr>
            <w:tcW w:w="8188" w:type="dxa"/>
            <w:shd w:val="clear" w:color="auto" w:fill="auto"/>
            <w:vAlign w:val="center"/>
          </w:tcPr>
          <w:p w14:paraId="50730C09" w14:textId="615E1045" w:rsidR="00606C14" w:rsidRPr="00854F71" w:rsidRDefault="00606C14" w:rsidP="00D20A40">
            <w:pPr>
              <w:pStyle w:val="CETEquation"/>
            </w:pPr>
            <m:oMath>
              <m:r>
                <w:rPr>
                  <w:rFonts w:ascii="Cambria Math" w:hAnsi="Cambria Math"/>
                </w:rPr>
                <w:lastRenderedPageBreak/>
                <m:t>F_measure=</m:t>
              </m:r>
              <m:f>
                <m:fPr>
                  <m:ctrlPr>
                    <w:rPr>
                      <w:rFonts w:ascii="Cambria Math" w:hAnsi="Cambria Math"/>
                      <w:i/>
                    </w:rPr>
                  </m:ctrlPr>
                </m:fPr>
                <m:num>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β</m:t>
                          </m:r>
                        </m:e>
                        <m:sup>
                          <m:r>
                            <w:rPr>
                              <w:rFonts w:ascii="Cambria Math" w:hAnsi="Cambria Math"/>
                            </w:rPr>
                            <m:t>2</m:t>
                          </m:r>
                        </m:sup>
                      </m:sSup>
                    </m:e>
                  </m:d>
                  <m:r>
                    <w:rPr>
                      <w:rFonts w:ascii="Cambria Math" w:hAnsi="Cambria Math"/>
                    </w:rPr>
                    <m:t>∙Precision∙Recall</m:t>
                  </m:r>
                </m:num>
                <m:den>
                  <m:sSup>
                    <m:sSupPr>
                      <m:ctrlPr>
                        <w:rPr>
                          <w:rFonts w:ascii="Cambria Math" w:hAnsi="Cambria Math"/>
                          <w:i/>
                        </w:rPr>
                      </m:ctrlPr>
                    </m:sSupPr>
                    <m:e>
                      <m:r>
                        <w:rPr>
                          <w:rFonts w:ascii="Cambria Math" w:hAnsi="Cambria Math"/>
                        </w:rPr>
                        <m:t>β</m:t>
                      </m:r>
                    </m:e>
                    <m:sup>
                      <m:r>
                        <w:rPr>
                          <w:rFonts w:ascii="Cambria Math" w:hAnsi="Cambria Math"/>
                        </w:rPr>
                        <m:t>2</m:t>
                      </m:r>
                    </m:sup>
                  </m:sSup>
                  <m:r>
                    <w:rPr>
                      <w:rFonts w:ascii="Cambria Math" w:hAnsi="Cambria Math"/>
                    </w:rPr>
                    <m:t>∙Precision+Recall</m:t>
                  </m:r>
                </m:den>
              </m:f>
            </m:oMath>
            <w:r w:rsidR="003C1B4A">
              <w:t xml:space="preserve"> </w:t>
            </w:r>
          </w:p>
        </w:tc>
        <w:tc>
          <w:tcPr>
            <w:tcW w:w="815" w:type="dxa"/>
            <w:shd w:val="clear" w:color="auto" w:fill="auto"/>
            <w:vAlign w:val="center"/>
          </w:tcPr>
          <w:p w14:paraId="68A189C9" w14:textId="0E45FF0B" w:rsidR="00606C14" w:rsidRPr="00854F71" w:rsidRDefault="00606C14" w:rsidP="00D20A40">
            <w:pPr>
              <w:pStyle w:val="CETEquation"/>
              <w:jc w:val="right"/>
            </w:pPr>
            <w:r w:rsidRPr="00854F71">
              <w:t>(</w:t>
            </w:r>
            <w:r w:rsidR="003F2CF7">
              <w:t>5</w:t>
            </w:r>
            <w:r w:rsidRPr="00854F71">
              <w:t>)</w:t>
            </w:r>
          </w:p>
        </w:tc>
      </w:tr>
    </w:tbl>
    <w:p w14:paraId="49850CA2" w14:textId="77777777" w:rsidR="003C097E" w:rsidRDefault="002B001D" w:rsidP="008845A3">
      <w:pPr>
        <w:pStyle w:val="CETBodytext"/>
        <w:rPr>
          <w:rFonts w:cs="Arial"/>
          <w:szCs w:val="18"/>
          <w:lang w:val="en-GB"/>
        </w:rPr>
      </w:pPr>
      <w:r>
        <w:rPr>
          <w:lang w:val="en-GB"/>
        </w:rPr>
        <w:t>w</w:t>
      </w:r>
      <w:r w:rsidR="00C3491C" w:rsidRPr="00C3491C">
        <w:rPr>
          <w:lang w:val="en-GB"/>
        </w:rPr>
        <w:t>here β</w:t>
      </w:r>
      <w:r w:rsidR="00BE3718">
        <w:rPr>
          <w:lang w:val="en-GB"/>
        </w:rPr>
        <w:t xml:space="preserve"> </w:t>
      </w:r>
      <w:r w:rsidR="00C3491C" w:rsidRPr="00C3491C">
        <w:rPr>
          <w:lang w:val="en-GB"/>
        </w:rPr>
        <w:t>=</w:t>
      </w:r>
      <w:r w:rsidR="00BE3718">
        <w:rPr>
          <w:lang w:val="en-GB"/>
        </w:rPr>
        <w:t xml:space="preserve"> </w:t>
      </w:r>
      <w:r w:rsidR="00C3491C" w:rsidRPr="00C3491C">
        <w:rPr>
          <w:lang w:val="en-GB"/>
        </w:rPr>
        <w:t xml:space="preserve">1 if precision and recall are of equal weight, and the </w:t>
      </w:r>
      <w:proofErr w:type="spellStart"/>
      <w:r w:rsidR="00C3491C" w:rsidRPr="00C3491C">
        <w:rPr>
          <w:lang w:val="en-GB"/>
        </w:rPr>
        <w:t>F</w:t>
      </w:r>
      <w:r w:rsidR="0093229E">
        <w:rPr>
          <w:lang w:val="en-GB"/>
        </w:rPr>
        <w:t>_</w:t>
      </w:r>
      <w:r w:rsidR="00C3491C" w:rsidRPr="00C3491C">
        <w:rPr>
          <w:lang w:val="en-GB"/>
        </w:rPr>
        <w:t>measure</w:t>
      </w:r>
      <w:proofErr w:type="spellEnd"/>
      <w:r w:rsidR="00C3491C" w:rsidRPr="00C3491C">
        <w:rPr>
          <w:lang w:val="en-GB"/>
        </w:rPr>
        <w:t xml:space="preserve"> in this case would be their harmonic mean, β</w:t>
      </w:r>
      <w:r w:rsidR="00BE3718">
        <w:rPr>
          <w:lang w:val="en-GB"/>
        </w:rPr>
        <w:t xml:space="preserve"> </w:t>
      </w:r>
      <w:r w:rsidR="00C3491C" w:rsidRPr="00C3491C">
        <w:rPr>
          <w:lang w:val="en-GB"/>
        </w:rPr>
        <w:t>=</w:t>
      </w:r>
      <w:r w:rsidR="00BE3718">
        <w:rPr>
          <w:lang w:val="en-GB"/>
        </w:rPr>
        <w:t xml:space="preserve"> </w:t>
      </w:r>
      <w:r w:rsidR="00C3491C" w:rsidRPr="00C3491C">
        <w:rPr>
          <w:lang w:val="en-GB"/>
        </w:rPr>
        <w:t>1.5 if recall’s optimisation is more important than precision’s optimisation, and β</w:t>
      </w:r>
      <w:r w:rsidR="00BE3718">
        <w:rPr>
          <w:lang w:val="en-GB"/>
        </w:rPr>
        <w:t xml:space="preserve"> </w:t>
      </w:r>
      <w:r w:rsidR="00C3491C" w:rsidRPr="00C3491C">
        <w:rPr>
          <w:lang w:val="en-GB"/>
        </w:rPr>
        <w:t>=</w:t>
      </w:r>
      <w:r w:rsidR="00BE3718">
        <w:rPr>
          <w:lang w:val="en-GB"/>
        </w:rPr>
        <w:t xml:space="preserve"> </w:t>
      </w:r>
      <w:r w:rsidR="00C3491C" w:rsidRPr="00C3491C">
        <w:rPr>
          <w:lang w:val="en-GB"/>
        </w:rPr>
        <w:t xml:space="preserve">0.5 if recall is half as important as precision </w:t>
      </w:r>
      <w:r w:rsidR="00BE3718">
        <w:rPr>
          <w:lang w:val="en-GB"/>
        </w:rPr>
        <w:t>(</w:t>
      </w:r>
      <w:proofErr w:type="spellStart"/>
      <w:r w:rsidR="00BE3718">
        <w:rPr>
          <w:lang w:val="en-GB"/>
        </w:rPr>
        <w:t>Chinchor</w:t>
      </w:r>
      <w:proofErr w:type="spellEnd"/>
      <w:r w:rsidR="00BE3718">
        <w:rPr>
          <w:lang w:val="en-GB"/>
        </w:rPr>
        <w:t>, 1992)</w:t>
      </w:r>
      <w:r w:rsidR="00C3491C" w:rsidRPr="00C3491C">
        <w:rPr>
          <w:lang w:val="en-GB"/>
        </w:rPr>
        <w:t xml:space="preserve">. The maximum value of </w:t>
      </w:r>
      <w:r w:rsidR="00C3491C" w:rsidRPr="00E219AD">
        <w:rPr>
          <w:lang w:val="en-GB"/>
        </w:rPr>
        <w:t xml:space="preserve">the </w:t>
      </w:r>
      <w:proofErr w:type="spellStart"/>
      <w:r w:rsidR="00C3491C" w:rsidRPr="00E219AD">
        <w:rPr>
          <w:lang w:val="en-GB"/>
        </w:rPr>
        <w:t>F</w:t>
      </w:r>
      <w:r w:rsidR="0093229E">
        <w:rPr>
          <w:lang w:val="en-GB"/>
        </w:rPr>
        <w:t>_</w:t>
      </w:r>
      <w:r w:rsidR="00C3491C" w:rsidRPr="00E219AD">
        <w:rPr>
          <w:lang w:val="en-GB"/>
        </w:rPr>
        <w:t>measure</w:t>
      </w:r>
      <w:proofErr w:type="spellEnd"/>
      <w:r w:rsidR="00C3491C" w:rsidRPr="00E219AD">
        <w:rPr>
          <w:lang w:val="en-GB"/>
        </w:rPr>
        <w:t xml:space="preserve"> corresponds to the best threshold value, that optimises precision or recall or both the parameters.</w:t>
      </w:r>
      <w:r w:rsidR="00E219AD" w:rsidRPr="00E219AD">
        <w:rPr>
          <w:lang w:val="en-GB"/>
        </w:rPr>
        <w:t xml:space="preserve"> Finally,</w:t>
      </w:r>
      <w:r w:rsidR="006A67B9" w:rsidRPr="00E219AD">
        <w:rPr>
          <w:lang w:val="en-GB"/>
        </w:rPr>
        <w:t xml:space="preserve"> hydrogen sensors activated systems </w:t>
      </w:r>
      <w:r w:rsidR="00EE5DB8" w:rsidRPr="00E219AD">
        <w:rPr>
          <w:lang w:val="en-GB"/>
        </w:rPr>
        <w:t>with a</w:t>
      </w:r>
      <w:r w:rsidR="00BF699A" w:rsidRPr="00E219AD">
        <w:rPr>
          <w:lang w:val="en-GB"/>
        </w:rPr>
        <w:t xml:space="preserve"> response time of 200 s has been considered </w:t>
      </w:r>
      <w:r w:rsidR="00E219AD" w:rsidRPr="00E219AD">
        <w:rPr>
          <w:lang w:val="en-GB"/>
        </w:rPr>
        <w:t xml:space="preserve">in this work </w:t>
      </w:r>
      <w:r w:rsidR="00BF699A" w:rsidRPr="00E219AD">
        <w:rPr>
          <w:lang w:val="en-GB"/>
        </w:rPr>
        <w:t>to predict the condensation or freezing of air components or the formation of a flammable atmosphere.</w:t>
      </w:r>
      <w:r w:rsidR="00EE5DB8" w:rsidRPr="00E219AD">
        <w:rPr>
          <w:lang w:val="en-GB"/>
        </w:rPr>
        <w:t xml:space="preserve"> </w:t>
      </w:r>
      <w:r w:rsidR="00761F22" w:rsidRPr="00E219AD">
        <w:rPr>
          <w:lang w:val="en-GB"/>
        </w:rPr>
        <w:t xml:space="preserve">Therefore, </w:t>
      </w:r>
      <w:r w:rsidR="008845A3" w:rsidRPr="008845A3">
        <w:rPr>
          <w:rFonts w:cs="Arial"/>
          <w:szCs w:val="18"/>
          <w:lang w:val="en-GB"/>
        </w:rPr>
        <w:t xml:space="preserve">the model </w:t>
      </w:r>
      <w:proofErr w:type="gramStart"/>
      <w:r w:rsidR="004100E5">
        <w:rPr>
          <w:rFonts w:cs="Arial"/>
          <w:szCs w:val="18"/>
          <w:lang w:val="en-GB"/>
        </w:rPr>
        <w:t>is</w:t>
      </w:r>
      <w:r w:rsidR="008845A3" w:rsidRPr="008845A3">
        <w:rPr>
          <w:rFonts w:cs="Arial"/>
          <w:szCs w:val="18"/>
          <w:lang w:val="en-GB"/>
        </w:rPr>
        <w:t xml:space="preserve"> able to</w:t>
      </w:r>
      <w:proofErr w:type="gramEnd"/>
      <w:r w:rsidR="008845A3" w:rsidRPr="008845A3">
        <w:rPr>
          <w:rFonts w:cs="Arial"/>
          <w:szCs w:val="18"/>
          <w:lang w:val="en-GB"/>
        </w:rPr>
        <w:t xml:space="preserve"> carry out a prediction of the label after 200 s</w:t>
      </w:r>
      <w:r w:rsidR="008845A3" w:rsidRPr="008845A3" w:rsidDel="008845A3">
        <w:rPr>
          <w:rFonts w:cs="Arial"/>
          <w:szCs w:val="18"/>
          <w:lang w:val="en-GB"/>
        </w:rPr>
        <w:t xml:space="preserve"> </w:t>
      </w:r>
      <w:r w:rsidR="008845A3" w:rsidRPr="008845A3">
        <w:rPr>
          <w:rFonts w:cs="Arial"/>
          <w:szCs w:val="18"/>
          <w:lang w:val="en-GB"/>
        </w:rPr>
        <w:t>from the beginning of the release test</w:t>
      </w:r>
      <w:r w:rsidR="003C097E">
        <w:rPr>
          <w:rFonts w:cs="Arial"/>
          <w:szCs w:val="18"/>
          <w:lang w:val="en-GB"/>
        </w:rPr>
        <w:t>.</w:t>
      </w:r>
      <w:r w:rsidR="008845A3" w:rsidRPr="008845A3">
        <w:rPr>
          <w:rFonts w:cs="Arial"/>
          <w:szCs w:val="18"/>
          <w:lang w:val="en-GB"/>
        </w:rPr>
        <w:t xml:space="preserve"> </w:t>
      </w:r>
    </w:p>
    <w:p w14:paraId="0636B784" w14:textId="134B4439" w:rsidR="00453E24" w:rsidRPr="00854F71" w:rsidRDefault="00126D91" w:rsidP="003C097E">
      <w:pPr>
        <w:pStyle w:val="CETheadingx"/>
      </w:pPr>
      <w:r>
        <w:t>Case study: l</w:t>
      </w:r>
      <w:r w:rsidR="006807D5" w:rsidRPr="00854F71">
        <w:t>iquid hydrogen</w:t>
      </w:r>
      <w:r w:rsidR="00433479" w:rsidRPr="00854F71">
        <w:t xml:space="preserve"> release experiments</w:t>
      </w:r>
    </w:p>
    <w:p w14:paraId="328CD834" w14:textId="7563B374" w:rsidR="006807D5" w:rsidRPr="00854F71" w:rsidRDefault="006807D5" w:rsidP="006807D5">
      <w:pPr>
        <w:pStyle w:val="CETBodytext"/>
        <w:rPr>
          <w:lang w:val="en-GB"/>
        </w:rPr>
      </w:pPr>
      <w:r w:rsidRPr="00854F71">
        <w:rPr>
          <w:lang w:val="en-GB"/>
        </w:rPr>
        <w:t xml:space="preserve">The Norwegian Defence Research Establishment (FFI) has performed a series of experimental tests with the objective of understanding the liquid hydrogen behaviour to facilitate its introduction as fuel for ships. The release tests were carried out by varying the flowrate and duration to simulate realistic accidental spills for maritime applications </w:t>
      </w:r>
      <w:bookmarkStart w:id="0" w:name="_Hlk93004526"/>
      <w:r w:rsidRPr="00854F71">
        <w:rPr>
          <w:lang w:val="en-GB"/>
        </w:rPr>
        <w:t>(</w:t>
      </w:r>
      <w:proofErr w:type="spellStart"/>
      <w:r w:rsidRPr="00854F71">
        <w:rPr>
          <w:lang w:val="en-GB"/>
        </w:rPr>
        <w:t>Aaneby</w:t>
      </w:r>
      <w:proofErr w:type="spellEnd"/>
      <w:r w:rsidR="00023C49">
        <w:rPr>
          <w:lang w:val="en-GB"/>
        </w:rPr>
        <w:t xml:space="preserve"> et al.</w:t>
      </w:r>
      <w:r w:rsidRPr="00854F71">
        <w:rPr>
          <w:lang w:val="en-GB"/>
        </w:rPr>
        <w:t>, 2021)</w:t>
      </w:r>
      <w:bookmarkEnd w:id="0"/>
      <w:r w:rsidRPr="00854F71">
        <w:rPr>
          <w:lang w:val="en-GB"/>
        </w:rPr>
        <w:t>. Two different kinds of tests have been performed:</w:t>
      </w:r>
      <w:r w:rsidR="00DA3989" w:rsidRPr="00854F71">
        <w:rPr>
          <w:lang w:val="en-GB"/>
        </w:rPr>
        <w:t xml:space="preserve"> (i) o</w:t>
      </w:r>
      <w:r w:rsidRPr="00854F71">
        <w:rPr>
          <w:lang w:val="en-GB"/>
        </w:rPr>
        <w:t>utdoor leakage studies</w:t>
      </w:r>
      <w:r w:rsidR="00DA3989" w:rsidRPr="00854F71">
        <w:rPr>
          <w:lang w:val="en-GB"/>
        </w:rPr>
        <w:t xml:space="preserve"> and (ii) </w:t>
      </w:r>
      <w:r w:rsidR="009C68E9" w:rsidRPr="00854F71">
        <w:rPr>
          <w:lang w:val="en-GB"/>
        </w:rPr>
        <w:t>c</w:t>
      </w:r>
      <w:r w:rsidRPr="00854F71">
        <w:rPr>
          <w:lang w:val="en-GB"/>
        </w:rPr>
        <w:t>losed room and ventilation mast studies</w:t>
      </w:r>
      <w:r w:rsidR="009C68E9" w:rsidRPr="00854F71">
        <w:rPr>
          <w:lang w:val="en-GB"/>
        </w:rPr>
        <w:t>.</w:t>
      </w:r>
      <w:r w:rsidR="002A2BF1">
        <w:rPr>
          <w:lang w:val="en-GB"/>
        </w:rPr>
        <w:t xml:space="preserve"> In this work, only the </w:t>
      </w:r>
      <w:r w:rsidR="00205898">
        <w:rPr>
          <w:lang w:val="en-GB"/>
        </w:rPr>
        <w:t xml:space="preserve">outcomes of the </w:t>
      </w:r>
      <w:r w:rsidR="002A2BF1">
        <w:rPr>
          <w:lang w:val="en-GB"/>
        </w:rPr>
        <w:t xml:space="preserve">outdoor leakage studies </w:t>
      </w:r>
      <w:r w:rsidR="00205898">
        <w:rPr>
          <w:lang w:val="en-GB"/>
        </w:rPr>
        <w:t xml:space="preserve">described in the following </w:t>
      </w:r>
      <w:r w:rsidR="002A2BF1">
        <w:rPr>
          <w:lang w:val="en-GB"/>
        </w:rPr>
        <w:t xml:space="preserve">were considered to </w:t>
      </w:r>
      <w:r w:rsidR="00205898">
        <w:rPr>
          <w:lang w:val="en-GB"/>
        </w:rPr>
        <w:t>train and validate the model.</w:t>
      </w:r>
    </w:p>
    <w:p w14:paraId="604EFF95" w14:textId="624CD0AA" w:rsidR="006807D5" w:rsidRPr="00854F71" w:rsidRDefault="0029079C" w:rsidP="009819F4">
      <w:pPr>
        <w:pStyle w:val="CETHeadingxx"/>
        <w:rPr>
          <w:lang w:val="en-GB"/>
        </w:rPr>
      </w:pPr>
      <w:r>
        <w:rPr>
          <w:lang w:val="en-GB"/>
        </w:rPr>
        <w:t>3</w:t>
      </w:r>
      <w:r w:rsidR="006807D5" w:rsidRPr="00854F71">
        <w:rPr>
          <w:lang w:val="en-GB"/>
        </w:rPr>
        <w:t>.1.1 Outdoor leakage studies</w:t>
      </w:r>
    </w:p>
    <w:p w14:paraId="7BA8374D" w14:textId="77777777" w:rsidR="00A569F2" w:rsidRPr="00854F71" w:rsidRDefault="006807D5" w:rsidP="00A569F2">
      <w:pPr>
        <w:pStyle w:val="CETBodytext"/>
        <w:rPr>
          <w:lang w:val="en-GB"/>
        </w:rPr>
      </w:pPr>
      <w:r w:rsidRPr="00854F71">
        <w:rPr>
          <w:lang w:val="en-GB"/>
        </w:rPr>
        <w:t>The outdoor leakage tests consisted in the release of liquid hydrogen on the ground on a pad above which many sensors and thermocouples were placed. A total number of seven tests were performed. These tests aimed to simulate liquid hydrogen spills from bunkering operations. The liquid hydrogen release flowrates were varied up to 50 kg/min – which reproduce real accidental release rates – and two intermodal containers were placed close to the release point to simulate obstacles.</w:t>
      </w:r>
      <w:r w:rsidR="00A569F2" w:rsidRPr="00854F71">
        <w:rPr>
          <w:lang w:val="en-GB"/>
        </w:rPr>
        <w:t xml:space="preserve"> As stated by </w:t>
      </w:r>
      <w:proofErr w:type="spellStart"/>
      <w:r w:rsidR="00A569F2" w:rsidRPr="00854F71">
        <w:rPr>
          <w:lang w:val="en-GB"/>
        </w:rPr>
        <w:t>Aaneby</w:t>
      </w:r>
      <w:proofErr w:type="spellEnd"/>
      <w:r w:rsidR="00A569F2" w:rsidRPr="00854F71">
        <w:rPr>
          <w:lang w:val="en-GB"/>
        </w:rPr>
        <w:t xml:space="preserve">, </w:t>
      </w:r>
      <w:proofErr w:type="spellStart"/>
      <w:r w:rsidR="00A569F2" w:rsidRPr="00854F71">
        <w:rPr>
          <w:lang w:val="en-GB"/>
        </w:rPr>
        <w:t>Gjesdal</w:t>
      </w:r>
      <w:proofErr w:type="spellEnd"/>
      <w:r w:rsidR="00A569F2" w:rsidRPr="00854F71">
        <w:rPr>
          <w:lang w:val="en-GB"/>
        </w:rPr>
        <w:t xml:space="preserve"> and </w:t>
      </w:r>
      <w:proofErr w:type="spellStart"/>
      <w:r w:rsidR="00A569F2" w:rsidRPr="00854F71">
        <w:rPr>
          <w:lang w:val="en-GB"/>
        </w:rPr>
        <w:t>Voie</w:t>
      </w:r>
      <w:proofErr w:type="spellEnd"/>
      <w:r w:rsidR="00A569F2" w:rsidRPr="00854F71">
        <w:rPr>
          <w:lang w:val="en-GB"/>
        </w:rPr>
        <w:t xml:space="preserve"> (2021), this study aimed to (i) provide information about the formation, </w:t>
      </w:r>
      <w:proofErr w:type="gramStart"/>
      <w:r w:rsidR="00A569F2" w:rsidRPr="00854F71">
        <w:rPr>
          <w:lang w:val="en-GB"/>
        </w:rPr>
        <w:t>propagation</w:t>
      </w:r>
      <w:proofErr w:type="gramEnd"/>
      <w:r w:rsidR="00A569F2" w:rsidRPr="00854F71">
        <w:rPr>
          <w:lang w:val="en-GB"/>
        </w:rPr>
        <w:t xml:space="preserve"> and duration of a cryogenic liquid pool, (ii) evaluate the gas cloud generated by such leakage and (iii) describe the cloud behaviour in case of ignition as a simple burning, a deflagration or a detonation event.</w:t>
      </w:r>
    </w:p>
    <w:p w14:paraId="7C2B0064" w14:textId="6644F6D2" w:rsidR="00453E24" w:rsidRPr="00854F71" w:rsidRDefault="00A569F2" w:rsidP="00A569F2">
      <w:pPr>
        <w:pStyle w:val="CETBodytext"/>
        <w:rPr>
          <w:lang w:val="en-GB"/>
        </w:rPr>
      </w:pPr>
      <w:r w:rsidRPr="00854F71">
        <w:rPr>
          <w:lang w:val="en-GB"/>
        </w:rPr>
        <w:t>As emerged from the tests, the formation of the liquid pool on the ground depended on the orientation of the release hose (vertical downwards or horizontal) and it only extended up to 0.5 m from the release point. The release of a cryogenic fluid may lead to condensation and freezing of air components on the ground due to the ultra-low boiling point of hydrogen (20 K). These phenomena are particularly critical since they might enhance the risk of explosion of the flammable mixture in case of ignition. Moreover, the concentration of hydrogen within the gas cloud generated by the partial vaporization of the released liquid hydrogen exceeded the lower flammability limit (LFL) within 50 m from the release point. In none of the tests a spontaneous ignition was observed.</w:t>
      </w:r>
    </w:p>
    <w:p w14:paraId="677EBFF0" w14:textId="621E1CAE" w:rsidR="00600535" w:rsidRDefault="00A031A1" w:rsidP="00600535">
      <w:pPr>
        <w:pStyle w:val="CETHeading1"/>
        <w:tabs>
          <w:tab w:val="clear" w:pos="360"/>
          <w:tab w:val="right" w:pos="7100"/>
        </w:tabs>
        <w:jc w:val="both"/>
        <w:rPr>
          <w:lang w:val="en-GB"/>
        </w:rPr>
      </w:pPr>
      <w:r w:rsidRPr="00854F71">
        <w:rPr>
          <w:lang w:val="en-GB"/>
        </w:rPr>
        <w:t>Results</w:t>
      </w:r>
      <w:r w:rsidR="00CD5D32">
        <w:rPr>
          <w:lang w:val="en-GB"/>
        </w:rPr>
        <w:t xml:space="preserve"> and discussion</w:t>
      </w:r>
    </w:p>
    <w:p w14:paraId="54ACA444" w14:textId="1375329E" w:rsidR="00CD5D32" w:rsidRDefault="00021F8D" w:rsidP="00CD5D32">
      <w:pPr>
        <w:pStyle w:val="CETBodytext"/>
        <w:rPr>
          <w:lang w:val="en-GB"/>
        </w:rPr>
      </w:pPr>
      <w:r>
        <w:rPr>
          <w:lang w:val="en-GB"/>
        </w:rPr>
        <w:t>The performance metric</w:t>
      </w:r>
      <w:r w:rsidR="00C067C2">
        <w:rPr>
          <w:lang w:val="en-GB"/>
        </w:rPr>
        <w:t>s provided by the linear model are collected in Table 1 for all the three labe</w:t>
      </w:r>
      <w:r w:rsidR="00034EB9">
        <w:rPr>
          <w:lang w:val="en-GB"/>
        </w:rPr>
        <w:t>l</w:t>
      </w:r>
      <w:r w:rsidR="00C067C2">
        <w:rPr>
          <w:lang w:val="en-GB"/>
        </w:rPr>
        <w:t xml:space="preserve">s. </w:t>
      </w:r>
      <w:r w:rsidR="004A6EBC">
        <w:rPr>
          <w:lang w:val="en-GB"/>
        </w:rPr>
        <w:t xml:space="preserve">The highest </w:t>
      </w:r>
      <w:r w:rsidR="00D903D0">
        <w:rPr>
          <w:lang w:val="en-GB"/>
        </w:rPr>
        <w:t xml:space="preserve">and lowest </w:t>
      </w:r>
      <w:r w:rsidR="0003359F">
        <w:rPr>
          <w:lang w:val="en-GB"/>
        </w:rPr>
        <w:t>accurac</w:t>
      </w:r>
      <w:r w:rsidR="00D903D0">
        <w:rPr>
          <w:lang w:val="en-GB"/>
        </w:rPr>
        <w:t>ies</w:t>
      </w:r>
      <w:r w:rsidR="0003359F">
        <w:rPr>
          <w:lang w:val="en-GB"/>
        </w:rPr>
        <w:t xml:space="preserve"> </w:t>
      </w:r>
      <w:r w:rsidR="00D903D0">
        <w:rPr>
          <w:lang w:val="en-GB"/>
        </w:rPr>
        <w:t>are</w:t>
      </w:r>
      <w:r w:rsidR="0003359F">
        <w:rPr>
          <w:lang w:val="en-GB"/>
        </w:rPr>
        <w:t xml:space="preserve"> achieved by the hydrogen concentration </w:t>
      </w:r>
      <w:r w:rsidR="00D903D0">
        <w:rPr>
          <w:lang w:val="en-GB"/>
        </w:rPr>
        <w:t>and liquid oxygen labels</w:t>
      </w:r>
      <w:r w:rsidR="00325E05">
        <w:rPr>
          <w:lang w:val="en-GB"/>
        </w:rPr>
        <w:t>, respectively. On the other hand, the highest precision</w:t>
      </w:r>
      <w:r w:rsidR="008B0407">
        <w:rPr>
          <w:lang w:val="en-GB"/>
        </w:rPr>
        <w:t xml:space="preserve">, recall and </w:t>
      </w:r>
      <w:proofErr w:type="spellStart"/>
      <w:r w:rsidR="008B0407">
        <w:rPr>
          <w:lang w:val="en-GB"/>
        </w:rPr>
        <w:t>AUCpr</w:t>
      </w:r>
      <w:proofErr w:type="spellEnd"/>
      <w:r w:rsidR="008B0407">
        <w:rPr>
          <w:lang w:val="en-GB"/>
        </w:rPr>
        <w:t xml:space="preserve"> are</w:t>
      </w:r>
      <w:r w:rsidR="00325E05">
        <w:rPr>
          <w:lang w:val="en-GB"/>
        </w:rPr>
        <w:t xml:space="preserve"> obtained </w:t>
      </w:r>
      <w:r w:rsidR="00545FC9">
        <w:rPr>
          <w:lang w:val="en-GB"/>
        </w:rPr>
        <w:t xml:space="preserve">for </w:t>
      </w:r>
      <w:r w:rsidR="00325E05">
        <w:rPr>
          <w:lang w:val="en-GB"/>
        </w:rPr>
        <w:t>the latter label.</w:t>
      </w:r>
      <w:r w:rsidR="00D903D0">
        <w:rPr>
          <w:lang w:val="en-GB"/>
        </w:rPr>
        <w:t xml:space="preserve"> </w:t>
      </w:r>
      <w:r w:rsidR="00D05A55">
        <w:rPr>
          <w:lang w:val="en-GB"/>
        </w:rPr>
        <w:t>This means that t</w:t>
      </w:r>
      <w:r w:rsidR="00C5622A" w:rsidRPr="00C5622A">
        <w:rPr>
          <w:lang w:val="en-GB"/>
        </w:rPr>
        <w:t xml:space="preserve">he built model is </w:t>
      </w:r>
      <w:r w:rsidR="00D05A55">
        <w:rPr>
          <w:lang w:val="en-GB"/>
        </w:rPr>
        <w:t>very</w:t>
      </w:r>
      <w:r w:rsidR="00C5622A" w:rsidRPr="00C5622A">
        <w:rPr>
          <w:lang w:val="en-GB"/>
        </w:rPr>
        <w:t xml:space="preserve"> good at predicting the condensation </w:t>
      </w:r>
      <w:r w:rsidR="002932F5">
        <w:rPr>
          <w:lang w:val="en-GB"/>
        </w:rPr>
        <w:t xml:space="preserve">or solidification </w:t>
      </w:r>
      <w:r w:rsidR="00C5622A" w:rsidRPr="00C5622A">
        <w:rPr>
          <w:lang w:val="en-GB"/>
        </w:rPr>
        <w:t>of air components on the ground</w:t>
      </w:r>
    </w:p>
    <w:p w14:paraId="7F871F37" w14:textId="62C0F3C0" w:rsidR="00A31004" w:rsidRPr="00854F71" w:rsidRDefault="00A31004" w:rsidP="00A31004">
      <w:pPr>
        <w:pStyle w:val="CETTabletitle"/>
      </w:pPr>
      <w:r w:rsidRPr="00854F71">
        <w:t xml:space="preserve">Table 1: </w:t>
      </w:r>
      <w:r w:rsidR="0066499D" w:rsidRPr="0066499D">
        <w:t xml:space="preserve">Performance metrics resulting from the evaluation of the </w:t>
      </w:r>
      <w:r w:rsidR="0066499D">
        <w:t>linear</w:t>
      </w:r>
      <w:r w:rsidR="0066499D" w:rsidRPr="0066499D">
        <w:t xml:space="preserve"> model trained over the raw outdoor leakage studies database for the </w:t>
      </w:r>
      <w:r w:rsidR="00CE28F7">
        <w:t xml:space="preserve">three defined </w:t>
      </w:r>
      <w:r w:rsidR="0066499D" w:rsidRPr="0066499D">
        <w:t>label</w:t>
      </w:r>
      <w:r w:rsidR="00CE28F7">
        <w: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098"/>
        <w:gridCol w:w="1134"/>
        <w:gridCol w:w="1134"/>
        <w:gridCol w:w="1134"/>
        <w:gridCol w:w="1134"/>
      </w:tblGrid>
      <w:tr w:rsidR="00A31004" w:rsidRPr="00854F71" w14:paraId="2AFEB383" w14:textId="77777777" w:rsidTr="005C5675">
        <w:tc>
          <w:tcPr>
            <w:tcW w:w="2098" w:type="dxa"/>
            <w:tcBorders>
              <w:top w:val="single" w:sz="12" w:space="0" w:color="008000"/>
              <w:bottom w:val="single" w:sz="6" w:space="0" w:color="008000"/>
            </w:tcBorders>
            <w:shd w:val="clear" w:color="auto" w:fill="FFFFFF"/>
          </w:tcPr>
          <w:p w14:paraId="7DC57A70" w14:textId="6165C14E" w:rsidR="00A31004" w:rsidRPr="00854F71" w:rsidRDefault="00A31004" w:rsidP="006D1BE2">
            <w:pPr>
              <w:pStyle w:val="CETBodytext"/>
              <w:rPr>
                <w:lang w:val="en-GB"/>
              </w:rPr>
            </w:pPr>
            <w:r>
              <w:rPr>
                <w:lang w:val="en-GB"/>
              </w:rPr>
              <w:t>Label</w:t>
            </w:r>
            <w:r w:rsidRPr="00854F71">
              <w:rPr>
                <w:lang w:val="en-GB"/>
              </w:rPr>
              <w:t xml:space="preserve"> </w:t>
            </w:r>
          </w:p>
        </w:tc>
        <w:tc>
          <w:tcPr>
            <w:tcW w:w="1134" w:type="dxa"/>
            <w:tcBorders>
              <w:top w:val="single" w:sz="12" w:space="0" w:color="008000"/>
              <w:bottom w:val="single" w:sz="6" w:space="0" w:color="008000"/>
            </w:tcBorders>
            <w:shd w:val="clear" w:color="auto" w:fill="FFFFFF"/>
          </w:tcPr>
          <w:p w14:paraId="1BF70576" w14:textId="719C1B02" w:rsidR="00A31004" w:rsidRPr="00854F71" w:rsidRDefault="003D631A" w:rsidP="006D1BE2">
            <w:pPr>
              <w:pStyle w:val="CETBodytext"/>
              <w:rPr>
                <w:lang w:val="en-GB"/>
              </w:rPr>
            </w:pPr>
            <w:r>
              <w:rPr>
                <w:lang w:val="en-GB"/>
              </w:rPr>
              <w:t>Accuracy</w:t>
            </w:r>
          </w:p>
        </w:tc>
        <w:tc>
          <w:tcPr>
            <w:tcW w:w="1134" w:type="dxa"/>
            <w:tcBorders>
              <w:top w:val="single" w:sz="12" w:space="0" w:color="008000"/>
              <w:bottom w:val="single" w:sz="6" w:space="0" w:color="008000"/>
            </w:tcBorders>
            <w:shd w:val="clear" w:color="auto" w:fill="FFFFFF"/>
          </w:tcPr>
          <w:p w14:paraId="6E99538F" w14:textId="5DE9CC7C" w:rsidR="00A31004" w:rsidRPr="00854F71" w:rsidRDefault="007B61EB" w:rsidP="006D1BE2">
            <w:pPr>
              <w:pStyle w:val="CETBodytext"/>
              <w:rPr>
                <w:lang w:val="en-GB"/>
              </w:rPr>
            </w:pPr>
            <w:r>
              <w:rPr>
                <w:lang w:val="en-GB"/>
              </w:rPr>
              <w:t>Precision</w:t>
            </w:r>
          </w:p>
        </w:tc>
        <w:tc>
          <w:tcPr>
            <w:tcW w:w="1134" w:type="dxa"/>
            <w:tcBorders>
              <w:top w:val="single" w:sz="12" w:space="0" w:color="008000"/>
              <w:bottom w:val="single" w:sz="6" w:space="0" w:color="008000"/>
            </w:tcBorders>
            <w:shd w:val="clear" w:color="auto" w:fill="FFFFFF"/>
          </w:tcPr>
          <w:p w14:paraId="0B279109" w14:textId="0D995FC9" w:rsidR="00A31004" w:rsidRPr="00854F71" w:rsidRDefault="008B7B62" w:rsidP="006D1BE2">
            <w:pPr>
              <w:pStyle w:val="CETBodytext"/>
              <w:ind w:right="-1"/>
              <w:rPr>
                <w:rFonts w:cs="Arial"/>
                <w:szCs w:val="18"/>
                <w:lang w:val="en-GB"/>
              </w:rPr>
            </w:pPr>
            <w:r>
              <w:rPr>
                <w:rFonts w:cs="Arial"/>
                <w:szCs w:val="18"/>
                <w:lang w:val="en-GB"/>
              </w:rPr>
              <w:t>Recall</w:t>
            </w:r>
          </w:p>
        </w:tc>
        <w:tc>
          <w:tcPr>
            <w:tcW w:w="1134" w:type="dxa"/>
            <w:tcBorders>
              <w:top w:val="single" w:sz="12" w:space="0" w:color="008000"/>
              <w:bottom w:val="single" w:sz="6" w:space="0" w:color="008000"/>
            </w:tcBorders>
            <w:shd w:val="clear" w:color="auto" w:fill="FFFFFF"/>
          </w:tcPr>
          <w:p w14:paraId="07F3B1F5" w14:textId="57F5492D" w:rsidR="00A31004" w:rsidRPr="00854F71" w:rsidRDefault="00D64B8B" w:rsidP="006D1BE2">
            <w:pPr>
              <w:pStyle w:val="CETBodytext"/>
              <w:ind w:right="-1"/>
              <w:rPr>
                <w:rFonts w:cs="Arial"/>
                <w:szCs w:val="18"/>
                <w:lang w:val="en-GB"/>
              </w:rPr>
            </w:pPr>
            <w:proofErr w:type="spellStart"/>
            <w:r>
              <w:rPr>
                <w:rFonts w:cs="Arial"/>
                <w:szCs w:val="18"/>
                <w:lang w:val="en-GB"/>
              </w:rPr>
              <w:t>AUCpr</w:t>
            </w:r>
            <w:proofErr w:type="spellEnd"/>
          </w:p>
        </w:tc>
      </w:tr>
      <w:tr w:rsidR="00A31004" w:rsidRPr="00854F71" w14:paraId="2F67DAD0" w14:textId="77777777" w:rsidTr="005C5675">
        <w:tc>
          <w:tcPr>
            <w:tcW w:w="2098" w:type="dxa"/>
            <w:shd w:val="clear" w:color="auto" w:fill="FFFFFF"/>
          </w:tcPr>
          <w:p w14:paraId="08396237" w14:textId="0E493BFC" w:rsidR="00A31004" w:rsidRPr="00854F71" w:rsidRDefault="00A31004" w:rsidP="006D1BE2">
            <w:pPr>
              <w:pStyle w:val="CETBodytext"/>
              <w:rPr>
                <w:lang w:val="en-GB"/>
              </w:rPr>
            </w:pPr>
            <w:r>
              <w:rPr>
                <w:lang w:val="en-GB"/>
              </w:rPr>
              <w:t>Liquid oxygen</w:t>
            </w:r>
          </w:p>
        </w:tc>
        <w:tc>
          <w:tcPr>
            <w:tcW w:w="1134" w:type="dxa"/>
            <w:shd w:val="clear" w:color="auto" w:fill="FFFFFF"/>
          </w:tcPr>
          <w:p w14:paraId="1C797F3F" w14:textId="2B51BD8E" w:rsidR="00A31004" w:rsidRPr="00854F71" w:rsidRDefault="004E62C5" w:rsidP="006D1BE2">
            <w:pPr>
              <w:pStyle w:val="CETBodytext"/>
              <w:rPr>
                <w:lang w:val="en-GB"/>
              </w:rPr>
            </w:pPr>
            <w:r w:rsidRPr="004E62C5">
              <w:rPr>
                <w:lang w:val="en-GB"/>
              </w:rPr>
              <w:t>0.902</w:t>
            </w:r>
          </w:p>
        </w:tc>
        <w:tc>
          <w:tcPr>
            <w:tcW w:w="1134" w:type="dxa"/>
            <w:shd w:val="clear" w:color="auto" w:fill="FFFFFF"/>
          </w:tcPr>
          <w:p w14:paraId="7C134E41" w14:textId="68FA0DA9" w:rsidR="00A31004" w:rsidRPr="00854F71" w:rsidRDefault="002E4241" w:rsidP="006D1BE2">
            <w:pPr>
              <w:pStyle w:val="CETBodytext"/>
              <w:rPr>
                <w:lang w:val="en-GB"/>
              </w:rPr>
            </w:pPr>
            <w:r w:rsidRPr="002E4241">
              <w:rPr>
                <w:lang w:val="en-GB"/>
              </w:rPr>
              <w:t>0.848</w:t>
            </w:r>
          </w:p>
        </w:tc>
        <w:tc>
          <w:tcPr>
            <w:tcW w:w="1134" w:type="dxa"/>
            <w:shd w:val="clear" w:color="auto" w:fill="FFFFFF"/>
          </w:tcPr>
          <w:p w14:paraId="0BAE0090" w14:textId="37FC9556" w:rsidR="00A31004" w:rsidRPr="00854F71" w:rsidRDefault="00A95A30" w:rsidP="006D1BE2">
            <w:pPr>
              <w:pStyle w:val="CETBodytext"/>
              <w:ind w:right="-1"/>
              <w:rPr>
                <w:rFonts w:cs="Arial"/>
                <w:szCs w:val="18"/>
                <w:lang w:val="en-GB"/>
              </w:rPr>
            </w:pPr>
            <w:r w:rsidRPr="00A95A30">
              <w:rPr>
                <w:rFonts w:cs="Arial"/>
                <w:szCs w:val="18"/>
                <w:lang w:val="en-GB"/>
              </w:rPr>
              <w:t>0.936</w:t>
            </w:r>
          </w:p>
        </w:tc>
        <w:tc>
          <w:tcPr>
            <w:tcW w:w="1134" w:type="dxa"/>
            <w:shd w:val="clear" w:color="auto" w:fill="FFFFFF"/>
          </w:tcPr>
          <w:p w14:paraId="2D584BFC" w14:textId="61C9C60A" w:rsidR="00A31004" w:rsidRPr="00854F71" w:rsidRDefault="00D55ECE" w:rsidP="006D1BE2">
            <w:pPr>
              <w:pStyle w:val="CETBodytext"/>
              <w:ind w:right="-1"/>
              <w:rPr>
                <w:rFonts w:cs="Arial"/>
                <w:szCs w:val="18"/>
                <w:lang w:val="en-GB"/>
              </w:rPr>
            </w:pPr>
            <w:r w:rsidRPr="00D55ECE">
              <w:rPr>
                <w:rFonts w:cs="Arial"/>
                <w:szCs w:val="18"/>
                <w:lang w:val="en-GB"/>
              </w:rPr>
              <w:t>0.9</w:t>
            </w:r>
            <w:r w:rsidR="00F17499">
              <w:rPr>
                <w:rFonts w:cs="Arial"/>
                <w:szCs w:val="18"/>
                <w:lang w:val="en-GB"/>
              </w:rPr>
              <w:t>49</w:t>
            </w:r>
          </w:p>
        </w:tc>
      </w:tr>
      <w:tr w:rsidR="00A31004" w:rsidRPr="00854F71" w14:paraId="6B626DCD" w14:textId="77777777" w:rsidTr="005C5675">
        <w:tc>
          <w:tcPr>
            <w:tcW w:w="2098" w:type="dxa"/>
            <w:shd w:val="clear" w:color="auto" w:fill="FFFFFF"/>
          </w:tcPr>
          <w:p w14:paraId="27DD677F" w14:textId="42D179B1" w:rsidR="00A31004" w:rsidRPr="00854F71" w:rsidRDefault="00A31004" w:rsidP="006D1BE2">
            <w:pPr>
              <w:pStyle w:val="CETBodytext"/>
              <w:rPr>
                <w:lang w:val="en-GB"/>
              </w:rPr>
            </w:pPr>
            <w:r>
              <w:rPr>
                <w:lang w:val="en-GB"/>
              </w:rPr>
              <w:t>Solid oxygen</w:t>
            </w:r>
          </w:p>
        </w:tc>
        <w:tc>
          <w:tcPr>
            <w:tcW w:w="1134" w:type="dxa"/>
            <w:shd w:val="clear" w:color="auto" w:fill="FFFFFF"/>
          </w:tcPr>
          <w:p w14:paraId="73D82AA8" w14:textId="0B369C7D" w:rsidR="00A31004" w:rsidRPr="00854F71" w:rsidRDefault="00DE7906" w:rsidP="006D1BE2">
            <w:pPr>
              <w:pStyle w:val="CETBodytext"/>
              <w:rPr>
                <w:lang w:val="en-GB"/>
              </w:rPr>
            </w:pPr>
            <w:r w:rsidRPr="00DE7906">
              <w:rPr>
                <w:lang w:val="en-GB"/>
              </w:rPr>
              <w:t>0.957</w:t>
            </w:r>
          </w:p>
        </w:tc>
        <w:tc>
          <w:tcPr>
            <w:tcW w:w="1134" w:type="dxa"/>
            <w:shd w:val="clear" w:color="auto" w:fill="FFFFFF"/>
          </w:tcPr>
          <w:p w14:paraId="46E95FB9" w14:textId="20694526" w:rsidR="00A31004" w:rsidRPr="00854F71" w:rsidRDefault="00AA1768" w:rsidP="006D1BE2">
            <w:pPr>
              <w:pStyle w:val="CETBodytext"/>
              <w:rPr>
                <w:lang w:val="en-GB"/>
              </w:rPr>
            </w:pPr>
            <w:r w:rsidRPr="00AA1768">
              <w:rPr>
                <w:lang w:val="en-GB"/>
              </w:rPr>
              <w:t>0.830</w:t>
            </w:r>
          </w:p>
        </w:tc>
        <w:tc>
          <w:tcPr>
            <w:tcW w:w="1134" w:type="dxa"/>
            <w:shd w:val="clear" w:color="auto" w:fill="FFFFFF"/>
          </w:tcPr>
          <w:p w14:paraId="020A1D3E" w14:textId="4998F222" w:rsidR="00A31004" w:rsidRPr="00854F71" w:rsidRDefault="003E72F3" w:rsidP="006D1BE2">
            <w:pPr>
              <w:pStyle w:val="CETBodytext"/>
              <w:ind w:right="-1"/>
              <w:rPr>
                <w:rFonts w:cs="Arial"/>
                <w:szCs w:val="18"/>
                <w:lang w:val="en-GB"/>
              </w:rPr>
            </w:pPr>
            <w:r w:rsidRPr="003E72F3">
              <w:rPr>
                <w:rFonts w:cs="Arial"/>
                <w:szCs w:val="18"/>
                <w:lang w:val="en-GB"/>
              </w:rPr>
              <w:t>0.613</w:t>
            </w:r>
          </w:p>
        </w:tc>
        <w:tc>
          <w:tcPr>
            <w:tcW w:w="1134" w:type="dxa"/>
            <w:shd w:val="clear" w:color="auto" w:fill="FFFFFF"/>
          </w:tcPr>
          <w:p w14:paraId="59108F9D" w14:textId="0E090784" w:rsidR="00A31004" w:rsidRPr="00854F71" w:rsidRDefault="003929BA" w:rsidP="006D1BE2">
            <w:pPr>
              <w:pStyle w:val="CETBodytext"/>
              <w:ind w:right="-1"/>
              <w:rPr>
                <w:rFonts w:cs="Arial"/>
                <w:szCs w:val="18"/>
                <w:lang w:val="en-GB"/>
              </w:rPr>
            </w:pPr>
            <w:r w:rsidRPr="003929BA">
              <w:rPr>
                <w:rFonts w:cs="Arial"/>
                <w:szCs w:val="18"/>
                <w:lang w:val="en-GB"/>
              </w:rPr>
              <w:t>0.807</w:t>
            </w:r>
          </w:p>
        </w:tc>
      </w:tr>
      <w:tr w:rsidR="00A31004" w:rsidRPr="00854F71" w14:paraId="7AC8FA68" w14:textId="77777777" w:rsidTr="005C5675">
        <w:tc>
          <w:tcPr>
            <w:tcW w:w="2098" w:type="dxa"/>
            <w:shd w:val="clear" w:color="auto" w:fill="FFFFFF"/>
          </w:tcPr>
          <w:p w14:paraId="3E42365A" w14:textId="1B7DE831" w:rsidR="00A31004" w:rsidRPr="00854F71" w:rsidRDefault="005C5675" w:rsidP="006D1BE2">
            <w:pPr>
              <w:pStyle w:val="CETBodytext"/>
              <w:ind w:right="-1"/>
              <w:rPr>
                <w:rFonts w:cs="Arial"/>
                <w:szCs w:val="18"/>
                <w:lang w:val="en-GB"/>
              </w:rPr>
            </w:pPr>
            <w:r>
              <w:rPr>
                <w:lang w:val="en-GB"/>
              </w:rPr>
              <w:t>H2 concentration &gt; LFL</w:t>
            </w:r>
          </w:p>
        </w:tc>
        <w:tc>
          <w:tcPr>
            <w:tcW w:w="1134" w:type="dxa"/>
            <w:shd w:val="clear" w:color="auto" w:fill="FFFFFF"/>
          </w:tcPr>
          <w:p w14:paraId="0D2BFDE7" w14:textId="09974B75" w:rsidR="00A31004" w:rsidRPr="00854F71" w:rsidRDefault="001F4F97" w:rsidP="006D1BE2">
            <w:pPr>
              <w:pStyle w:val="CETBodytext"/>
              <w:ind w:right="-1"/>
              <w:rPr>
                <w:rFonts w:cs="Arial"/>
                <w:szCs w:val="18"/>
                <w:lang w:val="en-GB"/>
              </w:rPr>
            </w:pPr>
            <w:r w:rsidRPr="001F4F97">
              <w:rPr>
                <w:rFonts w:cs="Arial"/>
                <w:szCs w:val="18"/>
                <w:lang w:val="en-GB"/>
              </w:rPr>
              <w:t>0.988</w:t>
            </w:r>
          </w:p>
        </w:tc>
        <w:tc>
          <w:tcPr>
            <w:tcW w:w="1134" w:type="dxa"/>
            <w:shd w:val="clear" w:color="auto" w:fill="FFFFFF"/>
          </w:tcPr>
          <w:p w14:paraId="6BB84D46" w14:textId="60E9B47C" w:rsidR="00A31004" w:rsidRPr="00854F71" w:rsidRDefault="0069681E" w:rsidP="006D1BE2">
            <w:pPr>
              <w:pStyle w:val="CETBodytext"/>
              <w:ind w:right="-1"/>
              <w:rPr>
                <w:rFonts w:cs="Arial"/>
                <w:szCs w:val="18"/>
                <w:lang w:val="en-GB"/>
              </w:rPr>
            </w:pPr>
            <w:r w:rsidRPr="0069681E">
              <w:rPr>
                <w:rFonts w:cs="Arial"/>
                <w:szCs w:val="18"/>
                <w:lang w:val="en-GB"/>
              </w:rPr>
              <w:t>0.649</w:t>
            </w:r>
          </w:p>
        </w:tc>
        <w:tc>
          <w:tcPr>
            <w:tcW w:w="1134" w:type="dxa"/>
            <w:shd w:val="clear" w:color="auto" w:fill="FFFFFF"/>
          </w:tcPr>
          <w:p w14:paraId="187965C7" w14:textId="0966148D" w:rsidR="00A31004" w:rsidRPr="00854F71" w:rsidRDefault="00E01B14" w:rsidP="006D1BE2">
            <w:pPr>
              <w:pStyle w:val="CETBodytext"/>
              <w:ind w:right="-1"/>
              <w:rPr>
                <w:rFonts w:cs="Arial"/>
                <w:szCs w:val="18"/>
                <w:lang w:val="en-GB"/>
              </w:rPr>
            </w:pPr>
            <w:r w:rsidRPr="00E01B14">
              <w:rPr>
                <w:rFonts w:cs="Arial"/>
                <w:szCs w:val="18"/>
                <w:lang w:val="en-GB"/>
              </w:rPr>
              <w:t>0.184</w:t>
            </w:r>
          </w:p>
        </w:tc>
        <w:tc>
          <w:tcPr>
            <w:tcW w:w="1134" w:type="dxa"/>
            <w:shd w:val="clear" w:color="auto" w:fill="FFFFFF"/>
          </w:tcPr>
          <w:p w14:paraId="044233C7" w14:textId="1A1377F0" w:rsidR="00A31004" w:rsidRPr="00854F71" w:rsidRDefault="00B32183" w:rsidP="006D1BE2">
            <w:pPr>
              <w:pStyle w:val="CETBodytext"/>
              <w:ind w:right="-1"/>
              <w:rPr>
                <w:rFonts w:cs="Arial"/>
                <w:szCs w:val="18"/>
                <w:lang w:val="en-GB"/>
              </w:rPr>
            </w:pPr>
            <w:r w:rsidRPr="00B32183">
              <w:rPr>
                <w:rFonts w:cs="Arial"/>
                <w:szCs w:val="18"/>
                <w:lang w:val="en-GB"/>
              </w:rPr>
              <w:t>0.366</w:t>
            </w:r>
          </w:p>
        </w:tc>
      </w:tr>
    </w:tbl>
    <w:p w14:paraId="7132F252" w14:textId="4A87369D" w:rsidR="00A31004" w:rsidRDefault="00A31004" w:rsidP="00CD5D32">
      <w:pPr>
        <w:pStyle w:val="CETBodytext"/>
        <w:rPr>
          <w:lang w:val="en-GB"/>
        </w:rPr>
      </w:pPr>
    </w:p>
    <w:p w14:paraId="372D6D14" w14:textId="3EA562B5" w:rsidR="00A75F96" w:rsidRDefault="0043490E" w:rsidP="00CD5D32">
      <w:pPr>
        <w:pStyle w:val="CETBodytext"/>
        <w:rPr>
          <w:lang w:val="en-GB"/>
        </w:rPr>
      </w:pPr>
      <w:r w:rsidRPr="009D235E">
        <w:rPr>
          <w:lang w:val="en-GB"/>
        </w:rPr>
        <w:t>T</w:t>
      </w:r>
      <w:r w:rsidR="005901AD" w:rsidRPr="009D235E">
        <w:rPr>
          <w:lang w:val="en-GB"/>
        </w:rPr>
        <w:t>he</w:t>
      </w:r>
      <w:r w:rsidRPr="009D235E">
        <w:rPr>
          <w:lang w:val="en-GB"/>
        </w:rPr>
        <w:t xml:space="preserve"> obtained</w:t>
      </w:r>
      <w:r w:rsidR="005901AD" w:rsidRPr="009D235E">
        <w:rPr>
          <w:lang w:val="en-GB"/>
        </w:rPr>
        <w:t xml:space="preserve"> confusion matrices are displayed</w:t>
      </w:r>
      <w:r w:rsidRPr="009D235E">
        <w:rPr>
          <w:lang w:val="en-GB"/>
        </w:rPr>
        <w:t xml:space="preserve"> i</w:t>
      </w:r>
      <w:r w:rsidRPr="009D235E">
        <w:rPr>
          <w:lang w:val="en-GB"/>
        </w:rPr>
        <w:t>n Figure 1</w:t>
      </w:r>
      <w:r w:rsidR="005901AD" w:rsidRPr="009D235E">
        <w:rPr>
          <w:lang w:val="en-GB"/>
        </w:rPr>
        <w:t xml:space="preserve">. These matrices show that the </w:t>
      </w:r>
      <w:r w:rsidR="00715F8E" w:rsidRPr="009D235E">
        <w:rPr>
          <w:lang w:val="en-GB"/>
        </w:rPr>
        <w:t xml:space="preserve">linear </w:t>
      </w:r>
      <w:r w:rsidR="005901AD" w:rsidRPr="009D235E">
        <w:rPr>
          <w:lang w:val="en-GB"/>
        </w:rPr>
        <w:t>model predict</w:t>
      </w:r>
      <w:r w:rsidR="007F243B" w:rsidRPr="009D235E">
        <w:rPr>
          <w:lang w:val="en-GB"/>
        </w:rPr>
        <w:t>ed</w:t>
      </w:r>
      <w:r w:rsidR="005901AD" w:rsidRPr="009D235E">
        <w:rPr>
          <w:lang w:val="en-GB"/>
        </w:rPr>
        <w:t xml:space="preserve"> less false negatives (bottom left) than false positives (top right) for the </w:t>
      </w:r>
      <w:r w:rsidR="007F243B" w:rsidRPr="009D235E">
        <w:rPr>
          <w:lang w:val="en-GB"/>
        </w:rPr>
        <w:t>liquid oxygen formation</w:t>
      </w:r>
      <w:r w:rsidR="007F243B" w:rsidRPr="009D235E">
        <w:rPr>
          <w:lang w:val="en-GB"/>
        </w:rPr>
        <w:t xml:space="preserve"> </w:t>
      </w:r>
      <w:r w:rsidR="005901AD" w:rsidRPr="009D235E">
        <w:rPr>
          <w:lang w:val="en-GB"/>
        </w:rPr>
        <w:t xml:space="preserve">label, while the opposite occurred for the other two </w:t>
      </w:r>
      <w:r w:rsidR="007F243B" w:rsidRPr="009D235E">
        <w:rPr>
          <w:lang w:val="en-GB"/>
        </w:rPr>
        <w:t>one</w:t>
      </w:r>
      <w:r w:rsidR="005901AD" w:rsidRPr="009D235E">
        <w:rPr>
          <w:lang w:val="en-GB"/>
        </w:rPr>
        <w:t xml:space="preserve">s. </w:t>
      </w:r>
      <w:r w:rsidR="00161CF8" w:rsidRPr="009D235E">
        <w:rPr>
          <w:lang w:val="en-GB"/>
        </w:rPr>
        <w:t>Instead</w:t>
      </w:r>
      <w:r w:rsidR="005901AD" w:rsidRPr="009D235E">
        <w:rPr>
          <w:lang w:val="en-GB"/>
        </w:rPr>
        <w:t>, the number of true negatives (top left) is always higher than the true positives (bottom right).</w:t>
      </w:r>
    </w:p>
    <w:p w14:paraId="2EF75BF6" w14:textId="77777777" w:rsidR="00F02949" w:rsidRDefault="00F02949" w:rsidP="00CD5D32">
      <w:pPr>
        <w:pStyle w:val="CETBodytext"/>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3001"/>
        <w:gridCol w:w="3001"/>
      </w:tblGrid>
      <w:tr w:rsidR="006C76A1" w14:paraId="0615EC13" w14:textId="77777777" w:rsidTr="0084238B">
        <w:trPr>
          <w:trHeight w:val="2778"/>
        </w:trPr>
        <w:tc>
          <w:tcPr>
            <w:tcW w:w="2948" w:type="dxa"/>
            <w:vAlign w:val="center"/>
          </w:tcPr>
          <w:p w14:paraId="53A2BC4B" w14:textId="3855E2DF" w:rsidR="004C624A" w:rsidRDefault="006C76A1" w:rsidP="00F64DFE">
            <w:pPr>
              <w:pStyle w:val="CETCaption"/>
              <w:spacing w:before="0" w:after="0" w:line="240" w:lineRule="auto"/>
            </w:pPr>
            <w:r>
              <w:rPr>
                <w:noProof/>
              </w:rPr>
              <w:lastRenderedPageBreak/>
              <w:drawing>
                <wp:inline distT="0" distB="0" distL="0" distR="0" wp14:anchorId="51ED6106" wp14:editId="3F920496">
                  <wp:extent cx="1800000" cy="17417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000" cy="1741701"/>
                          </a:xfrm>
                          <a:prstGeom prst="rect">
                            <a:avLst/>
                          </a:prstGeom>
                          <a:noFill/>
                          <a:ln>
                            <a:noFill/>
                          </a:ln>
                        </pic:spPr>
                      </pic:pic>
                    </a:graphicData>
                  </a:graphic>
                </wp:inline>
              </w:drawing>
            </w:r>
          </w:p>
        </w:tc>
        <w:tc>
          <w:tcPr>
            <w:tcW w:w="3001" w:type="dxa"/>
            <w:vAlign w:val="center"/>
          </w:tcPr>
          <w:p w14:paraId="251E694E" w14:textId="2D222B0F" w:rsidR="004C624A" w:rsidRDefault="003B627B" w:rsidP="00F64DFE">
            <w:pPr>
              <w:pStyle w:val="CETCaption"/>
              <w:spacing w:before="0" w:after="0" w:line="240" w:lineRule="auto"/>
            </w:pPr>
            <w:r>
              <w:rPr>
                <w:noProof/>
              </w:rPr>
              <w:drawing>
                <wp:inline distT="0" distB="0" distL="0" distR="0" wp14:anchorId="3F1C8EEB" wp14:editId="6C415C07">
                  <wp:extent cx="1800000" cy="175591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000" cy="1755918"/>
                          </a:xfrm>
                          <a:prstGeom prst="rect">
                            <a:avLst/>
                          </a:prstGeom>
                          <a:noFill/>
                          <a:ln>
                            <a:noFill/>
                          </a:ln>
                        </pic:spPr>
                      </pic:pic>
                    </a:graphicData>
                  </a:graphic>
                </wp:inline>
              </w:drawing>
            </w:r>
          </w:p>
        </w:tc>
        <w:tc>
          <w:tcPr>
            <w:tcW w:w="3001" w:type="dxa"/>
            <w:vAlign w:val="center"/>
          </w:tcPr>
          <w:p w14:paraId="1ABAA9EF" w14:textId="633C4A67" w:rsidR="004C624A" w:rsidRDefault="003B627B" w:rsidP="00F64DFE">
            <w:pPr>
              <w:pStyle w:val="CETCaption"/>
              <w:spacing w:before="0" w:after="0" w:line="240" w:lineRule="auto"/>
            </w:pPr>
            <w:r>
              <w:rPr>
                <w:noProof/>
              </w:rPr>
              <w:drawing>
                <wp:inline distT="0" distB="0" distL="0" distR="0" wp14:anchorId="63760F3C" wp14:editId="1CA94BA3">
                  <wp:extent cx="1800000" cy="1749194"/>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000" cy="1749194"/>
                          </a:xfrm>
                          <a:prstGeom prst="rect">
                            <a:avLst/>
                          </a:prstGeom>
                          <a:noFill/>
                          <a:ln>
                            <a:noFill/>
                          </a:ln>
                        </pic:spPr>
                      </pic:pic>
                    </a:graphicData>
                  </a:graphic>
                </wp:inline>
              </w:drawing>
            </w:r>
          </w:p>
        </w:tc>
      </w:tr>
      <w:tr w:rsidR="006C76A1" w14:paraId="6674E236" w14:textId="77777777" w:rsidTr="0084238B">
        <w:trPr>
          <w:trHeight w:val="227"/>
        </w:trPr>
        <w:tc>
          <w:tcPr>
            <w:tcW w:w="2948" w:type="dxa"/>
          </w:tcPr>
          <w:p w14:paraId="120E5BDD" w14:textId="0463AA08" w:rsidR="004C624A" w:rsidRPr="00FA5AF1" w:rsidRDefault="00FA5AF1" w:rsidP="00FA5AF1">
            <w:pPr>
              <w:pStyle w:val="CETCaption"/>
              <w:spacing w:before="0" w:after="0" w:line="240" w:lineRule="auto"/>
              <w:jc w:val="center"/>
              <w:rPr>
                <w:i w:val="0"/>
                <w:iCs/>
              </w:rPr>
            </w:pPr>
            <w:r w:rsidRPr="00FA5AF1">
              <w:rPr>
                <w:i w:val="0"/>
                <w:iCs/>
              </w:rPr>
              <w:t>(a)</w:t>
            </w:r>
          </w:p>
        </w:tc>
        <w:tc>
          <w:tcPr>
            <w:tcW w:w="3001" w:type="dxa"/>
          </w:tcPr>
          <w:p w14:paraId="4BE6E149" w14:textId="2EE15299" w:rsidR="004C624A" w:rsidRPr="00FA5AF1" w:rsidRDefault="00FA5AF1" w:rsidP="00FA5AF1">
            <w:pPr>
              <w:pStyle w:val="CETCaption"/>
              <w:spacing w:before="0" w:after="0" w:line="240" w:lineRule="auto"/>
              <w:jc w:val="center"/>
              <w:rPr>
                <w:i w:val="0"/>
                <w:iCs/>
              </w:rPr>
            </w:pPr>
            <w:r w:rsidRPr="00FA5AF1">
              <w:rPr>
                <w:i w:val="0"/>
                <w:iCs/>
              </w:rPr>
              <w:t>(b)</w:t>
            </w:r>
          </w:p>
        </w:tc>
        <w:tc>
          <w:tcPr>
            <w:tcW w:w="3001" w:type="dxa"/>
          </w:tcPr>
          <w:p w14:paraId="735D899B" w14:textId="2B00E2F5" w:rsidR="004C624A" w:rsidRPr="00FA5AF1" w:rsidRDefault="00FA5AF1" w:rsidP="00FA5AF1">
            <w:pPr>
              <w:pStyle w:val="CETCaption"/>
              <w:spacing w:before="0" w:after="0" w:line="240" w:lineRule="auto"/>
              <w:jc w:val="center"/>
              <w:rPr>
                <w:i w:val="0"/>
                <w:iCs/>
              </w:rPr>
            </w:pPr>
            <w:r w:rsidRPr="00FA5AF1">
              <w:rPr>
                <w:i w:val="0"/>
                <w:iCs/>
              </w:rPr>
              <w:t>(c)</w:t>
            </w:r>
          </w:p>
        </w:tc>
      </w:tr>
    </w:tbl>
    <w:p w14:paraId="561877D9" w14:textId="48A63DE2" w:rsidR="00DA5D53" w:rsidRPr="00854F71" w:rsidRDefault="00DA5D53" w:rsidP="006A4A56">
      <w:pPr>
        <w:pStyle w:val="CETCaption"/>
      </w:pPr>
      <w:r w:rsidRPr="00854F71">
        <w:rPr>
          <w:rStyle w:val="CETCaptionCarattere"/>
          <w:i/>
        </w:rPr>
        <w:t xml:space="preserve">Figure 1: </w:t>
      </w:r>
      <w:r w:rsidR="006A4A56" w:rsidRPr="006A4A56">
        <w:rPr>
          <w:rStyle w:val="CETCaptionCarattere"/>
          <w:i/>
        </w:rPr>
        <w:t xml:space="preserve">Confusion matrices obtained </w:t>
      </w:r>
      <w:r w:rsidR="006D6A66">
        <w:rPr>
          <w:rStyle w:val="CETCaptionCarattere"/>
          <w:i/>
        </w:rPr>
        <w:t xml:space="preserve">by the linear model </w:t>
      </w:r>
      <w:r w:rsidR="006A4A56" w:rsidRPr="006A4A56">
        <w:rPr>
          <w:rStyle w:val="CETCaptionCarattere"/>
          <w:i/>
        </w:rPr>
        <w:t>for the label</w:t>
      </w:r>
      <w:r w:rsidR="006D6A66">
        <w:rPr>
          <w:rStyle w:val="CETCaptionCarattere"/>
          <w:i/>
        </w:rPr>
        <w:t>s</w:t>
      </w:r>
      <w:r w:rsidR="006A4A56" w:rsidRPr="006A4A56">
        <w:rPr>
          <w:rStyle w:val="CETCaptionCarattere"/>
          <w:i/>
        </w:rPr>
        <w:t xml:space="preserve"> </w:t>
      </w:r>
      <w:r w:rsidR="006D6A66">
        <w:rPr>
          <w:rStyle w:val="CETCaptionCarattere"/>
          <w:i/>
        </w:rPr>
        <w:t xml:space="preserve">(a) </w:t>
      </w:r>
      <w:r w:rsidR="006A4A56" w:rsidRPr="006A4A56">
        <w:rPr>
          <w:rStyle w:val="CETCaptionCarattere"/>
          <w:i/>
        </w:rPr>
        <w:t>liquid oxygen</w:t>
      </w:r>
      <w:r w:rsidR="006D6A66">
        <w:rPr>
          <w:rStyle w:val="CETCaptionCarattere"/>
          <w:i/>
        </w:rPr>
        <w:t>, (b) solid oxygen and (c)</w:t>
      </w:r>
      <w:r w:rsidR="006A4A56" w:rsidRPr="006A4A56">
        <w:rPr>
          <w:rStyle w:val="CETCaptionCarattere"/>
          <w:i/>
        </w:rPr>
        <w:t xml:space="preserve"> </w:t>
      </w:r>
      <w:r w:rsidR="006D6A66">
        <w:rPr>
          <w:rStyle w:val="CETCaptionCarattere"/>
          <w:i/>
        </w:rPr>
        <w:t>hydrogen concentration &gt; LFL</w:t>
      </w:r>
      <w:r w:rsidR="00A775A4">
        <w:rPr>
          <w:rStyle w:val="CETCaptionCarattere"/>
          <w:i/>
        </w:rPr>
        <w:t xml:space="preserve"> (</w:t>
      </w:r>
      <w:r w:rsidR="00C5190E">
        <w:rPr>
          <w:rStyle w:val="CETCaptionCarattere"/>
          <w:i/>
        </w:rPr>
        <w:t xml:space="preserve">abbreviations: TN: true negative, FP: false positive, FN: false negative, TP: true positive, LFL: </w:t>
      </w:r>
      <w:r w:rsidR="00A775A4">
        <w:rPr>
          <w:rStyle w:val="CETCaptionCarattere"/>
          <w:i/>
        </w:rPr>
        <w:t>lower flammability limit)</w:t>
      </w:r>
    </w:p>
    <w:p w14:paraId="6DEDACA8" w14:textId="3A3EDFBC" w:rsidR="000C028A" w:rsidRDefault="000C028A" w:rsidP="00CD5D32">
      <w:pPr>
        <w:pStyle w:val="CETBodytext"/>
      </w:pPr>
      <w:r w:rsidRPr="007E4515">
        <w:t>The precision-recall curves obtained varying the threshold between 0 and 1 associated to the linear model</w:t>
      </w:r>
      <w:r w:rsidR="00B80495" w:rsidRPr="007E4515">
        <w:t xml:space="preserve"> for the three different labels</w:t>
      </w:r>
      <w:r w:rsidRPr="007E4515">
        <w:t xml:space="preserve"> are reported </w:t>
      </w:r>
      <w:r w:rsidR="00B80495" w:rsidRPr="007E4515">
        <w:t>in Figure 2</w:t>
      </w:r>
      <w:r w:rsidRPr="00AD2C44">
        <w:t>.</w:t>
      </w:r>
      <w:r w:rsidR="00457242" w:rsidRPr="00AD2C44">
        <w:t xml:space="preserve"> </w:t>
      </w:r>
      <w:r w:rsidR="00B5176D" w:rsidRPr="00AD2C44">
        <w:t>T</w:t>
      </w:r>
      <w:r w:rsidR="000769F0" w:rsidRPr="00AD2C44">
        <w:t>he curve</w:t>
      </w:r>
      <w:r w:rsidR="000F3022" w:rsidRPr="00AD2C44">
        <w:t xml:space="preserve"> in Fig</w:t>
      </w:r>
      <w:r w:rsidR="008C118B" w:rsidRPr="00AD2C44">
        <w:t xml:space="preserve">ure 2a </w:t>
      </w:r>
      <w:r w:rsidR="00FA7751" w:rsidRPr="00AD2C44">
        <w:t>(liquid oxygen formation</w:t>
      </w:r>
      <w:r w:rsidR="008C118B" w:rsidRPr="00AD2C44">
        <w:t xml:space="preserve"> label</w:t>
      </w:r>
      <w:r w:rsidR="00FA7751" w:rsidRPr="00AD2C44">
        <w:t>)</w:t>
      </w:r>
      <w:r w:rsidR="008C118B" w:rsidRPr="00AD2C44">
        <w:t xml:space="preserve"> </w:t>
      </w:r>
      <w:r w:rsidR="008C118B" w:rsidRPr="00AD2C44">
        <w:t>exhibits</w:t>
      </w:r>
      <w:r w:rsidR="00FA7751" w:rsidRPr="00AD2C44">
        <w:t xml:space="preserve"> </w:t>
      </w:r>
      <w:r w:rsidR="008C118B" w:rsidRPr="00AD2C44">
        <w:t xml:space="preserve">a </w:t>
      </w:r>
      <w:r w:rsidR="00CF66C4" w:rsidRPr="00AD2C44">
        <w:t>high</w:t>
      </w:r>
      <w:r w:rsidR="008C118B" w:rsidRPr="00AD2C44">
        <w:t>er</w:t>
      </w:r>
      <w:r w:rsidR="00CF66C4" w:rsidRPr="00AD2C44">
        <w:t xml:space="preserve"> precision</w:t>
      </w:r>
      <w:r w:rsidR="00FA7751" w:rsidRPr="00AD2C44">
        <w:t xml:space="preserve"> </w:t>
      </w:r>
      <w:r w:rsidR="00CF66C4" w:rsidRPr="00AD2C44">
        <w:t xml:space="preserve">and recall </w:t>
      </w:r>
      <w:r w:rsidR="000769F0" w:rsidRPr="00AD2C44">
        <w:t xml:space="preserve">compared to the other two </w:t>
      </w:r>
      <w:r w:rsidR="008C118B" w:rsidRPr="00AD2C44">
        <w:t>curve</w:t>
      </w:r>
      <w:r w:rsidR="000769F0" w:rsidRPr="00AD2C44">
        <w:t>s</w:t>
      </w:r>
      <w:r w:rsidR="008C118B" w:rsidRPr="00AD2C44">
        <w:t xml:space="preserve"> of Figure 2b</w:t>
      </w:r>
      <w:r w:rsidR="00A238D2" w:rsidRPr="00AD2C44">
        <w:t xml:space="preserve"> and 2c</w:t>
      </w:r>
      <w:r w:rsidR="000769F0" w:rsidRPr="00AD2C44">
        <w:t xml:space="preserve">. </w:t>
      </w:r>
      <w:r w:rsidR="00EA49FF" w:rsidRPr="00AD2C44">
        <w:t xml:space="preserve">This is </w:t>
      </w:r>
      <w:r w:rsidR="00A238D2" w:rsidRPr="00AD2C44">
        <w:t>demonstrated</w:t>
      </w:r>
      <w:r w:rsidR="00B4199C" w:rsidRPr="00AD2C44">
        <w:t xml:space="preserve"> by the </w:t>
      </w:r>
      <w:proofErr w:type="spellStart"/>
      <w:r w:rsidR="00BB78A7">
        <w:rPr>
          <w:lang w:val="en-GB"/>
        </w:rPr>
        <w:t>AUCpr</w:t>
      </w:r>
      <w:proofErr w:type="spellEnd"/>
      <w:r w:rsidR="00BB78A7">
        <w:rPr>
          <w:lang w:val="en-GB"/>
        </w:rPr>
        <w:t xml:space="preserve"> </w:t>
      </w:r>
      <w:r w:rsidR="00A238D2" w:rsidRPr="00AD2C44">
        <w:t>values</w:t>
      </w:r>
      <w:r w:rsidR="00B4199C" w:rsidRPr="00AD2C44">
        <w:t xml:space="preserve"> </w:t>
      </w:r>
      <w:r w:rsidR="00A238D2" w:rsidRPr="00AD2C44">
        <w:t xml:space="preserve">collected in </w:t>
      </w:r>
      <w:r w:rsidR="00B4199C" w:rsidRPr="00AD2C44">
        <w:t>Table 1.</w:t>
      </w:r>
      <w:r w:rsidR="00B4199C">
        <w:t xml:space="preserve"> </w:t>
      </w:r>
      <w:r w:rsidR="00B4199C" w:rsidRPr="00721C09">
        <w:t xml:space="preserve"> </w:t>
      </w:r>
    </w:p>
    <w:p w14:paraId="3B2977ED" w14:textId="77777777" w:rsidR="000C028A" w:rsidRDefault="000C028A" w:rsidP="00CD5D32">
      <w:pPr>
        <w:pStyle w:val="CETBodytext"/>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476"/>
      </w:tblGrid>
      <w:tr w:rsidR="00960929" w14:paraId="228E44F8" w14:textId="77777777" w:rsidTr="00960929">
        <w:trPr>
          <w:trHeight w:val="2778"/>
        </w:trPr>
        <w:tc>
          <w:tcPr>
            <w:tcW w:w="4476" w:type="dxa"/>
            <w:vAlign w:val="center"/>
          </w:tcPr>
          <w:p w14:paraId="089E0FD9" w14:textId="2B180A6A" w:rsidR="00960929" w:rsidRDefault="00960929" w:rsidP="00632F26">
            <w:pPr>
              <w:pStyle w:val="CETCaption"/>
              <w:spacing w:before="0" w:after="0" w:line="240" w:lineRule="auto"/>
            </w:pPr>
            <w:r w:rsidRPr="007A1C9A">
              <w:rPr>
                <w:noProof/>
              </w:rPr>
              <w:drawing>
                <wp:inline distT="0" distB="0" distL="0" distR="0" wp14:anchorId="54545CFF" wp14:editId="0AEC9772">
                  <wp:extent cx="2700000" cy="1802410"/>
                  <wp:effectExtent l="0" t="0" r="5715" b="7620"/>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0000" cy="1802410"/>
                          </a:xfrm>
                          <a:prstGeom prst="rect">
                            <a:avLst/>
                          </a:prstGeom>
                          <a:noFill/>
                          <a:ln>
                            <a:noFill/>
                          </a:ln>
                        </pic:spPr>
                      </pic:pic>
                    </a:graphicData>
                  </a:graphic>
                </wp:inline>
              </w:drawing>
            </w:r>
          </w:p>
        </w:tc>
        <w:tc>
          <w:tcPr>
            <w:tcW w:w="4476" w:type="dxa"/>
            <w:vAlign w:val="center"/>
          </w:tcPr>
          <w:p w14:paraId="32D2AE02" w14:textId="55A82717" w:rsidR="00960929" w:rsidRDefault="00960929" w:rsidP="00632F26">
            <w:pPr>
              <w:pStyle w:val="CETCaption"/>
              <w:spacing w:before="0" w:after="0" w:line="240" w:lineRule="auto"/>
            </w:pPr>
            <w:r w:rsidRPr="007A1C9A">
              <w:rPr>
                <w:noProof/>
              </w:rPr>
              <w:drawing>
                <wp:inline distT="0" distB="0" distL="0" distR="0" wp14:anchorId="2EF08F19" wp14:editId="3F915822">
                  <wp:extent cx="2700000" cy="1829709"/>
                  <wp:effectExtent l="0" t="0" r="5715" b="0"/>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0000" cy="1829709"/>
                          </a:xfrm>
                          <a:prstGeom prst="rect">
                            <a:avLst/>
                          </a:prstGeom>
                          <a:noFill/>
                          <a:ln>
                            <a:noFill/>
                          </a:ln>
                        </pic:spPr>
                      </pic:pic>
                    </a:graphicData>
                  </a:graphic>
                </wp:inline>
              </w:drawing>
            </w:r>
          </w:p>
        </w:tc>
      </w:tr>
      <w:tr w:rsidR="00960929" w14:paraId="108BF886" w14:textId="77777777" w:rsidTr="00960929">
        <w:trPr>
          <w:trHeight w:val="227"/>
        </w:trPr>
        <w:tc>
          <w:tcPr>
            <w:tcW w:w="4476" w:type="dxa"/>
          </w:tcPr>
          <w:p w14:paraId="46F89371" w14:textId="77777777" w:rsidR="00960929" w:rsidRPr="00FA5AF1" w:rsidRDefault="00960929" w:rsidP="00632F26">
            <w:pPr>
              <w:pStyle w:val="CETCaption"/>
              <w:spacing w:before="0" w:after="0" w:line="240" w:lineRule="auto"/>
              <w:jc w:val="center"/>
              <w:rPr>
                <w:i w:val="0"/>
                <w:iCs/>
              </w:rPr>
            </w:pPr>
            <w:r w:rsidRPr="00FA5AF1">
              <w:rPr>
                <w:i w:val="0"/>
                <w:iCs/>
              </w:rPr>
              <w:t>(a)</w:t>
            </w:r>
          </w:p>
        </w:tc>
        <w:tc>
          <w:tcPr>
            <w:tcW w:w="4476" w:type="dxa"/>
          </w:tcPr>
          <w:p w14:paraId="493D3C7A" w14:textId="77777777" w:rsidR="00960929" w:rsidRPr="00FA5AF1" w:rsidRDefault="00960929" w:rsidP="00632F26">
            <w:pPr>
              <w:pStyle w:val="CETCaption"/>
              <w:spacing w:before="0" w:after="0" w:line="240" w:lineRule="auto"/>
              <w:jc w:val="center"/>
              <w:rPr>
                <w:i w:val="0"/>
                <w:iCs/>
              </w:rPr>
            </w:pPr>
            <w:r w:rsidRPr="00FA5AF1">
              <w:rPr>
                <w:i w:val="0"/>
                <w:iCs/>
              </w:rPr>
              <w:t>(b)</w:t>
            </w:r>
          </w:p>
        </w:tc>
      </w:tr>
      <w:tr w:rsidR="00960929" w14:paraId="3FE68189" w14:textId="77777777" w:rsidTr="006E3C36">
        <w:trPr>
          <w:trHeight w:val="227"/>
        </w:trPr>
        <w:tc>
          <w:tcPr>
            <w:tcW w:w="8952" w:type="dxa"/>
            <w:gridSpan w:val="2"/>
          </w:tcPr>
          <w:p w14:paraId="39EA6571" w14:textId="1A8D9C7F" w:rsidR="00960929" w:rsidRPr="00FA5AF1" w:rsidRDefault="00960929" w:rsidP="00632F26">
            <w:pPr>
              <w:pStyle w:val="CETCaption"/>
              <w:spacing w:before="0" w:after="0" w:line="240" w:lineRule="auto"/>
              <w:jc w:val="center"/>
              <w:rPr>
                <w:i w:val="0"/>
                <w:iCs/>
              </w:rPr>
            </w:pPr>
            <w:r w:rsidRPr="007A1C9A">
              <w:rPr>
                <w:noProof/>
              </w:rPr>
              <w:drawing>
                <wp:inline distT="0" distB="0" distL="0" distR="0" wp14:anchorId="45B973C0" wp14:editId="6647DB7A">
                  <wp:extent cx="2700000" cy="1832717"/>
                  <wp:effectExtent l="0" t="0" r="5715" b="0"/>
                  <wp:docPr id="101" name="Immagin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0000" cy="1832717"/>
                          </a:xfrm>
                          <a:prstGeom prst="rect">
                            <a:avLst/>
                          </a:prstGeom>
                          <a:noFill/>
                          <a:ln>
                            <a:noFill/>
                          </a:ln>
                        </pic:spPr>
                      </pic:pic>
                    </a:graphicData>
                  </a:graphic>
                </wp:inline>
              </w:drawing>
            </w:r>
          </w:p>
        </w:tc>
      </w:tr>
      <w:tr w:rsidR="00960929" w14:paraId="441FFE31" w14:textId="77777777" w:rsidTr="004F71AD">
        <w:trPr>
          <w:trHeight w:val="227"/>
        </w:trPr>
        <w:tc>
          <w:tcPr>
            <w:tcW w:w="8952" w:type="dxa"/>
            <w:gridSpan w:val="2"/>
          </w:tcPr>
          <w:p w14:paraId="1802CB19" w14:textId="6BEA37A1" w:rsidR="00960929" w:rsidRPr="00FA5AF1" w:rsidRDefault="00960929" w:rsidP="00632F26">
            <w:pPr>
              <w:pStyle w:val="CETCaption"/>
              <w:spacing w:before="0" w:after="0" w:line="240" w:lineRule="auto"/>
              <w:jc w:val="center"/>
              <w:rPr>
                <w:i w:val="0"/>
                <w:iCs/>
              </w:rPr>
            </w:pPr>
            <w:r w:rsidRPr="00FA5AF1">
              <w:rPr>
                <w:i w:val="0"/>
                <w:iCs/>
              </w:rPr>
              <w:t>(c)</w:t>
            </w:r>
          </w:p>
        </w:tc>
      </w:tr>
    </w:tbl>
    <w:p w14:paraId="64C9ED1E" w14:textId="3515A224" w:rsidR="00D40326" w:rsidRPr="00854F71" w:rsidRDefault="00D40326" w:rsidP="00D40326">
      <w:pPr>
        <w:pStyle w:val="CETCaption"/>
      </w:pPr>
      <w:r w:rsidRPr="00854F71">
        <w:rPr>
          <w:rStyle w:val="CETCaptionCarattere"/>
          <w:i/>
        </w:rPr>
        <w:t xml:space="preserve">Figure </w:t>
      </w:r>
      <w:r w:rsidR="0042180D">
        <w:rPr>
          <w:rStyle w:val="CETCaptionCarattere"/>
          <w:i/>
        </w:rPr>
        <w:t>2</w:t>
      </w:r>
      <w:r w:rsidRPr="00854F71">
        <w:rPr>
          <w:rStyle w:val="CETCaptionCarattere"/>
          <w:i/>
        </w:rPr>
        <w:t xml:space="preserve">: </w:t>
      </w:r>
      <w:r w:rsidR="0042180D" w:rsidRPr="0042180D">
        <w:rPr>
          <w:rStyle w:val="CETCaptionCarattere"/>
          <w:i/>
        </w:rPr>
        <w:t>Precision-recall curve</w:t>
      </w:r>
      <w:r w:rsidR="0042180D">
        <w:rPr>
          <w:rStyle w:val="CETCaptionCarattere"/>
          <w:i/>
        </w:rPr>
        <w:t>s</w:t>
      </w:r>
      <w:r w:rsidR="0042180D" w:rsidRPr="0042180D">
        <w:rPr>
          <w:rStyle w:val="CETCaptionCarattere"/>
          <w:i/>
        </w:rPr>
        <w:t xml:space="preserve"> of the Linear Model </w:t>
      </w:r>
      <w:r w:rsidR="0042180D">
        <w:rPr>
          <w:rStyle w:val="CETCaptionCarattere"/>
          <w:i/>
        </w:rPr>
        <w:t xml:space="preserve">for the </w:t>
      </w:r>
      <w:r w:rsidR="0042180D" w:rsidRPr="0042180D">
        <w:rPr>
          <w:rStyle w:val="CETCaptionCarattere"/>
          <w:i/>
        </w:rPr>
        <w:t>label</w:t>
      </w:r>
      <w:r w:rsidR="0042180D">
        <w:rPr>
          <w:rStyle w:val="CETCaptionCarattere"/>
          <w:i/>
        </w:rPr>
        <w:t>s (a)</w:t>
      </w:r>
      <w:r w:rsidR="0042180D" w:rsidRPr="0042180D">
        <w:rPr>
          <w:rStyle w:val="CETCaptionCarattere"/>
          <w:i/>
        </w:rPr>
        <w:t xml:space="preserve"> liquid oxygen</w:t>
      </w:r>
      <w:r w:rsidR="00971CBF">
        <w:rPr>
          <w:rStyle w:val="CETCaptionCarattere"/>
          <w:i/>
        </w:rPr>
        <w:t>, (b) solid oxygen and (c) hydrogen concentration &gt; LFL</w:t>
      </w:r>
      <w:r w:rsidR="00A775A4">
        <w:rPr>
          <w:rStyle w:val="CETCaptionCarattere"/>
          <w:i/>
        </w:rPr>
        <w:t xml:space="preserve"> (lower flammability limit)</w:t>
      </w:r>
    </w:p>
    <w:p w14:paraId="643CCF00" w14:textId="1D9D0FEF" w:rsidR="00E76D5E" w:rsidRDefault="00EE35DB" w:rsidP="00CD5D32">
      <w:pPr>
        <w:pStyle w:val="CETBodytext"/>
        <w:rPr>
          <w:lang w:val="en-GB"/>
        </w:rPr>
      </w:pPr>
      <w:r>
        <w:rPr>
          <w:lang w:val="en-GB"/>
        </w:rPr>
        <w:t>The precision-recall curve</w:t>
      </w:r>
      <w:r w:rsidR="00917F0F">
        <w:rPr>
          <w:lang w:val="en-GB"/>
        </w:rPr>
        <w:t xml:space="preserve"> </w:t>
      </w:r>
      <w:r w:rsidRPr="00917F0F">
        <w:rPr>
          <w:lang w:val="en-GB"/>
        </w:rPr>
        <w:t xml:space="preserve">displayed in </w:t>
      </w:r>
      <w:r w:rsidR="00380F7F">
        <w:rPr>
          <w:lang w:val="en-GB"/>
        </w:rPr>
        <w:t xml:space="preserve">Figure 2 </w:t>
      </w:r>
      <w:r w:rsidR="00917F0F">
        <w:rPr>
          <w:lang w:val="en-GB"/>
        </w:rPr>
        <w:t>and</w:t>
      </w:r>
      <w:r w:rsidR="00917F0F" w:rsidRPr="00917F0F">
        <w:rPr>
          <w:lang w:val="en-GB"/>
        </w:rPr>
        <w:t xml:space="preserve"> the </w:t>
      </w:r>
      <w:r>
        <w:rPr>
          <w:lang w:val="en-GB"/>
        </w:rPr>
        <w:t xml:space="preserve">performance </w:t>
      </w:r>
      <w:r w:rsidR="00917F0F" w:rsidRPr="00917F0F">
        <w:rPr>
          <w:lang w:val="en-GB"/>
        </w:rPr>
        <w:t>metrics</w:t>
      </w:r>
      <w:r w:rsidR="00380F7F">
        <w:rPr>
          <w:lang w:val="en-GB"/>
        </w:rPr>
        <w:t xml:space="preserve"> collected in Table 1</w:t>
      </w:r>
      <w:r w:rsidR="00917F0F" w:rsidRPr="00917F0F">
        <w:rPr>
          <w:lang w:val="en-GB"/>
        </w:rPr>
        <w:t xml:space="preserve">, show that the </w:t>
      </w:r>
      <w:r w:rsidR="00380F7F">
        <w:rPr>
          <w:lang w:val="en-GB"/>
        </w:rPr>
        <w:t xml:space="preserve">linear </w:t>
      </w:r>
      <w:r w:rsidR="00917F0F" w:rsidRPr="00917F0F">
        <w:rPr>
          <w:lang w:val="en-GB"/>
        </w:rPr>
        <w:t xml:space="preserve">model cannot make accurate predictions </w:t>
      </w:r>
      <w:r w:rsidR="00380F7F">
        <w:rPr>
          <w:lang w:val="en-GB"/>
        </w:rPr>
        <w:t>on</w:t>
      </w:r>
      <w:r w:rsidR="00917F0F" w:rsidRPr="00917F0F">
        <w:rPr>
          <w:lang w:val="en-GB"/>
        </w:rPr>
        <w:t xml:space="preserve"> hydrogen concentration in air. The obtained metrics are characterised by high accuracy and low precision and recall. This behaviour is typical of imbalanced datasets</w:t>
      </w:r>
      <w:r w:rsidR="00380F7F">
        <w:rPr>
          <w:lang w:val="en-GB"/>
        </w:rPr>
        <w:t>.</w:t>
      </w:r>
      <w:r w:rsidR="002A48B8">
        <w:rPr>
          <w:lang w:val="en-GB"/>
        </w:rPr>
        <w:t xml:space="preserve"> </w:t>
      </w:r>
      <w:r w:rsidR="00145912">
        <w:rPr>
          <w:lang w:val="en-GB"/>
        </w:rPr>
        <w:t>B</w:t>
      </w:r>
      <w:r w:rsidR="004B485F" w:rsidRPr="00917F0F">
        <w:rPr>
          <w:lang w:val="en-GB"/>
        </w:rPr>
        <w:t>y analysing the initial database</w:t>
      </w:r>
      <w:r w:rsidR="00102B47">
        <w:rPr>
          <w:lang w:val="en-GB"/>
        </w:rPr>
        <w:t xml:space="preserve">, </w:t>
      </w:r>
      <w:r w:rsidR="00917F0F" w:rsidRPr="00917F0F">
        <w:rPr>
          <w:lang w:val="en-GB"/>
        </w:rPr>
        <w:t xml:space="preserve">the number of data associated to a positive label is much lower than the </w:t>
      </w:r>
      <w:r w:rsidR="00102B47">
        <w:rPr>
          <w:lang w:val="en-GB"/>
        </w:rPr>
        <w:t xml:space="preserve">one </w:t>
      </w:r>
      <w:r w:rsidR="004B485F">
        <w:rPr>
          <w:lang w:val="en-GB"/>
        </w:rPr>
        <w:lastRenderedPageBreak/>
        <w:t>to</w:t>
      </w:r>
      <w:r w:rsidR="00917F0F" w:rsidRPr="00917F0F">
        <w:rPr>
          <w:lang w:val="en-GB"/>
        </w:rPr>
        <w:t xml:space="preserve"> a negative label (only 1</w:t>
      </w:r>
      <w:r w:rsidR="004B485F">
        <w:rPr>
          <w:lang w:val="en-GB"/>
        </w:rPr>
        <w:t>.</w:t>
      </w:r>
      <w:r w:rsidR="00917F0F" w:rsidRPr="00917F0F">
        <w:rPr>
          <w:lang w:val="en-GB"/>
        </w:rPr>
        <w:t>25% of positive labels over the entire database). This results in poor performances.</w:t>
      </w:r>
      <w:r w:rsidR="00D77A7B">
        <w:rPr>
          <w:lang w:val="en-GB"/>
        </w:rPr>
        <w:t xml:space="preserve"> </w:t>
      </w:r>
      <w:proofErr w:type="gramStart"/>
      <w:r w:rsidR="002605BE" w:rsidRPr="002605BE">
        <w:rPr>
          <w:lang w:val="en-GB"/>
        </w:rPr>
        <w:t>In order to</w:t>
      </w:r>
      <w:proofErr w:type="gramEnd"/>
      <w:r w:rsidR="002605BE" w:rsidRPr="002605BE">
        <w:rPr>
          <w:lang w:val="en-GB"/>
        </w:rPr>
        <w:t xml:space="preserve"> improve the</w:t>
      </w:r>
      <w:r w:rsidR="00597434">
        <w:rPr>
          <w:lang w:val="en-GB"/>
        </w:rPr>
        <w:t>se</w:t>
      </w:r>
      <w:r w:rsidR="002605BE" w:rsidRPr="002605BE">
        <w:rPr>
          <w:lang w:val="en-GB"/>
        </w:rPr>
        <w:t xml:space="preserve"> results</w:t>
      </w:r>
      <w:r w:rsidR="00597434">
        <w:rPr>
          <w:lang w:val="en-GB"/>
        </w:rPr>
        <w:t>, t</w:t>
      </w:r>
      <w:r w:rsidR="002605BE" w:rsidRPr="002605BE">
        <w:rPr>
          <w:lang w:val="en-GB"/>
        </w:rPr>
        <w:t>he threshold</w:t>
      </w:r>
      <w:r w:rsidR="00597434">
        <w:rPr>
          <w:lang w:val="en-GB"/>
        </w:rPr>
        <w:t xml:space="preserve"> might be lowered</w:t>
      </w:r>
      <w:r w:rsidR="002605BE" w:rsidRPr="002605BE">
        <w:rPr>
          <w:lang w:val="en-GB"/>
        </w:rPr>
        <w:t xml:space="preserve"> </w:t>
      </w:r>
      <w:r w:rsidR="00597434">
        <w:rPr>
          <w:lang w:val="en-GB"/>
        </w:rPr>
        <w:t>to achieve a higher</w:t>
      </w:r>
      <w:r w:rsidR="002605BE" w:rsidRPr="002605BE">
        <w:rPr>
          <w:lang w:val="en-GB"/>
        </w:rPr>
        <w:t xml:space="preserve"> recall</w:t>
      </w:r>
      <w:r w:rsidR="005E4B99" w:rsidRPr="005E4B99">
        <w:rPr>
          <w:lang w:val="en-GB"/>
        </w:rPr>
        <w:t xml:space="preserve"> </w:t>
      </w:r>
      <w:r w:rsidR="005E4B99" w:rsidRPr="00D77A7B">
        <w:rPr>
          <w:lang w:val="en-GB"/>
        </w:rPr>
        <w:t>by minimising the number of false negatives</w:t>
      </w:r>
      <w:r w:rsidR="002605BE" w:rsidRPr="002605BE">
        <w:rPr>
          <w:lang w:val="en-GB"/>
        </w:rPr>
        <w:t xml:space="preserve">. </w:t>
      </w:r>
      <w:r w:rsidR="00A2301C" w:rsidRPr="00A2301C">
        <w:rPr>
          <w:lang w:val="en-GB"/>
        </w:rPr>
        <w:t>This is crucial in</w:t>
      </w:r>
      <w:r w:rsidR="00A2301C">
        <w:rPr>
          <w:lang w:val="en-GB"/>
        </w:rPr>
        <w:t xml:space="preserve"> this</w:t>
      </w:r>
      <w:r w:rsidR="00A2301C" w:rsidRPr="00A2301C">
        <w:rPr>
          <w:lang w:val="en-GB"/>
        </w:rPr>
        <w:t xml:space="preserve"> case where the hydrogen concentration </w:t>
      </w:r>
      <w:r w:rsidR="00234AAC">
        <w:rPr>
          <w:lang w:val="en-GB"/>
        </w:rPr>
        <w:t xml:space="preserve">is rarely </w:t>
      </w:r>
      <w:r w:rsidR="00A2301C" w:rsidRPr="00A2301C">
        <w:rPr>
          <w:lang w:val="en-GB"/>
        </w:rPr>
        <w:t>higher than the LFL</w:t>
      </w:r>
      <w:r w:rsidR="00234AAC">
        <w:rPr>
          <w:lang w:val="en-GB"/>
        </w:rPr>
        <w:t xml:space="preserve"> </w:t>
      </w:r>
      <w:r w:rsidR="00A2301C" w:rsidRPr="00A2301C">
        <w:rPr>
          <w:lang w:val="en-GB"/>
        </w:rPr>
        <w:t xml:space="preserve">but </w:t>
      </w:r>
      <w:r w:rsidR="00234AAC">
        <w:rPr>
          <w:lang w:val="en-GB"/>
        </w:rPr>
        <w:t>may lead</w:t>
      </w:r>
      <w:r w:rsidR="00A2301C" w:rsidRPr="00A2301C">
        <w:rPr>
          <w:lang w:val="en-GB"/>
        </w:rPr>
        <w:t xml:space="preserve"> </w:t>
      </w:r>
      <w:r w:rsidR="00C53746">
        <w:rPr>
          <w:lang w:val="en-GB"/>
        </w:rPr>
        <w:t xml:space="preserve">to </w:t>
      </w:r>
      <w:r w:rsidR="00A2301C" w:rsidRPr="00A2301C">
        <w:rPr>
          <w:lang w:val="en-GB"/>
        </w:rPr>
        <w:t>se</w:t>
      </w:r>
      <w:r w:rsidR="00C53746">
        <w:rPr>
          <w:lang w:val="en-GB"/>
        </w:rPr>
        <w:t>vere</w:t>
      </w:r>
      <w:r w:rsidR="00A2301C" w:rsidRPr="00A2301C">
        <w:rPr>
          <w:lang w:val="en-GB"/>
        </w:rPr>
        <w:t xml:space="preserve"> consequences.</w:t>
      </w:r>
      <w:r w:rsidR="008E7BED">
        <w:rPr>
          <w:lang w:val="en-GB"/>
        </w:rPr>
        <w:t xml:space="preserve"> </w:t>
      </w:r>
      <w:r w:rsidR="00E76D5E">
        <w:rPr>
          <w:lang w:val="en-GB"/>
        </w:rPr>
        <w:t xml:space="preserve">It can be concluded that </w:t>
      </w:r>
      <w:r w:rsidR="002F4BEB">
        <w:rPr>
          <w:lang w:val="en-GB"/>
        </w:rPr>
        <w:t xml:space="preserve">by training and evaluating the linear model with this database, the </w:t>
      </w:r>
      <w:r w:rsidR="00766C69">
        <w:rPr>
          <w:lang w:val="en-GB"/>
        </w:rPr>
        <w:t>condensation of air component (mainly oxygen) can be well predicted</w:t>
      </w:r>
      <w:r w:rsidR="00974466">
        <w:rPr>
          <w:lang w:val="en-GB"/>
        </w:rPr>
        <w:t xml:space="preserve">. </w:t>
      </w:r>
      <w:bookmarkStart w:id="1" w:name="_Hlk93066054"/>
      <w:r w:rsidR="00974466">
        <w:rPr>
          <w:lang w:val="en-GB"/>
        </w:rPr>
        <w:t>Therefore,</w:t>
      </w:r>
      <w:r w:rsidR="002F5030">
        <w:rPr>
          <w:lang w:val="en-GB"/>
        </w:rPr>
        <w:t xml:space="preserve"> the</w:t>
      </w:r>
      <w:r w:rsidR="00766C69">
        <w:rPr>
          <w:lang w:val="en-GB"/>
        </w:rPr>
        <w:t xml:space="preserve"> condensed phase explosion </w:t>
      </w:r>
      <w:r w:rsidR="002F5030">
        <w:rPr>
          <w:lang w:val="en-GB"/>
        </w:rPr>
        <w:t xml:space="preserve">phenomenon may be avoided </w:t>
      </w:r>
      <w:r w:rsidR="00974466">
        <w:rPr>
          <w:lang w:val="en-GB"/>
        </w:rPr>
        <w:t xml:space="preserve">or mitigated </w:t>
      </w:r>
      <w:r w:rsidR="002F5030">
        <w:rPr>
          <w:lang w:val="en-GB"/>
        </w:rPr>
        <w:t xml:space="preserve">by </w:t>
      </w:r>
      <w:r w:rsidR="00424717">
        <w:rPr>
          <w:lang w:val="en-GB"/>
        </w:rPr>
        <w:t xml:space="preserve">properly </w:t>
      </w:r>
      <w:r w:rsidR="002F5030">
        <w:rPr>
          <w:lang w:val="en-GB"/>
        </w:rPr>
        <w:t xml:space="preserve">designing </w:t>
      </w:r>
      <w:r w:rsidR="00424717">
        <w:rPr>
          <w:lang w:val="en-GB"/>
        </w:rPr>
        <w:t xml:space="preserve">the bank where the </w:t>
      </w:r>
      <w:r w:rsidR="003932A9">
        <w:rPr>
          <w:lang w:val="en-GB"/>
        </w:rPr>
        <w:t>bunkering operation is carried out and adopt the mitigation measures discussed in Sec. 2.1</w:t>
      </w:r>
      <w:bookmarkEnd w:id="1"/>
      <w:r w:rsidR="003932A9">
        <w:rPr>
          <w:lang w:val="en-GB"/>
        </w:rPr>
        <w:t>.</w:t>
      </w:r>
      <w:r w:rsidR="007C4894">
        <w:rPr>
          <w:lang w:val="en-GB"/>
        </w:rPr>
        <w:t xml:space="preserve"> On the other hand, the </w:t>
      </w:r>
      <w:r w:rsidR="00901EC9">
        <w:rPr>
          <w:lang w:val="en-GB"/>
        </w:rPr>
        <w:t xml:space="preserve">prediction of the </w:t>
      </w:r>
      <w:r w:rsidR="007C4894">
        <w:rPr>
          <w:lang w:val="en-GB"/>
        </w:rPr>
        <w:t xml:space="preserve">hydrogen concentration label was </w:t>
      </w:r>
      <w:r w:rsidR="00901EC9">
        <w:rPr>
          <w:lang w:val="en-GB"/>
        </w:rPr>
        <w:t xml:space="preserve">unreliable for the reasons previously discussed. </w:t>
      </w:r>
      <w:r w:rsidR="00C32CE6">
        <w:rPr>
          <w:lang w:val="en-GB"/>
        </w:rPr>
        <w:t>As future studies</w:t>
      </w:r>
      <w:r w:rsidR="00901EC9">
        <w:rPr>
          <w:lang w:val="en-GB"/>
        </w:rPr>
        <w:t xml:space="preserve">, it is suggested to either modify the </w:t>
      </w:r>
      <w:r w:rsidR="00EC18EF">
        <w:rPr>
          <w:lang w:val="en-GB"/>
        </w:rPr>
        <w:t xml:space="preserve">database according to the provided indications or employ different machine learning models such as the Deep and </w:t>
      </w:r>
      <w:proofErr w:type="spellStart"/>
      <w:r w:rsidR="00EC18EF">
        <w:rPr>
          <w:lang w:val="en-GB"/>
        </w:rPr>
        <w:t>Wide&amp;Deep</w:t>
      </w:r>
      <w:proofErr w:type="spellEnd"/>
      <w:r w:rsidR="00EC18EF">
        <w:rPr>
          <w:lang w:val="en-GB"/>
        </w:rPr>
        <w:t xml:space="preserve"> ones</w:t>
      </w:r>
      <w:r w:rsidR="00C32CE6">
        <w:rPr>
          <w:lang w:val="en-GB"/>
        </w:rPr>
        <w:t xml:space="preserve"> to </w:t>
      </w:r>
      <w:r w:rsidR="00D444E6">
        <w:rPr>
          <w:lang w:val="en-GB"/>
        </w:rPr>
        <w:t>compare their outcomes with the linear model adopted in this study.</w:t>
      </w:r>
    </w:p>
    <w:p w14:paraId="68D26B83" w14:textId="77777777" w:rsidR="00600535" w:rsidRPr="00854F71" w:rsidRDefault="00600535" w:rsidP="00600535">
      <w:pPr>
        <w:pStyle w:val="CETHeading1"/>
        <w:rPr>
          <w:lang w:val="en-GB"/>
        </w:rPr>
      </w:pPr>
      <w:r w:rsidRPr="00854F71">
        <w:rPr>
          <w:lang w:val="en-GB"/>
        </w:rPr>
        <w:t>Conclusions</w:t>
      </w:r>
    </w:p>
    <w:p w14:paraId="52DAFDE0" w14:textId="05A87D25" w:rsidR="001D0CFB" w:rsidRPr="00854F71" w:rsidRDefault="004B7A66" w:rsidP="00600535">
      <w:pPr>
        <w:pStyle w:val="CETBodytext"/>
        <w:rPr>
          <w:lang w:val="en-GB"/>
        </w:rPr>
      </w:pPr>
      <w:r>
        <w:rPr>
          <w:lang w:val="en-GB"/>
        </w:rPr>
        <w:t xml:space="preserve">The main </w:t>
      </w:r>
      <w:r w:rsidR="000E5492">
        <w:rPr>
          <w:lang w:val="en-GB"/>
        </w:rPr>
        <w:t>LH</w:t>
      </w:r>
      <w:r w:rsidR="000E5492" w:rsidRPr="000E5492">
        <w:rPr>
          <w:vertAlign w:val="subscript"/>
          <w:lang w:val="en-GB"/>
        </w:rPr>
        <w:t>2</w:t>
      </w:r>
      <w:r w:rsidR="000E5492">
        <w:rPr>
          <w:lang w:val="en-GB"/>
        </w:rPr>
        <w:t xml:space="preserve"> release consequences</w:t>
      </w:r>
      <w:r>
        <w:rPr>
          <w:lang w:val="en-GB"/>
        </w:rPr>
        <w:t xml:space="preserve"> were highlighted and described in this study. Furthermore, </w:t>
      </w:r>
      <w:r w:rsidR="00C4407A">
        <w:rPr>
          <w:lang w:val="en-GB"/>
        </w:rPr>
        <w:t>an</w:t>
      </w:r>
      <w:r w:rsidR="00C4407A" w:rsidRPr="00C4407A">
        <w:t xml:space="preserve"> </w:t>
      </w:r>
      <w:r w:rsidR="00C4407A" w:rsidRPr="00C4407A">
        <w:rPr>
          <w:lang w:val="en-GB"/>
        </w:rPr>
        <w:t>advanced machine learning approach</w:t>
      </w:r>
      <w:r w:rsidR="00C4407A">
        <w:rPr>
          <w:lang w:val="en-GB"/>
        </w:rPr>
        <w:t xml:space="preserve"> was </w:t>
      </w:r>
      <w:r w:rsidR="00DC4C61">
        <w:rPr>
          <w:lang w:val="en-GB"/>
        </w:rPr>
        <w:t>adopted to analyse</w:t>
      </w:r>
      <w:r w:rsidR="001832DE">
        <w:rPr>
          <w:lang w:val="en-GB"/>
        </w:rPr>
        <w:t xml:space="preserve"> the</w:t>
      </w:r>
      <w:r w:rsidR="00C4407A">
        <w:rPr>
          <w:lang w:val="en-GB"/>
        </w:rPr>
        <w:t xml:space="preserve"> </w:t>
      </w:r>
      <w:r w:rsidR="00DC4C61" w:rsidRPr="00DC4C61">
        <w:rPr>
          <w:lang w:val="en-GB"/>
        </w:rPr>
        <w:t>experimental data of an LH</w:t>
      </w:r>
      <w:r w:rsidR="00DC4C61" w:rsidRPr="00DC4C61">
        <w:rPr>
          <w:vertAlign w:val="subscript"/>
          <w:lang w:val="en-GB"/>
        </w:rPr>
        <w:t>2</w:t>
      </w:r>
      <w:r w:rsidR="00DC4C61" w:rsidRPr="00DC4C61">
        <w:rPr>
          <w:lang w:val="en-GB"/>
        </w:rPr>
        <w:t xml:space="preserve"> release test series recently carried out</w:t>
      </w:r>
      <w:r w:rsidR="001832DE">
        <w:rPr>
          <w:lang w:val="en-GB"/>
        </w:rPr>
        <w:t xml:space="preserve">. </w:t>
      </w:r>
      <w:proofErr w:type="gramStart"/>
      <w:r w:rsidR="001832DE">
        <w:rPr>
          <w:lang w:val="en-GB"/>
        </w:rPr>
        <w:t>In particular, a</w:t>
      </w:r>
      <w:proofErr w:type="gramEnd"/>
      <w:r w:rsidR="001832DE">
        <w:rPr>
          <w:lang w:val="en-GB"/>
        </w:rPr>
        <w:t xml:space="preserve"> model had been developed to predict the </w:t>
      </w:r>
      <w:r w:rsidR="00B75C93">
        <w:rPr>
          <w:lang w:val="en-GB"/>
        </w:rPr>
        <w:t>consequences of an LH</w:t>
      </w:r>
      <w:r w:rsidR="00B75C93" w:rsidRPr="00B75C93">
        <w:rPr>
          <w:vertAlign w:val="subscript"/>
          <w:lang w:val="en-GB"/>
        </w:rPr>
        <w:t>2</w:t>
      </w:r>
      <w:r w:rsidR="00B75C93">
        <w:rPr>
          <w:lang w:val="en-GB"/>
        </w:rPr>
        <w:t xml:space="preserve"> release.</w:t>
      </w:r>
      <w:r w:rsidR="00281311">
        <w:rPr>
          <w:lang w:val="en-GB"/>
        </w:rPr>
        <w:t xml:space="preserve"> The model </w:t>
      </w:r>
      <w:proofErr w:type="gramStart"/>
      <w:r w:rsidR="0044082D">
        <w:rPr>
          <w:lang w:val="en-GB"/>
        </w:rPr>
        <w:t>i</w:t>
      </w:r>
      <w:r w:rsidR="00281311">
        <w:rPr>
          <w:lang w:val="en-GB"/>
        </w:rPr>
        <w:t xml:space="preserve">s </w:t>
      </w:r>
      <w:r w:rsidR="00DD0A53">
        <w:rPr>
          <w:lang w:val="en-GB"/>
        </w:rPr>
        <w:t>able to</w:t>
      </w:r>
      <w:proofErr w:type="gramEnd"/>
      <w:r w:rsidR="00DD0A53">
        <w:rPr>
          <w:lang w:val="en-GB"/>
        </w:rPr>
        <w:t xml:space="preserve"> predict the condensation of air component, thus </w:t>
      </w:r>
      <w:r w:rsidR="00230A8C">
        <w:rPr>
          <w:lang w:val="en-GB"/>
        </w:rPr>
        <w:t xml:space="preserve">it can be exploited to avoid condensed phase explosions. On the other hand, the </w:t>
      </w:r>
      <w:r w:rsidR="004D40C4">
        <w:rPr>
          <w:lang w:val="en-GB"/>
        </w:rPr>
        <w:t xml:space="preserve">model is not reliable </w:t>
      </w:r>
      <w:r w:rsidR="00D85D2F">
        <w:rPr>
          <w:lang w:val="en-GB"/>
        </w:rPr>
        <w:t xml:space="preserve">in </w:t>
      </w:r>
      <w:r w:rsidR="0006725D">
        <w:rPr>
          <w:lang w:val="en-GB"/>
        </w:rPr>
        <w:t>foreseeing</w:t>
      </w:r>
      <w:r w:rsidR="004D40C4">
        <w:rPr>
          <w:lang w:val="en-GB"/>
        </w:rPr>
        <w:t xml:space="preserve"> </w:t>
      </w:r>
      <w:r w:rsidR="00843A21">
        <w:rPr>
          <w:lang w:val="en-GB"/>
        </w:rPr>
        <w:t>the formation of flammable hydrogen-air clouds</w:t>
      </w:r>
      <w:r w:rsidR="0006725D">
        <w:rPr>
          <w:lang w:val="en-GB"/>
        </w:rPr>
        <w:t xml:space="preserve"> during the outdoor leakage. Future studies such as </w:t>
      </w:r>
      <w:r w:rsidR="00AF50D7">
        <w:rPr>
          <w:lang w:val="en-GB"/>
        </w:rPr>
        <w:t xml:space="preserve">the adoption of different machine learning algorithms were </w:t>
      </w:r>
      <w:r w:rsidR="00EE5DB8">
        <w:rPr>
          <w:lang w:val="en-GB"/>
        </w:rPr>
        <w:t>proposed.</w:t>
      </w:r>
      <w:r w:rsidR="0006725D">
        <w:rPr>
          <w:lang w:val="en-GB"/>
        </w:rPr>
        <w:t xml:space="preserve"> </w:t>
      </w:r>
    </w:p>
    <w:p w14:paraId="4F1327F8" w14:textId="77777777" w:rsidR="00600535" w:rsidRPr="00854F71" w:rsidRDefault="00600535" w:rsidP="00600535">
      <w:pPr>
        <w:pStyle w:val="CETReference"/>
      </w:pPr>
      <w:r w:rsidRPr="00854F71">
        <w:t>References</w:t>
      </w:r>
    </w:p>
    <w:p w14:paraId="03507984" w14:textId="19574443" w:rsidR="00600535" w:rsidRDefault="00652097" w:rsidP="00914AFD">
      <w:pPr>
        <w:pStyle w:val="CETReferencetext"/>
      </w:pPr>
      <w:proofErr w:type="spellStart"/>
      <w:r w:rsidRPr="00914AFD">
        <w:t>Aaneby</w:t>
      </w:r>
      <w:proofErr w:type="spellEnd"/>
      <w:r w:rsidRPr="00914AFD">
        <w:t xml:space="preserve"> J., Gjesdal T., Voie Ø., 2021, Large scale leakage of liquid hydrogen (LH2) - tests related to bunkering and maritime use of liquid hydrogen - FFI-RAPPORT 20/03101</w:t>
      </w:r>
      <w:r w:rsidR="00154296" w:rsidRPr="00914AFD">
        <w:t>.</w:t>
      </w:r>
    </w:p>
    <w:p w14:paraId="43E28B71" w14:textId="775DB0E1" w:rsidR="0011249D" w:rsidRPr="00914AFD" w:rsidRDefault="0011249D" w:rsidP="0011249D">
      <w:pPr>
        <w:pStyle w:val="CETReferencetext"/>
      </w:pPr>
      <w:r>
        <w:t xml:space="preserve">Atkinson G., 2021, </w:t>
      </w:r>
      <w:r w:rsidR="00F21CEC">
        <w:t>Condensed phase explosions involving liquid hydrogen, in: 9</w:t>
      </w:r>
      <w:r w:rsidR="00F21CEC" w:rsidRPr="00F21CEC">
        <w:rPr>
          <w:vertAlign w:val="superscript"/>
        </w:rPr>
        <w:t>th</w:t>
      </w:r>
      <w:r w:rsidR="00F21CEC">
        <w:t xml:space="preserve"> </w:t>
      </w:r>
      <w:r w:rsidR="008E7BED">
        <w:t xml:space="preserve">International </w:t>
      </w:r>
      <w:r w:rsidR="00F21CEC">
        <w:t>Conference</w:t>
      </w:r>
      <w:r w:rsidR="008E7BED">
        <w:t xml:space="preserve"> on Hydrogen Safety</w:t>
      </w:r>
      <w:r w:rsidR="008E7BED" w:rsidRPr="008E7BED">
        <w:t xml:space="preserve"> </w:t>
      </w:r>
      <w:r w:rsidR="008E7BED">
        <w:t>(ICHS)</w:t>
      </w:r>
    </w:p>
    <w:p w14:paraId="5830F224" w14:textId="1553FC5B" w:rsidR="00D94179" w:rsidRPr="00914AFD" w:rsidRDefault="00D94179" w:rsidP="00914AFD">
      <w:pPr>
        <w:pStyle w:val="CETReferencetext"/>
      </w:pPr>
      <w:proofErr w:type="spellStart"/>
      <w:r w:rsidRPr="00914AFD">
        <w:t>Chinchor</w:t>
      </w:r>
      <w:proofErr w:type="spellEnd"/>
      <w:r w:rsidRPr="00914AFD">
        <w:t xml:space="preserve"> N., 1992. MUC-4 EVALUATION METRICS, in: Proceedings of the 4th Conference on Message Understanding. pp. 22–29.</w:t>
      </w:r>
    </w:p>
    <w:p w14:paraId="5204FB43" w14:textId="6F1CC872" w:rsidR="004B3D4A" w:rsidRPr="00914AFD" w:rsidRDefault="004B3D4A" w:rsidP="00914AFD">
      <w:pPr>
        <w:pStyle w:val="CETReferencetext"/>
      </w:pPr>
      <w:r w:rsidRPr="00914AFD">
        <w:t>Google Developers, 2022, Machine Learning Crash Course</w:t>
      </w:r>
      <w:r w:rsidR="00956D05" w:rsidRPr="00914AFD">
        <w:t>, Classification</w:t>
      </w:r>
      <w:r w:rsidRPr="00914AFD">
        <w:t xml:space="preserve"> &lt;developers.google.com/machine-learning/crash-course/classification/&gt; accessed 11.01.2022.</w:t>
      </w:r>
    </w:p>
    <w:p w14:paraId="6CBB2129" w14:textId="4A38EF5F" w:rsidR="00054859" w:rsidRPr="00F51500" w:rsidRDefault="00B4728C" w:rsidP="00914AFD">
      <w:pPr>
        <w:pStyle w:val="CETReferencetext"/>
      </w:pPr>
      <w:proofErr w:type="spellStart"/>
      <w:r w:rsidRPr="00F51500">
        <w:t>HydrogenTools</w:t>
      </w:r>
      <w:proofErr w:type="spellEnd"/>
      <w:r w:rsidRPr="00F51500">
        <w:t xml:space="preserve">, </w:t>
      </w:r>
      <w:r w:rsidR="00970E05" w:rsidRPr="00F51500">
        <w:t>2022,</w:t>
      </w:r>
      <w:r w:rsidR="00F51500" w:rsidRPr="00F51500">
        <w:t xml:space="preserve"> Hydrogen Leak</w:t>
      </w:r>
      <w:r w:rsidR="00F51500">
        <w:t xml:space="preserve"> Detection</w:t>
      </w:r>
      <w:r w:rsidR="00970E05" w:rsidRPr="00F51500">
        <w:t xml:space="preserve"> &lt;h2tools.org/hydrogen-leak-detection&gt; accessed 12.01.2022</w:t>
      </w:r>
      <w:r w:rsidR="00F51500">
        <w:t>.</w:t>
      </w:r>
    </w:p>
    <w:p w14:paraId="659A94EF" w14:textId="4092E81A" w:rsidR="00CE3CBF" w:rsidRPr="00914AFD" w:rsidRDefault="00CE3CBF" w:rsidP="00914AFD">
      <w:pPr>
        <w:pStyle w:val="CETReferencetext"/>
      </w:pPr>
      <w:r w:rsidRPr="00914AFD">
        <w:t>Jiao Y., Du P., 2016, Performance measures in evaluating machine learning based bioinformatics predictors for classifications</w:t>
      </w:r>
      <w:r w:rsidR="00291282" w:rsidRPr="00914AFD">
        <w:t>,</w:t>
      </w:r>
      <w:r w:rsidRPr="00914AFD">
        <w:t xml:space="preserve"> </w:t>
      </w:r>
      <w:r w:rsidR="00291282" w:rsidRPr="00914AFD">
        <w:t>Quantitative Biology,</w:t>
      </w:r>
      <w:r w:rsidRPr="00914AFD">
        <w:t xml:space="preserve"> 4, 320–330.</w:t>
      </w:r>
    </w:p>
    <w:p w14:paraId="03B20372" w14:textId="78FD2AFC" w:rsidR="000C6828" w:rsidRDefault="00FD6B78" w:rsidP="00914AFD">
      <w:pPr>
        <w:pStyle w:val="CETReferencetext"/>
      </w:pPr>
      <w:r w:rsidRPr="00914AFD">
        <w:t>Litchfield E.L., Perlee H.E., 1965, Fire and Explosion Hazards of Flight Vehicle Combustibles, Technical Report AFAPL-TR-65-28.</w:t>
      </w:r>
    </w:p>
    <w:p w14:paraId="23670E85" w14:textId="4468FC49" w:rsidR="003E7082" w:rsidRPr="00415777" w:rsidRDefault="003E7082" w:rsidP="00914AFD">
      <w:pPr>
        <w:pStyle w:val="CETReferencetext"/>
      </w:pPr>
      <w:r w:rsidRPr="00415777">
        <w:t>Liu Y., Wei J., Lei</w:t>
      </w:r>
      <w:r w:rsidR="009454A6" w:rsidRPr="00415777">
        <w:t xml:space="preserve"> G., </w:t>
      </w:r>
      <w:r w:rsidRPr="00415777">
        <w:t>Chen</w:t>
      </w:r>
      <w:r w:rsidR="009454A6" w:rsidRPr="00415777">
        <w:t xml:space="preserve"> H., </w:t>
      </w:r>
      <w:r w:rsidRPr="00415777">
        <w:t>Lanc</w:t>
      </w:r>
      <w:r w:rsidR="009454A6" w:rsidRPr="00415777">
        <w:t xml:space="preserve"> Y., </w:t>
      </w:r>
      <w:r w:rsidRPr="00415777">
        <w:t>Gao</w:t>
      </w:r>
      <w:r w:rsidR="009454A6" w:rsidRPr="00415777">
        <w:t xml:space="preserve"> X., </w:t>
      </w:r>
      <w:r w:rsidR="00415777" w:rsidRPr="00415777">
        <w:t>et al., 2019, Spread of hydrogen vapor cloud during continuous liquid hydrogen spills</w:t>
      </w:r>
      <w:r w:rsidR="00415777">
        <w:t xml:space="preserve">, Cryogenics, 103, </w:t>
      </w:r>
      <w:r w:rsidR="00583742">
        <w:t>102975.</w:t>
      </w:r>
    </w:p>
    <w:p w14:paraId="4A1EEA9B" w14:textId="111F872B" w:rsidR="004D4ED4" w:rsidRPr="00914AFD" w:rsidRDefault="004D4ED4" w:rsidP="00914AFD">
      <w:pPr>
        <w:pStyle w:val="CETReferencetext"/>
      </w:pPr>
      <w:r w:rsidRPr="004D4ED4">
        <w:t>Odsæter L.H., Skarsvåg H.L., Aursand E., Ustolin F., Reigstad G.A., Paltrinieri N., 2021</w:t>
      </w:r>
      <w:r>
        <w:t>,</w:t>
      </w:r>
      <w:r w:rsidRPr="004D4ED4">
        <w:t xml:space="preserve"> Liquid Hydrogen Spills on Water—Risk and Consequences of Rapid Phase Transition</w:t>
      </w:r>
      <w:r w:rsidR="00E67B13">
        <w:t>,</w:t>
      </w:r>
      <w:r w:rsidRPr="004D4ED4">
        <w:t xml:space="preserve"> Energies</w:t>
      </w:r>
      <w:r>
        <w:t>,</w:t>
      </w:r>
      <w:r w:rsidRPr="004D4ED4">
        <w:t xml:space="preserve"> 14, 4789.</w:t>
      </w:r>
    </w:p>
    <w:p w14:paraId="5B812E4B" w14:textId="6E9145CC" w:rsidR="004D1B31" w:rsidRDefault="004D1B31" w:rsidP="00914AFD">
      <w:pPr>
        <w:pStyle w:val="CETReferencetext"/>
      </w:pPr>
      <w:r w:rsidRPr="00914AFD">
        <w:t xml:space="preserve">Royle M., Willoughby D., 2014, Releases of unignited liquid hydrogen - RR986 - Health and Safety Laboratory. </w:t>
      </w:r>
      <w:proofErr w:type="spellStart"/>
      <w:r w:rsidRPr="00914AFD">
        <w:t>Harpur</w:t>
      </w:r>
      <w:proofErr w:type="spellEnd"/>
      <w:r w:rsidRPr="00914AFD">
        <w:t xml:space="preserve"> Hill (Buxton).</w:t>
      </w:r>
    </w:p>
    <w:p w14:paraId="562F8617" w14:textId="2CB978A9" w:rsidR="003F2CF7" w:rsidRPr="00914AFD" w:rsidRDefault="003F2CF7" w:rsidP="00914AFD">
      <w:pPr>
        <w:pStyle w:val="CETReferencetext"/>
      </w:pPr>
      <w:r>
        <w:t xml:space="preserve">scikit-learn developers, </w:t>
      </w:r>
      <w:proofErr w:type="spellStart"/>
      <w:r w:rsidRPr="00BA1F4B">
        <w:t>MinMaxScaler</w:t>
      </w:r>
      <w:proofErr w:type="spellEnd"/>
      <w:r>
        <w:t>, 2022 &lt;s</w:t>
      </w:r>
      <w:r w:rsidRPr="00D24D94">
        <w:t>cikit-learn.org/stable/modules/generated/sklearn.preprocessing.MinMaxScaler.html</w:t>
      </w:r>
      <w:r>
        <w:t>&gt; accessed 11.01.2022</w:t>
      </w:r>
    </w:p>
    <w:p w14:paraId="19C4FC68" w14:textId="36BFC2C8" w:rsidR="004628D2" w:rsidRDefault="00E54625" w:rsidP="002811A8">
      <w:pPr>
        <w:pStyle w:val="CETReferencetext"/>
      </w:pPr>
      <w:proofErr w:type="spellStart"/>
      <w:r w:rsidRPr="00914AFD">
        <w:t>Seliya</w:t>
      </w:r>
      <w:proofErr w:type="spellEnd"/>
      <w:r w:rsidRPr="00914AFD">
        <w:t xml:space="preserve"> N., </w:t>
      </w:r>
      <w:proofErr w:type="spellStart"/>
      <w:r w:rsidRPr="00914AFD">
        <w:t>Khoshgoftaar</w:t>
      </w:r>
      <w:proofErr w:type="spellEnd"/>
      <w:r w:rsidRPr="00914AFD">
        <w:t xml:space="preserve"> T.M., Van Hulse J., 2009, A Study on the Relationships of Classifier Performance Metrics, in: 2009 21st IEEE International Conference on Tools with Artificial Intelligence, 59–66.</w:t>
      </w:r>
    </w:p>
    <w:p w14:paraId="75A0533C" w14:textId="6EAC0F65" w:rsidR="00B429BB" w:rsidRDefault="00B429BB" w:rsidP="002811A8">
      <w:pPr>
        <w:pStyle w:val="CETReferencetext"/>
      </w:pPr>
      <w:r w:rsidRPr="00B429BB">
        <w:t>Taccani R., Ustolin F., Zuliani N., Pinamonti P., Pietra A., 2018, Fuel cells and shipping emissions mitigation, in: NAV International Conference on Ship and Shipping Research.</w:t>
      </w:r>
    </w:p>
    <w:p w14:paraId="59D78077" w14:textId="3F7915CE" w:rsidR="00DA1849" w:rsidRDefault="006337AC" w:rsidP="002811A8">
      <w:pPr>
        <w:pStyle w:val="CETReferencetext"/>
      </w:pPr>
      <w:r w:rsidRPr="006337AC">
        <w:t>Thomas J</w:t>
      </w:r>
      <w:r>
        <w:t>.</w:t>
      </w:r>
      <w:r w:rsidRPr="006337AC">
        <w:t xml:space="preserve"> K</w:t>
      </w:r>
      <w:r>
        <w:t>.</w:t>
      </w:r>
      <w:r w:rsidRPr="006337AC">
        <w:t>,</w:t>
      </w:r>
      <w:r>
        <w:t xml:space="preserve"> </w:t>
      </w:r>
      <w:r w:rsidRPr="006337AC">
        <w:t>Eastwood</w:t>
      </w:r>
      <w:r>
        <w:t xml:space="preserve"> C.</w:t>
      </w:r>
      <w:r w:rsidRPr="006337AC">
        <w:t>,</w:t>
      </w:r>
      <w:r>
        <w:t xml:space="preserve"> </w:t>
      </w:r>
      <w:r w:rsidRPr="006337AC">
        <w:t>Goodrich</w:t>
      </w:r>
      <w:r>
        <w:t xml:space="preserve"> M., 201</w:t>
      </w:r>
      <w:r w:rsidR="00D305B9">
        <w:t>5</w:t>
      </w:r>
      <w:r>
        <w:t xml:space="preserve">, </w:t>
      </w:r>
      <w:r w:rsidR="00DA1849" w:rsidRPr="00DA1849">
        <w:t xml:space="preserve">Are unconfined hydrogen vapor cloud explosions </w:t>
      </w:r>
      <w:proofErr w:type="gramStart"/>
      <w:r w:rsidR="00DA1849" w:rsidRPr="00DA1849">
        <w:t>credible?</w:t>
      </w:r>
      <w:r w:rsidR="00D305B9">
        <w:t>,</w:t>
      </w:r>
      <w:proofErr w:type="gramEnd"/>
      <w:r w:rsidR="00D305B9">
        <w:t xml:space="preserve"> </w:t>
      </w:r>
      <w:r w:rsidR="00D305B9" w:rsidRPr="00D305B9">
        <w:t>Process Saf</w:t>
      </w:r>
      <w:r w:rsidR="00D305B9">
        <w:t>ety</w:t>
      </w:r>
      <w:r w:rsidR="00D305B9" w:rsidRPr="00D305B9">
        <w:t xml:space="preserve"> Prog</w:t>
      </w:r>
      <w:r w:rsidR="00D305B9">
        <w:t>ress,</w:t>
      </w:r>
      <w:r w:rsidR="00D305B9" w:rsidRPr="00D305B9">
        <w:t xml:space="preserve"> 34</w:t>
      </w:r>
      <w:r w:rsidR="00D305B9">
        <w:t>,</w:t>
      </w:r>
      <w:r w:rsidR="00D305B9" w:rsidRPr="00D305B9">
        <w:t xml:space="preserve"> 36–43</w:t>
      </w:r>
      <w:r w:rsidR="00D305B9">
        <w:t>.</w:t>
      </w:r>
    </w:p>
    <w:p w14:paraId="6F6F574F" w14:textId="664407B5" w:rsidR="00680E14" w:rsidRDefault="00680E14" w:rsidP="002811A8">
      <w:pPr>
        <w:pStyle w:val="CETReferencetext"/>
      </w:pPr>
      <w:r w:rsidRPr="00680E14">
        <w:t>Ustolin F., Paltrinieri N., Landucci G., 2020</w:t>
      </w:r>
      <w:r w:rsidR="008D7BDB">
        <w:t>a</w:t>
      </w:r>
      <w:r w:rsidRPr="00680E14">
        <w:t>, An innovative and comprehensive approach for the consequence analysis of liquid hydrogen vessel explosions</w:t>
      </w:r>
      <w:r>
        <w:t>,</w:t>
      </w:r>
      <w:r w:rsidRPr="00680E14">
        <w:t xml:space="preserve"> J</w:t>
      </w:r>
      <w:r>
        <w:t>ournal of</w:t>
      </w:r>
      <w:r w:rsidRPr="00680E14">
        <w:t xml:space="preserve"> Loss Prev</w:t>
      </w:r>
      <w:r>
        <w:t>ention in the</w:t>
      </w:r>
      <w:r w:rsidRPr="00680E14">
        <w:t xml:space="preserve"> Process Ind</w:t>
      </w:r>
      <w:r>
        <w:t>ustries,</w:t>
      </w:r>
      <w:r w:rsidRPr="00680E14">
        <w:t xml:space="preserve"> 68, 104323.</w:t>
      </w:r>
    </w:p>
    <w:p w14:paraId="41CB853D" w14:textId="5AE896B9" w:rsidR="008342B8" w:rsidRDefault="008342B8" w:rsidP="002811A8">
      <w:pPr>
        <w:pStyle w:val="CETReferencetext"/>
      </w:pPr>
      <w:r w:rsidRPr="008342B8">
        <w:t>Ustolin F., Salzano E., Landucci G., Paltrinieri N., 2020</w:t>
      </w:r>
      <w:r w:rsidR="00680E14">
        <w:t>b</w:t>
      </w:r>
      <w:r w:rsidRPr="008342B8">
        <w:t>, Modelling Liquid Hydrogen BLEVEs: A Comparative Assessment with Hydrocarbon Fuels, in: 30th European Safety and Reliability Conference and 15th Probabilistic Safety Assessment and Management Conference (ESREL2020 PSAM15).</w:t>
      </w:r>
    </w:p>
    <w:p w14:paraId="054C8406" w14:textId="5FE8B317" w:rsidR="001A2719" w:rsidRPr="00854F71" w:rsidRDefault="008D7BDB" w:rsidP="001A2719">
      <w:pPr>
        <w:pStyle w:val="CETReferencetext"/>
      </w:pPr>
      <w:r w:rsidRPr="008D7BDB">
        <w:t xml:space="preserve">Ustolin F., Odsæter L.H., </w:t>
      </w:r>
      <w:proofErr w:type="spellStart"/>
      <w:r w:rsidRPr="008D7BDB">
        <w:t>Reigstad</w:t>
      </w:r>
      <w:proofErr w:type="spellEnd"/>
      <w:r w:rsidRPr="008D7BDB">
        <w:t xml:space="preserve"> G., Skarsvåg H.L., Paltrinieri N., 2020</w:t>
      </w:r>
      <w:r w:rsidR="004D1D10">
        <w:t>c</w:t>
      </w:r>
      <w:r>
        <w:t>,</w:t>
      </w:r>
      <w:r w:rsidRPr="008D7BDB">
        <w:t xml:space="preserve"> Theories and Mechanism of Rapid Phase Transition. Chem</w:t>
      </w:r>
      <w:r>
        <w:t>ical</w:t>
      </w:r>
      <w:r w:rsidRPr="008D7BDB">
        <w:t xml:space="preserve"> Eng</w:t>
      </w:r>
      <w:r>
        <w:t>ineering</w:t>
      </w:r>
      <w:r w:rsidRPr="008D7BDB">
        <w:t xml:space="preserve"> Trans</w:t>
      </w:r>
      <w:r>
        <w:t>action,</w:t>
      </w:r>
      <w:r w:rsidRPr="008D7BDB">
        <w:t xml:space="preserve"> 82, 253–258.</w:t>
      </w:r>
    </w:p>
    <w:sectPr w:rsidR="001A2719" w:rsidRPr="00854F71"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1F3B8" w14:textId="77777777" w:rsidR="00CF3B60" w:rsidRDefault="00CF3B60" w:rsidP="004F5E36">
      <w:r>
        <w:separator/>
      </w:r>
    </w:p>
  </w:endnote>
  <w:endnote w:type="continuationSeparator" w:id="0">
    <w:p w14:paraId="38CC4500" w14:textId="77777777" w:rsidR="00CF3B60" w:rsidRDefault="00CF3B6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A2B89" w14:textId="77777777" w:rsidR="00CF3B60" w:rsidRDefault="00CF3B60" w:rsidP="004F5E36">
      <w:r>
        <w:separator/>
      </w:r>
    </w:p>
  </w:footnote>
  <w:footnote w:type="continuationSeparator" w:id="0">
    <w:p w14:paraId="726460D7" w14:textId="77777777" w:rsidR="00CF3B60" w:rsidRDefault="00CF3B6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47A19"/>
    <w:multiLevelType w:val="hybridMultilevel"/>
    <w:tmpl w:val="D39A4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9837952"/>
    <w:multiLevelType w:val="hybridMultilevel"/>
    <w:tmpl w:val="37145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2286E60"/>
    <w:multiLevelType w:val="hybridMultilevel"/>
    <w:tmpl w:val="482E9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B8652D5"/>
    <w:multiLevelType w:val="hybridMultilevel"/>
    <w:tmpl w:val="1ADE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3"/>
  </w:num>
  <w:num w:numId="14">
    <w:abstractNumId w:val="20"/>
  </w:num>
  <w:num w:numId="15">
    <w:abstractNumId w:val="23"/>
  </w:num>
  <w:num w:numId="16">
    <w:abstractNumId w:val="22"/>
  </w:num>
  <w:num w:numId="17">
    <w:abstractNumId w:val="12"/>
  </w:num>
  <w:num w:numId="18">
    <w:abstractNumId w:val="13"/>
    <w:lvlOverride w:ilvl="0">
      <w:startOverride w:val="1"/>
    </w:lvlOverride>
  </w:num>
  <w:num w:numId="19">
    <w:abstractNumId w:val="18"/>
  </w:num>
  <w:num w:numId="20">
    <w:abstractNumId w:val="17"/>
  </w:num>
  <w:num w:numId="21">
    <w:abstractNumId w:val="15"/>
  </w:num>
  <w:num w:numId="22">
    <w:abstractNumId w:val="14"/>
  </w:num>
  <w:num w:numId="23">
    <w:abstractNumId w:val="21"/>
  </w:num>
  <w:num w:numId="24">
    <w:abstractNumId w:val="16"/>
  </w:num>
  <w:num w:numId="25">
    <w:abstractNumId w:val="2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59DB"/>
    <w:rsid w:val="00021F8D"/>
    <w:rsid w:val="00023C49"/>
    <w:rsid w:val="00027893"/>
    <w:rsid w:val="0003148D"/>
    <w:rsid w:val="00031EEC"/>
    <w:rsid w:val="0003359F"/>
    <w:rsid w:val="00034EB9"/>
    <w:rsid w:val="00046E3E"/>
    <w:rsid w:val="00051566"/>
    <w:rsid w:val="00054859"/>
    <w:rsid w:val="000578F9"/>
    <w:rsid w:val="000617C7"/>
    <w:rsid w:val="00062A9A"/>
    <w:rsid w:val="00065058"/>
    <w:rsid w:val="000669F4"/>
    <w:rsid w:val="0006725D"/>
    <w:rsid w:val="000769F0"/>
    <w:rsid w:val="0007781F"/>
    <w:rsid w:val="00085101"/>
    <w:rsid w:val="00086C39"/>
    <w:rsid w:val="000926B0"/>
    <w:rsid w:val="00095181"/>
    <w:rsid w:val="000A03B2"/>
    <w:rsid w:val="000A4F99"/>
    <w:rsid w:val="000A64E8"/>
    <w:rsid w:val="000C028A"/>
    <w:rsid w:val="000C6828"/>
    <w:rsid w:val="000D0268"/>
    <w:rsid w:val="000D34BE"/>
    <w:rsid w:val="000D64E0"/>
    <w:rsid w:val="000D7F16"/>
    <w:rsid w:val="000E102F"/>
    <w:rsid w:val="000E27D2"/>
    <w:rsid w:val="000E36F1"/>
    <w:rsid w:val="000E3A73"/>
    <w:rsid w:val="000E414A"/>
    <w:rsid w:val="000E5492"/>
    <w:rsid w:val="000F093C"/>
    <w:rsid w:val="000F3022"/>
    <w:rsid w:val="000F787B"/>
    <w:rsid w:val="00100B59"/>
    <w:rsid w:val="00100BE8"/>
    <w:rsid w:val="00102B47"/>
    <w:rsid w:val="001074C4"/>
    <w:rsid w:val="001076FC"/>
    <w:rsid w:val="00110577"/>
    <w:rsid w:val="0011249D"/>
    <w:rsid w:val="001157F9"/>
    <w:rsid w:val="00116EC7"/>
    <w:rsid w:val="00117CD6"/>
    <w:rsid w:val="0012091F"/>
    <w:rsid w:val="00126085"/>
    <w:rsid w:val="00126BC2"/>
    <w:rsid w:val="00126D91"/>
    <w:rsid w:val="001274DC"/>
    <w:rsid w:val="001308B6"/>
    <w:rsid w:val="0013121F"/>
    <w:rsid w:val="00131D68"/>
    <w:rsid w:val="00131FE6"/>
    <w:rsid w:val="0013263F"/>
    <w:rsid w:val="001331DF"/>
    <w:rsid w:val="00134DE4"/>
    <w:rsid w:val="0014034D"/>
    <w:rsid w:val="00141362"/>
    <w:rsid w:val="00144306"/>
    <w:rsid w:val="00144D16"/>
    <w:rsid w:val="00145912"/>
    <w:rsid w:val="00150E59"/>
    <w:rsid w:val="00152DE3"/>
    <w:rsid w:val="00154296"/>
    <w:rsid w:val="001575DB"/>
    <w:rsid w:val="00161398"/>
    <w:rsid w:val="00161CF8"/>
    <w:rsid w:val="00164CF9"/>
    <w:rsid w:val="001667A6"/>
    <w:rsid w:val="001670CD"/>
    <w:rsid w:val="00176419"/>
    <w:rsid w:val="001832DE"/>
    <w:rsid w:val="00184AD6"/>
    <w:rsid w:val="0018531B"/>
    <w:rsid w:val="00193C3F"/>
    <w:rsid w:val="001A1831"/>
    <w:rsid w:val="001A2357"/>
    <w:rsid w:val="001A2719"/>
    <w:rsid w:val="001A4AF7"/>
    <w:rsid w:val="001B013A"/>
    <w:rsid w:val="001B0349"/>
    <w:rsid w:val="001B040B"/>
    <w:rsid w:val="001B1E93"/>
    <w:rsid w:val="001B6390"/>
    <w:rsid w:val="001B65C1"/>
    <w:rsid w:val="001C4288"/>
    <w:rsid w:val="001C684B"/>
    <w:rsid w:val="001C7C2D"/>
    <w:rsid w:val="001D0CFB"/>
    <w:rsid w:val="001D53FC"/>
    <w:rsid w:val="001E7283"/>
    <w:rsid w:val="001F42A5"/>
    <w:rsid w:val="001F4F97"/>
    <w:rsid w:val="001F5C32"/>
    <w:rsid w:val="001F7B9D"/>
    <w:rsid w:val="00200CB7"/>
    <w:rsid w:val="00201C93"/>
    <w:rsid w:val="00203946"/>
    <w:rsid w:val="00203BF5"/>
    <w:rsid w:val="00203FBF"/>
    <w:rsid w:val="00205898"/>
    <w:rsid w:val="00205F59"/>
    <w:rsid w:val="00210611"/>
    <w:rsid w:val="002112A5"/>
    <w:rsid w:val="00213536"/>
    <w:rsid w:val="00213A82"/>
    <w:rsid w:val="00213F65"/>
    <w:rsid w:val="00215635"/>
    <w:rsid w:val="002224B4"/>
    <w:rsid w:val="002305E2"/>
    <w:rsid w:val="00230A8C"/>
    <w:rsid w:val="00234AAC"/>
    <w:rsid w:val="00240B66"/>
    <w:rsid w:val="002431B7"/>
    <w:rsid w:val="002447EF"/>
    <w:rsid w:val="00246F39"/>
    <w:rsid w:val="00251550"/>
    <w:rsid w:val="00253348"/>
    <w:rsid w:val="002605BE"/>
    <w:rsid w:val="0026321E"/>
    <w:rsid w:val="00263B05"/>
    <w:rsid w:val="0027221A"/>
    <w:rsid w:val="00275B61"/>
    <w:rsid w:val="00275D9D"/>
    <w:rsid w:val="00280FAF"/>
    <w:rsid w:val="002811A8"/>
    <w:rsid w:val="00281311"/>
    <w:rsid w:val="00282656"/>
    <w:rsid w:val="00287ADD"/>
    <w:rsid w:val="0029079C"/>
    <w:rsid w:val="00291282"/>
    <w:rsid w:val="002932F5"/>
    <w:rsid w:val="002945F7"/>
    <w:rsid w:val="00296B83"/>
    <w:rsid w:val="002A2BF1"/>
    <w:rsid w:val="002A48B8"/>
    <w:rsid w:val="002B001D"/>
    <w:rsid w:val="002B3E51"/>
    <w:rsid w:val="002B4015"/>
    <w:rsid w:val="002B4309"/>
    <w:rsid w:val="002B78CE"/>
    <w:rsid w:val="002B7A4A"/>
    <w:rsid w:val="002C16EE"/>
    <w:rsid w:val="002C2FB6"/>
    <w:rsid w:val="002C70E1"/>
    <w:rsid w:val="002E4241"/>
    <w:rsid w:val="002E5FA7"/>
    <w:rsid w:val="002F3309"/>
    <w:rsid w:val="002F4BEB"/>
    <w:rsid w:val="002F5030"/>
    <w:rsid w:val="002F6B4B"/>
    <w:rsid w:val="003008CE"/>
    <w:rsid w:val="003009B7"/>
    <w:rsid w:val="00300E56"/>
    <w:rsid w:val="0030469C"/>
    <w:rsid w:val="00310360"/>
    <w:rsid w:val="00311D70"/>
    <w:rsid w:val="00314ED1"/>
    <w:rsid w:val="00321CA6"/>
    <w:rsid w:val="00323763"/>
    <w:rsid w:val="003239F5"/>
    <w:rsid w:val="00325E05"/>
    <w:rsid w:val="00330F79"/>
    <w:rsid w:val="00334C09"/>
    <w:rsid w:val="00335180"/>
    <w:rsid w:val="0033584B"/>
    <w:rsid w:val="00336053"/>
    <w:rsid w:val="003409C0"/>
    <w:rsid w:val="00341262"/>
    <w:rsid w:val="00343AA8"/>
    <w:rsid w:val="003449FC"/>
    <w:rsid w:val="00355728"/>
    <w:rsid w:val="00360D40"/>
    <w:rsid w:val="003723D4"/>
    <w:rsid w:val="00380F7F"/>
    <w:rsid w:val="00381905"/>
    <w:rsid w:val="00384CC8"/>
    <w:rsid w:val="00385A39"/>
    <w:rsid w:val="003871FD"/>
    <w:rsid w:val="0038787D"/>
    <w:rsid w:val="003929BA"/>
    <w:rsid w:val="003932A9"/>
    <w:rsid w:val="00396003"/>
    <w:rsid w:val="00397D33"/>
    <w:rsid w:val="003A1E30"/>
    <w:rsid w:val="003A2829"/>
    <w:rsid w:val="003A7D1C"/>
    <w:rsid w:val="003B304B"/>
    <w:rsid w:val="003B3146"/>
    <w:rsid w:val="003B627B"/>
    <w:rsid w:val="003C097E"/>
    <w:rsid w:val="003C1B4A"/>
    <w:rsid w:val="003C7FCC"/>
    <w:rsid w:val="003D47FD"/>
    <w:rsid w:val="003D631A"/>
    <w:rsid w:val="003D6AFF"/>
    <w:rsid w:val="003E7082"/>
    <w:rsid w:val="003E72F3"/>
    <w:rsid w:val="003F015E"/>
    <w:rsid w:val="003F2CF7"/>
    <w:rsid w:val="003F3CD0"/>
    <w:rsid w:val="00400414"/>
    <w:rsid w:val="004078AD"/>
    <w:rsid w:val="004100E5"/>
    <w:rsid w:val="0041446B"/>
    <w:rsid w:val="00415777"/>
    <w:rsid w:val="004208AD"/>
    <w:rsid w:val="0042180D"/>
    <w:rsid w:val="0042433A"/>
    <w:rsid w:val="00424717"/>
    <w:rsid w:val="00426502"/>
    <w:rsid w:val="004279BF"/>
    <w:rsid w:val="00433479"/>
    <w:rsid w:val="0043490E"/>
    <w:rsid w:val="0043681A"/>
    <w:rsid w:val="0044082D"/>
    <w:rsid w:val="0044329C"/>
    <w:rsid w:val="00443A9C"/>
    <w:rsid w:val="004516EB"/>
    <w:rsid w:val="00453E24"/>
    <w:rsid w:val="00457242"/>
    <w:rsid w:val="00457456"/>
    <w:rsid w:val="004577FE"/>
    <w:rsid w:val="00457B9C"/>
    <w:rsid w:val="0046164A"/>
    <w:rsid w:val="004628D2"/>
    <w:rsid w:val="00462DCD"/>
    <w:rsid w:val="004648AD"/>
    <w:rsid w:val="004703A9"/>
    <w:rsid w:val="004760DE"/>
    <w:rsid w:val="004763D7"/>
    <w:rsid w:val="00483309"/>
    <w:rsid w:val="00483A14"/>
    <w:rsid w:val="0049213B"/>
    <w:rsid w:val="0049701F"/>
    <w:rsid w:val="004A004E"/>
    <w:rsid w:val="004A24CF"/>
    <w:rsid w:val="004A5359"/>
    <w:rsid w:val="004A65A9"/>
    <w:rsid w:val="004A6EBC"/>
    <w:rsid w:val="004B174C"/>
    <w:rsid w:val="004B3D4A"/>
    <w:rsid w:val="004B485F"/>
    <w:rsid w:val="004B7A66"/>
    <w:rsid w:val="004C3D1D"/>
    <w:rsid w:val="004C624A"/>
    <w:rsid w:val="004C6E7F"/>
    <w:rsid w:val="004C7913"/>
    <w:rsid w:val="004D071F"/>
    <w:rsid w:val="004D0F6F"/>
    <w:rsid w:val="004D1B31"/>
    <w:rsid w:val="004D1D10"/>
    <w:rsid w:val="004D40C4"/>
    <w:rsid w:val="004D4ED4"/>
    <w:rsid w:val="004E29FD"/>
    <w:rsid w:val="004E4059"/>
    <w:rsid w:val="004E4207"/>
    <w:rsid w:val="004E4DD6"/>
    <w:rsid w:val="004E62C5"/>
    <w:rsid w:val="004F5E36"/>
    <w:rsid w:val="005018C8"/>
    <w:rsid w:val="00503B25"/>
    <w:rsid w:val="00507B47"/>
    <w:rsid w:val="00507BEF"/>
    <w:rsid w:val="00507CC9"/>
    <w:rsid w:val="005119A5"/>
    <w:rsid w:val="005278B7"/>
    <w:rsid w:val="00532016"/>
    <w:rsid w:val="005346C8"/>
    <w:rsid w:val="005357D0"/>
    <w:rsid w:val="00543E7D"/>
    <w:rsid w:val="00545FC9"/>
    <w:rsid w:val="00547A68"/>
    <w:rsid w:val="00552CF9"/>
    <w:rsid w:val="005531C9"/>
    <w:rsid w:val="005536D8"/>
    <w:rsid w:val="00554272"/>
    <w:rsid w:val="00570C43"/>
    <w:rsid w:val="0057265A"/>
    <w:rsid w:val="00573435"/>
    <w:rsid w:val="00583742"/>
    <w:rsid w:val="005901AD"/>
    <w:rsid w:val="00592CE7"/>
    <w:rsid w:val="00597434"/>
    <w:rsid w:val="00597481"/>
    <w:rsid w:val="005A61B4"/>
    <w:rsid w:val="005B0403"/>
    <w:rsid w:val="005B1331"/>
    <w:rsid w:val="005B176B"/>
    <w:rsid w:val="005B2110"/>
    <w:rsid w:val="005B61E6"/>
    <w:rsid w:val="005B6840"/>
    <w:rsid w:val="005C5675"/>
    <w:rsid w:val="005C77E1"/>
    <w:rsid w:val="005D668A"/>
    <w:rsid w:val="005D6A2F"/>
    <w:rsid w:val="005D7E29"/>
    <w:rsid w:val="005E1A82"/>
    <w:rsid w:val="005E4B99"/>
    <w:rsid w:val="005E794C"/>
    <w:rsid w:val="005F0529"/>
    <w:rsid w:val="005F0A28"/>
    <w:rsid w:val="005F0E5E"/>
    <w:rsid w:val="005F0F91"/>
    <w:rsid w:val="005F1E29"/>
    <w:rsid w:val="005F5F32"/>
    <w:rsid w:val="00600535"/>
    <w:rsid w:val="00606C14"/>
    <w:rsid w:val="00610CD6"/>
    <w:rsid w:val="00620DEE"/>
    <w:rsid w:val="00621F92"/>
    <w:rsid w:val="0062280A"/>
    <w:rsid w:val="00625639"/>
    <w:rsid w:val="00631B33"/>
    <w:rsid w:val="006337AC"/>
    <w:rsid w:val="00633E8F"/>
    <w:rsid w:val="00635B05"/>
    <w:rsid w:val="00635C65"/>
    <w:rsid w:val="00637C24"/>
    <w:rsid w:val="0064184D"/>
    <w:rsid w:val="006422CC"/>
    <w:rsid w:val="00652097"/>
    <w:rsid w:val="00652636"/>
    <w:rsid w:val="006562FB"/>
    <w:rsid w:val="00660E3E"/>
    <w:rsid w:val="00662E74"/>
    <w:rsid w:val="00663522"/>
    <w:rsid w:val="006642C4"/>
    <w:rsid w:val="0066499D"/>
    <w:rsid w:val="00665A4B"/>
    <w:rsid w:val="00665FEE"/>
    <w:rsid w:val="0067202D"/>
    <w:rsid w:val="00676E12"/>
    <w:rsid w:val="00677B60"/>
    <w:rsid w:val="006807D5"/>
    <w:rsid w:val="00680C23"/>
    <w:rsid w:val="00680E14"/>
    <w:rsid w:val="006868D7"/>
    <w:rsid w:val="00686E8D"/>
    <w:rsid w:val="00693766"/>
    <w:rsid w:val="00694700"/>
    <w:rsid w:val="006967AB"/>
    <w:rsid w:val="0069681E"/>
    <w:rsid w:val="006A3281"/>
    <w:rsid w:val="006A4A56"/>
    <w:rsid w:val="006A67B9"/>
    <w:rsid w:val="006B0023"/>
    <w:rsid w:val="006B4888"/>
    <w:rsid w:val="006B6FAB"/>
    <w:rsid w:val="006C2E45"/>
    <w:rsid w:val="006C359C"/>
    <w:rsid w:val="006C5579"/>
    <w:rsid w:val="006C76A1"/>
    <w:rsid w:val="006D0A66"/>
    <w:rsid w:val="006D5471"/>
    <w:rsid w:val="006D5642"/>
    <w:rsid w:val="006D66ED"/>
    <w:rsid w:val="006D6A66"/>
    <w:rsid w:val="006D6E8B"/>
    <w:rsid w:val="006E5A78"/>
    <w:rsid w:val="006E737D"/>
    <w:rsid w:val="006F14B2"/>
    <w:rsid w:val="00704D99"/>
    <w:rsid w:val="0071324B"/>
    <w:rsid w:val="00713973"/>
    <w:rsid w:val="00715F8E"/>
    <w:rsid w:val="00720A24"/>
    <w:rsid w:val="00721C09"/>
    <w:rsid w:val="00725F5D"/>
    <w:rsid w:val="00730785"/>
    <w:rsid w:val="00732386"/>
    <w:rsid w:val="0073514D"/>
    <w:rsid w:val="007428CE"/>
    <w:rsid w:val="00742AA4"/>
    <w:rsid w:val="007447F3"/>
    <w:rsid w:val="00744EF7"/>
    <w:rsid w:val="0075499F"/>
    <w:rsid w:val="00761F22"/>
    <w:rsid w:val="007661C8"/>
    <w:rsid w:val="00766C69"/>
    <w:rsid w:val="0077098D"/>
    <w:rsid w:val="007724AB"/>
    <w:rsid w:val="00772EE5"/>
    <w:rsid w:val="00773DC8"/>
    <w:rsid w:val="007755DC"/>
    <w:rsid w:val="00777523"/>
    <w:rsid w:val="007779DD"/>
    <w:rsid w:val="0078066F"/>
    <w:rsid w:val="007824B0"/>
    <w:rsid w:val="007927EB"/>
    <w:rsid w:val="007931FA"/>
    <w:rsid w:val="007A4861"/>
    <w:rsid w:val="007A7BBA"/>
    <w:rsid w:val="007B0C50"/>
    <w:rsid w:val="007B48F9"/>
    <w:rsid w:val="007B61EB"/>
    <w:rsid w:val="007C1A43"/>
    <w:rsid w:val="007C36A4"/>
    <w:rsid w:val="007C4894"/>
    <w:rsid w:val="007C6023"/>
    <w:rsid w:val="007D124B"/>
    <w:rsid w:val="007D1BD7"/>
    <w:rsid w:val="007D1D26"/>
    <w:rsid w:val="007E4515"/>
    <w:rsid w:val="007F243B"/>
    <w:rsid w:val="007F4ACD"/>
    <w:rsid w:val="007F4E16"/>
    <w:rsid w:val="0080013E"/>
    <w:rsid w:val="00800E84"/>
    <w:rsid w:val="0080405E"/>
    <w:rsid w:val="00813288"/>
    <w:rsid w:val="00815281"/>
    <w:rsid w:val="008168FC"/>
    <w:rsid w:val="00822DD0"/>
    <w:rsid w:val="00824658"/>
    <w:rsid w:val="00830996"/>
    <w:rsid w:val="008320BF"/>
    <w:rsid w:val="008342B8"/>
    <w:rsid w:val="008345F1"/>
    <w:rsid w:val="0084238B"/>
    <w:rsid w:val="00843A21"/>
    <w:rsid w:val="00854889"/>
    <w:rsid w:val="00854F71"/>
    <w:rsid w:val="0086351C"/>
    <w:rsid w:val="00865B07"/>
    <w:rsid w:val="008667EA"/>
    <w:rsid w:val="008706B5"/>
    <w:rsid w:val="0087637F"/>
    <w:rsid w:val="008845A3"/>
    <w:rsid w:val="00891ADF"/>
    <w:rsid w:val="00892AD5"/>
    <w:rsid w:val="008934DB"/>
    <w:rsid w:val="008A1512"/>
    <w:rsid w:val="008A46EA"/>
    <w:rsid w:val="008B0407"/>
    <w:rsid w:val="008B4B90"/>
    <w:rsid w:val="008B4F9D"/>
    <w:rsid w:val="008B5E7E"/>
    <w:rsid w:val="008B6FFA"/>
    <w:rsid w:val="008B7B62"/>
    <w:rsid w:val="008C118B"/>
    <w:rsid w:val="008C1D0C"/>
    <w:rsid w:val="008C3C1B"/>
    <w:rsid w:val="008C5206"/>
    <w:rsid w:val="008C5401"/>
    <w:rsid w:val="008D32B9"/>
    <w:rsid w:val="008D433B"/>
    <w:rsid w:val="008D7BDB"/>
    <w:rsid w:val="008E1FB7"/>
    <w:rsid w:val="008E566E"/>
    <w:rsid w:val="008E7BED"/>
    <w:rsid w:val="008F0213"/>
    <w:rsid w:val="008F0D22"/>
    <w:rsid w:val="0090161A"/>
    <w:rsid w:val="00901EB6"/>
    <w:rsid w:val="00901EC9"/>
    <w:rsid w:val="00904C62"/>
    <w:rsid w:val="00906D2D"/>
    <w:rsid w:val="00914AFD"/>
    <w:rsid w:val="00917F0F"/>
    <w:rsid w:val="00922BA8"/>
    <w:rsid w:val="00924DAC"/>
    <w:rsid w:val="00927058"/>
    <w:rsid w:val="0093229E"/>
    <w:rsid w:val="0094046A"/>
    <w:rsid w:val="0094231E"/>
    <w:rsid w:val="00942750"/>
    <w:rsid w:val="009450CE"/>
    <w:rsid w:val="009454A6"/>
    <w:rsid w:val="00946DA3"/>
    <w:rsid w:val="00947179"/>
    <w:rsid w:val="0095164B"/>
    <w:rsid w:val="00954089"/>
    <w:rsid w:val="00954090"/>
    <w:rsid w:val="009543A3"/>
    <w:rsid w:val="00956D05"/>
    <w:rsid w:val="009573E7"/>
    <w:rsid w:val="00960929"/>
    <w:rsid w:val="00963E05"/>
    <w:rsid w:val="00967843"/>
    <w:rsid w:val="00967D54"/>
    <w:rsid w:val="00970E05"/>
    <w:rsid w:val="00971028"/>
    <w:rsid w:val="00971CBF"/>
    <w:rsid w:val="00974466"/>
    <w:rsid w:val="009755F1"/>
    <w:rsid w:val="009819F4"/>
    <w:rsid w:val="009822BA"/>
    <w:rsid w:val="00983C58"/>
    <w:rsid w:val="00993B84"/>
    <w:rsid w:val="00996483"/>
    <w:rsid w:val="00996F5A"/>
    <w:rsid w:val="009A4B3A"/>
    <w:rsid w:val="009A5D5E"/>
    <w:rsid w:val="009B041A"/>
    <w:rsid w:val="009B121A"/>
    <w:rsid w:val="009B3CA1"/>
    <w:rsid w:val="009B7D93"/>
    <w:rsid w:val="009C31F9"/>
    <w:rsid w:val="009C33AD"/>
    <w:rsid w:val="009C37C3"/>
    <w:rsid w:val="009C68E9"/>
    <w:rsid w:val="009C7C86"/>
    <w:rsid w:val="009D235E"/>
    <w:rsid w:val="009D26AB"/>
    <w:rsid w:val="009D2FF7"/>
    <w:rsid w:val="009D5A6D"/>
    <w:rsid w:val="009E1BD3"/>
    <w:rsid w:val="009E7884"/>
    <w:rsid w:val="009E788A"/>
    <w:rsid w:val="009F0E08"/>
    <w:rsid w:val="009F4F09"/>
    <w:rsid w:val="009F5501"/>
    <w:rsid w:val="00A031A1"/>
    <w:rsid w:val="00A1763D"/>
    <w:rsid w:val="00A17CEC"/>
    <w:rsid w:val="00A21C74"/>
    <w:rsid w:val="00A2301C"/>
    <w:rsid w:val="00A238D2"/>
    <w:rsid w:val="00A271E5"/>
    <w:rsid w:val="00A27EF0"/>
    <w:rsid w:val="00A31004"/>
    <w:rsid w:val="00A42361"/>
    <w:rsid w:val="00A432EE"/>
    <w:rsid w:val="00A43BC6"/>
    <w:rsid w:val="00A443C5"/>
    <w:rsid w:val="00A50B20"/>
    <w:rsid w:val="00A51390"/>
    <w:rsid w:val="00A557B1"/>
    <w:rsid w:val="00A56836"/>
    <w:rsid w:val="00A569F2"/>
    <w:rsid w:val="00A60D13"/>
    <w:rsid w:val="00A61008"/>
    <w:rsid w:val="00A6463D"/>
    <w:rsid w:val="00A70154"/>
    <w:rsid w:val="00A71727"/>
    <w:rsid w:val="00A7220E"/>
    <w:rsid w:val="00A72745"/>
    <w:rsid w:val="00A73311"/>
    <w:rsid w:val="00A75F96"/>
    <w:rsid w:val="00A76EFC"/>
    <w:rsid w:val="00A775A4"/>
    <w:rsid w:val="00A85B2C"/>
    <w:rsid w:val="00A91010"/>
    <w:rsid w:val="00A95A30"/>
    <w:rsid w:val="00A97F29"/>
    <w:rsid w:val="00AA1768"/>
    <w:rsid w:val="00AA5EC0"/>
    <w:rsid w:val="00AA702E"/>
    <w:rsid w:val="00AA7D4D"/>
    <w:rsid w:val="00AB0964"/>
    <w:rsid w:val="00AB3BE3"/>
    <w:rsid w:val="00AB5011"/>
    <w:rsid w:val="00AC2E99"/>
    <w:rsid w:val="00AC6630"/>
    <w:rsid w:val="00AC7368"/>
    <w:rsid w:val="00AD0B22"/>
    <w:rsid w:val="00AD16B9"/>
    <w:rsid w:val="00AD2C44"/>
    <w:rsid w:val="00AE377D"/>
    <w:rsid w:val="00AE6D23"/>
    <w:rsid w:val="00AF0EBA"/>
    <w:rsid w:val="00AF50D7"/>
    <w:rsid w:val="00AF5ECB"/>
    <w:rsid w:val="00B02C8A"/>
    <w:rsid w:val="00B030FE"/>
    <w:rsid w:val="00B03520"/>
    <w:rsid w:val="00B065F8"/>
    <w:rsid w:val="00B1468F"/>
    <w:rsid w:val="00B14FBD"/>
    <w:rsid w:val="00B17FBD"/>
    <w:rsid w:val="00B23DE1"/>
    <w:rsid w:val="00B2505F"/>
    <w:rsid w:val="00B315A6"/>
    <w:rsid w:val="00B31813"/>
    <w:rsid w:val="00B32183"/>
    <w:rsid w:val="00B33365"/>
    <w:rsid w:val="00B33BC0"/>
    <w:rsid w:val="00B4199C"/>
    <w:rsid w:val="00B429BB"/>
    <w:rsid w:val="00B44528"/>
    <w:rsid w:val="00B450C0"/>
    <w:rsid w:val="00B463DB"/>
    <w:rsid w:val="00B47273"/>
    <w:rsid w:val="00B4728C"/>
    <w:rsid w:val="00B50777"/>
    <w:rsid w:val="00B5176D"/>
    <w:rsid w:val="00B56F03"/>
    <w:rsid w:val="00B57B36"/>
    <w:rsid w:val="00B57E6F"/>
    <w:rsid w:val="00B6420D"/>
    <w:rsid w:val="00B70D3F"/>
    <w:rsid w:val="00B71C48"/>
    <w:rsid w:val="00B75C93"/>
    <w:rsid w:val="00B80495"/>
    <w:rsid w:val="00B862C3"/>
    <w:rsid w:val="00B8686D"/>
    <w:rsid w:val="00B93F69"/>
    <w:rsid w:val="00BA1F4B"/>
    <w:rsid w:val="00BA2077"/>
    <w:rsid w:val="00BA5735"/>
    <w:rsid w:val="00BB1DDC"/>
    <w:rsid w:val="00BB4F66"/>
    <w:rsid w:val="00BB78A7"/>
    <w:rsid w:val="00BB7F9E"/>
    <w:rsid w:val="00BC0C1C"/>
    <w:rsid w:val="00BC30C9"/>
    <w:rsid w:val="00BD05CE"/>
    <w:rsid w:val="00BD077D"/>
    <w:rsid w:val="00BD1C83"/>
    <w:rsid w:val="00BE2545"/>
    <w:rsid w:val="00BE3718"/>
    <w:rsid w:val="00BE3E58"/>
    <w:rsid w:val="00BE728D"/>
    <w:rsid w:val="00BF699A"/>
    <w:rsid w:val="00C01616"/>
    <w:rsid w:val="00C0162B"/>
    <w:rsid w:val="00C049E5"/>
    <w:rsid w:val="00C067C2"/>
    <w:rsid w:val="00C06866"/>
    <w:rsid w:val="00C068ED"/>
    <w:rsid w:val="00C10373"/>
    <w:rsid w:val="00C1356A"/>
    <w:rsid w:val="00C15265"/>
    <w:rsid w:val="00C15981"/>
    <w:rsid w:val="00C22E0C"/>
    <w:rsid w:val="00C25DE4"/>
    <w:rsid w:val="00C27CCD"/>
    <w:rsid w:val="00C32CE6"/>
    <w:rsid w:val="00C32EB6"/>
    <w:rsid w:val="00C345B1"/>
    <w:rsid w:val="00C3491C"/>
    <w:rsid w:val="00C40142"/>
    <w:rsid w:val="00C4407A"/>
    <w:rsid w:val="00C5190E"/>
    <w:rsid w:val="00C52C3C"/>
    <w:rsid w:val="00C53746"/>
    <w:rsid w:val="00C5622A"/>
    <w:rsid w:val="00C57182"/>
    <w:rsid w:val="00C57863"/>
    <w:rsid w:val="00C6470A"/>
    <w:rsid w:val="00C655FD"/>
    <w:rsid w:val="00C667B6"/>
    <w:rsid w:val="00C74574"/>
    <w:rsid w:val="00C75407"/>
    <w:rsid w:val="00C755B0"/>
    <w:rsid w:val="00C81C44"/>
    <w:rsid w:val="00C8670C"/>
    <w:rsid w:val="00C870A8"/>
    <w:rsid w:val="00C871C8"/>
    <w:rsid w:val="00C94434"/>
    <w:rsid w:val="00C970C6"/>
    <w:rsid w:val="00CA0D75"/>
    <w:rsid w:val="00CA1C95"/>
    <w:rsid w:val="00CA5A9C"/>
    <w:rsid w:val="00CC08AD"/>
    <w:rsid w:val="00CC2487"/>
    <w:rsid w:val="00CC4C20"/>
    <w:rsid w:val="00CC60A1"/>
    <w:rsid w:val="00CC7C95"/>
    <w:rsid w:val="00CD332B"/>
    <w:rsid w:val="00CD3517"/>
    <w:rsid w:val="00CD5D32"/>
    <w:rsid w:val="00CD5FE2"/>
    <w:rsid w:val="00CE28F7"/>
    <w:rsid w:val="00CE3CBF"/>
    <w:rsid w:val="00CE4B53"/>
    <w:rsid w:val="00CE7C68"/>
    <w:rsid w:val="00CF2F52"/>
    <w:rsid w:val="00CF3B60"/>
    <w:rsid w:val="00CF66C4"/>
    <w:rsid w:val="00D02B4C"/>
    <w:rsid w:val="00D040C4"/>
    <w:rsid w:val="00D05A55"/>
    <w:rsid w:val="00D178ED"/>
    <w:rsid w:val="00D24D94"/>
    <w:rsid w:val="00D305B9"/>
    <w:rsid w:val="00D40326"/>
    <w:rsid w:val="00D4303A"/>
    <w:rsid w:val="00D444E6"/>
    <w:rsid w:val="00D45F5C"/>
    <w:rsid w:val="00D46B7E"/>
    <w:rsid w:val="00D52D9C"/>
    <w:rsid w:val="00D55ECE"/>
    <w:rsid w:val="00D57C84"/>
    <w:rsid w:val="00D6057D"/>
    <w:rsid w:val="00D64B8B"/>
    <w:rsid w:val="00D651F2"/>
    <w:rsid w:val="00D667AB"/>
    <w:rsid w:val="00D71BBD"/>
    <w:rsid w:val="00D778E4"/>
    <w:rsid w:val="00D77A7B"/>
    <w:rsid w:val="00D836C5"/>
    <w:rsid w:val="00D84576"/>
    <w:rsid w:val="00D85D2F"/>
    <w:rsid w:val="00D85E44"/>
    <w:rsid w:val="00D903D0"/>
    <w:rsid w:val="00D90D81"/>
    <w:rsid w:val="00D94179"/>
    <w:rsid w:val="00D961D1"/>
    <w:rsid w:val="00DA0A01"/>
    <w:rsid w:val="00DA1399"/>
    <w:rsid w:val="00DA1849"/>
    <w:rsid w:val="00DA24C6"/>
    <w:rsid w:val="00DA3989"/>
    <w:rsid w:val="00DA4D7B"/>
    <w:rsid w:val="00DA54D1"/>
    <w:rsid w:val="00DA5D53"/>
    <w:rsid w:val="00DB05ED"/>
    <w:rsid w:val="00DB2564"/>
    <w:rsid w:val="00DB55E7"/>
    <w:rsid w:val="00DC4C61"/>
    <w:rsid w:val="00DD0A53"/>
    <w:rsid w:val="00DD38C3"/>
    <w:rsid w:val="00DD60AE"/>
    <w:rsid w:val="00DE264A"/>
    <w:rsid w:val="00DE7906"/>
    <w:rsid w:val="00DF5072"/>
    <w:rsid w:val="00DF75E2"/>
    <w:rsid w:val="00E004D8"/>
    <w:rsid w:val="00E01B14"/>
    <w:rsid w:val="00E02D18"/>
    <w:rsid w:val="00E041E7"/>
    <w:rsid w:val="00E07E86"/>
    <w:rsid w:val="00E16D53"/>
    <w:rsid w:val="00E21112"/>
    <w:rsid w:val="00E2154C"/>
    <w:rsid w:val="00E219AD"/>
    <w:rsid w:val="00E23CA1"/>
    <w:rsid w:val="00E25406"/>
    <w:rsid w:val="00E33EE8"/>
    <w:rsid w:val="00E349AC"/>
    <w:rsid w:val="00E409A8"/>
    <w:rsid w:val="00E50BFF"/>
    <w:rsid w:val="00E50C12"/>
    <w:rsid w:val="00E51363"/>
    <w:rsid w:val="00E54625"/>
    <w:rsid w:val="00E61514"/>
    <w:rsid w:val="00E65B91"/>
    <w:rsid w:val="00E66944"/>
    <w:rsid w:val="00E67B13"/>
    <w:rsid w:val="00E7209D"/>
    <w:rsid w:val="00E72EAD"/>
    <w:rsid w:val="00E755F8"/>
    <w:rsid w:val="00E76D5E"/>
    <w:rsid w:val="00E77223"/>
    <w:rsid w:val="00E8528B"/>
    <w:rsid w:val="00E85B94"/>
    <w:rsid w:val="00E863D4"/>
    <w:rsid w:val="00E978D0"/>
    <w:rsid w:val="00EA2A33"/>
    <w:rsid w:val="00EA4613"/>
    <w:rsid w:val="00EA49FF"/>
    <w:rsid w:val="00EA645E"/>
    <w:rsid w:val="00EA7F91"/>
    <w:rsid w:val="00EB1523"/>
    <w:rsid w:val="00EB28D2"/>
    <w:rsid w:val="00EB3039"/>
    <w:rsid w:val="00EB5137"/>
    <w:rsid w:val="00EC0E49"/>
    <w:rsid w:val="00EC101F"/>
    <w:rsid w:val="00EC18EF"/>
    <w:rsid w:val="00EC1D9F"/>
    <w:rsid w:val="00EC2DB8"/>
    <w:rsid w:val="00ED6BA7"/>
    <w:rsid w:val="00EE0131"/>
    <w:rsid w:val="00EE17B0"/>
    <w:rsid w:val="00EE35DB"/>
    <w:rsid w:val="00EE5DB8"/>
    <w:rsid w:val="00EF06D9"/>
    <w:rsid w:val="00EF2425"/>
    <w:rsid w:val="00F02949"/>
    <w:rsid w:val="00F030CA"/>
    <w:rsid w:val="00F116ED"/>
    <w:rsid w:val="00F17499"/>
    <w:rsid w:val="00F21CEC"/>
    <w:rsid w:val="00F2778F"/>
    <w:rsid w:val="00F30C64"/>
    <w:rsid w:val="00F32BA2"/>
    <w:rsid w:val="00F32CDB"/>
    <w:rsid w:val="00F356F0"/>
    <w:rsid w:val="00F429AF"/>
    <w:rsid w:val="00F51500"/>
    <w:rsid w:val="00F55B46"/>
    <w:rsid w:val="00F565FE"/>
    <w:rsid w:val="00F61926"/>
    <w:rsid w:val="00F62541"/>
    <w:rsid w:val="00F63A70"/>
    <w:rsid w:val="00F64DFE"/>
    <w:rsid w:val="00F67BD5"/>
    <w:rsid w:val="00F70C76"/>
    <w:rsid w:val="00F74E40"/>
    <w:rsid w:val="00F7534E"/>
    <w:rsid w:val="00F7790A"/>
    <w:rsid w:val="00F80297"/>
    <w:rsid w:val="00F839A6"/>
    <w:rsid w:val="00F858D9"/>
    <w:rsid w:val="00F930AE"/>
    <w:rsid w:val="00FA21D0"/>
    <w:rsid w:val="00FA5179"/>
    <w:rsid w:val="00FA5AF1"/>
    <w:rsid w:val="00FA5F5F"/>
    <w:rsid w:val="00FA7751"/>
    <w:rsid w:val="00FB730C"/>
    <w:rsid w:val="00FC2695"/>
    <w:rsid w:val="00FC2C0C"/>
    <w:rsid w:val="00FC3E03"/>
    <w:rsid w:val="00FC3FC1"/>
    <w:rsid w:val="00FC45D3"/>
    <w:rsid w:val="00FC63BA"/>
    <w:rsid w:val="00FD3EF1"/>
    <w:rsid w:val="00FD41C1"/>
    <w:rsid w:val="00FD6B78"/>
    <w:rsid w:val="00FD78E0"/>
    <w:rsid w:val="00FE42FF"/>
    <w:rsid w:val="00FE5556"/>
    <w:rsid w:val="00FF1391"/>
    <w:rsid w:val="22614DB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341A10FD-9E1C-4ECB-9F83-78DCB62B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PlaceholderText">
    <w:name w:val="Placeholder Text"/>
    <w:basedOn w:val="DefaultParagraphFont"/>
    <w:uiPriority w:val="99"/>
    <w:semiHidden/>
    <w:rsid w:val="00606C14"/>
    <w:rPr>
      <w:color w:val="808080"/>
    </w:rPr>
  </w:style>
  <w:style w:type="character" w:styleId="UnresolvedMention">
    <w:name w:val="Unresolved Mention"/>
    <w:basedOn w:val="DefaultParagraphFont"/>
    <w:uiPriority w:val="99"/>
    <w:semiHidden/>
    <w:unhideWhenUsed/>
    <w:rsid w:val="00970E05"/>
    <w:rPr>
      <w:color w:val="605E5C"/>
      <w:shd w:val="clear" w:color="auto" w:fill="E1DFDD"/>
    </w:rPr>
  </w:style>
  <w:style w:type="paragraph" w:styleId="Revision">
    <w:name w:val="Revision"/>
    <w:hidden/>
    <w:uiPriority w:val="99"/>
    <w:semiHidden/>
    <w:rsid w:val="008845A3"/>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3644</Words>
  <Characters>20777</Characters>
  <Application>Microsoft Office Word</Application>
  <DocSecurity>0</DocSecurity>
  <Lines>173</Lines>
  <Paragraphs>48</Paragraphs>
  <ScaleCrop>false</ScaleCrop>
  <Company>Dipartimento CMIC - Politecnico di Milano</Company>
  <LinksUpToDate>false</LinksUpToDate>
  <CharactersWithSpaces>24373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Federico Ustolin</cp:lastModifiedBy>
  <cp:revision>58</cp:revision>
  <cp:lastPrinted>2015-05-12T18:31:00Z</cp:lastPrinted>
  <dcterms:created xsi:type="dcterms:W3CDTF">2022-01-14T14:24:00Z</dcterms:created>
  <dcterms:modified xsi:type="dcterms:W3CDTF">2022-03-07T12:53:00Z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