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C607E2" w:rsidRDefault="00300E56" w:rsidP="00B57E6F">
            <w:pPr>
              <w:ind w:left="-107"/>
              <w:outlineLvl w:val="2"/>
              <w:rPr>
                <w:rFonts w:ascii="Tahoma" w:hAnsi="Tahoma" w:cs="Tahoma"/>
                <w:bCs/>
                <w:color w:val="000000"/>
                <w:sz w:val="14"/>
                <w:szCs w:val="14"/>
                <w:lang w:val="it-IT" w:eastAsia="it-IT"/>
              </w:rPr>
            </w:pPr>
            <w:r w:rsidRPr="00C607E2">
              <w:rPr>
                <w:rFonts w:ascii="Tahoma" w:hAnsi="Tahoma" w:cs="Tahoma"/>
                <w:iCs/>
                <w:color w:val="333333"/>
                <w:sz w:val="14"/>
                <w:szCs w:val="14"/>
                <w:lang w:val="it-IT" w:eastAsia="it-IT"/>
              </w:rPr>
              <w:t>Guest Editors:</w:t>
            </w:r>
            <w:r w:rsidR="00904C62" w:rsidRPr="00C607E2">
              <w:rPr>
                <w:rFonts w:ascii="Tahoma" w:hAnsi="Tahoma" w:cs="Tahoma"/>
                <w:iCs/>
                <w:color w:val="333333"/>
                <w:sz w:val="14"/>
                <w:szCs w:val="14"/>
                <w:lang w:val="it-IT" w:eastAsia="it-IT"/>
              </w:rPr>
              <w:t xml:space="preserve"> </w:t>
            </w:r>
            <w:r w:rsidR="00B57E6F" w:rsidRPr="00C607E2">
              <w:rPr>
                <w:rFonts w:ascii="Tahoma" w:hAnsi="Tahoma" w:cs="Tahoma"/>
                <w:color w:val="000000"/>
                <w:sz w:val="14"/>
                <w:szCs w:val="14"/>
                <w:shd w:val="clear" w:color="auto" w:fill="FFFFFF"/>
                <w:lang w:val="it-IT"/>
              </w:rPr>
              <w:t xml:space="preserve">Valerio Cozzani, </w:t>
            </w:r>
            <w:r w:rsidR="001331DF" w:rsidRPr="00C607E2">
              <w:rPr>
                <w:rFonts w:ascii="Tahoma" w:hAnsi="Tahoma" w:cs="Tahoma"/>
                <w:color w:val="000000"/>
                <w:sz w:val="14"/>
                <w:szCs w:val="14"/>
                <w:shd w:val="clear" w:color="auto" w:fill="FFFFFF"/>
                <w:lang w:val="it-IT"/>
              </w:rPr>
              <w:t>Bruno Fabiano</w:t>
            </w:r>
            <w:r w:rsidR="00B57E6F" w:rsidRPr="00C607E2">
              <w:rPr>
                <w:rFonts w:ascii="Tahoma" w:hAnsi="Tahoma" w:cs="Tahoma"/>
                <w:color w:val="000000"/>
                <w:sz w:val="14"/>
                <w:szCs w:val="14"/>
                <w:shd w:val="clear" w:color="auto" w:fill="FFFFFF"/>
                <w:lang w:val="it-IT"/>
              </w:rPr>
              <w:t xml:space="preserve">, </w:t>
            </w:r>
            <w:r w:rsidR="00B57E6F" w:rsidRPr="00C607E2">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1FE8A0B" w14:textId="0C3C336C" w:rsidR="00A6054A" w:rsidRDefault="00A6054A" w:rsidP="00C607E2">
      <w:pPr>
        <w:pStyle w:val="CETAuthors"/>
        <w:rPr>
          <w:noProof w:val="0"/>
          <w:sz w:val="32"/>
        </w:rPr>
      </w:pPr>
      <w:r w:rsidRPr="00A6054A">
        <w:rPr>
          <w:noProof w:val="0"/>
          <w:sz w:val="32"/>
        </w:rPr>
        <w:t>A comparative inherent safety assessment of innovative CO</w:t>
      </w:r>
      <w:r w:rsidRPr="009D6B2F">
        <w:rPr>
          <w:noProof w:val="0"/>
          <w:sz w:val="32"/>
          <w:vertAlign w:val="subscript"/>
        </w:rPr>
        <w:t>2</w:t>
      </w:r>
      <w:r w:rsidRPr="00A6054A">
        <w:rPr>
          <w:noProof w:val="0"/>
          <w:sz w:val="32"/>
        </w:rPr>
        <w:t>-</w:t>
      </w:r>
      <w:r w:rsidR="00720E96">
        <w:rPr>
          <w:noProof w:val="0"/>
          <w:sz w:val="32"/>
        </w:rPr>
        <w:t>based production processes of Di</w:t>
      </w:r>
      <w:r w:rsidRPr="00A6054A">
        <w:rPr>
          <w:noProof w:val="0"/>
          <w:sz w:val="32"/>
        </w:rPr>
        <w:t>methyl ether and Methanol</w:t>
      </w:r>
    </w:p>
    <w:p w14:paraId="2D973BE1" w14:textId="6D028E5A" w:rsidR="00C607E2" w:rsidRPr="00A6054A" w:rsidRDefault="00C607E2" w:rsidP="00C607E2">
      <w:pPr>
        <w:pStyle w:val="CETAuthors"/>
        <w:rPr>
          <w:lang w:val="it-IT"/>
        </w:rPr>
      </w:pPr>
      <w:r w:rsidRPr="00A6054A">
        <w:rPr>
          <w:lang w:val="it-IT"/>
        </w:rPr>
        <w:t>Mariasole Cipolletta*, Valeria Casson Moreno, Valerio Cozzani</w:t>
      </w:r>
    </w:p>
    <w:tbl>
      <w:tblPr>
        <w:tblStyle w:val="TableGrid"/>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C607E2" w:rsidRPr="00A8179D" w14:paraId="0687DA13" w14:textId="77777777" w:rsidTr="009A057B">
        <w:tc>
          <w:tcPr>
            <w:tcW w:w="96" w:type="dxa"/>
          </w:tcPr>
          <w:p w14:paraId="1DE0F232" w14:textId="77777777" w:rsidR="00C607E2" w:rsidRPr="00A6054A" w:rsidRDefault="00C607E2" w:rsidP="009A057B">
            <w:pPr>
              <w:pStyle w:val="CETAddress"/>
              <w:rPr>
                <w:vertAlign w:val="superscript"/>
                <w:lang w:val="it-IT"/>
              </w:rPr>
            </w:pPr>
          </w:p>
        </w:tc>
        <w:tc>
          <w:tcPr>
            <w:tcW w:w="8738" w:type="dxa"/>
          </w:tcPr>
          <w:p w14:paraId="59B81844" w14:textId="77777777" w:rsidR="00C607E2" w:rsidRPr="00A8179D" w:rsidRDefault="00C607E2" w:rsidP="009A057B">
            <w:pPr>
              <w:pStyle w:val="CETAddress"/>
              <w:rPr>
                <w:lang w:val="it-IT"/>
              </w:rPr>
            </w:pPr>
            <w:r w:rsidRPr="00A8179D">
              <w:rPr>
                <w:lang w:val="it-IT"/>
              </w:rPr>
              <w:t xml:space="preserve">Alma Mater Studiorum - Università di Bologna, </w:t>
            </w:r>
            <w:r>
              <w:rPr>
                <w:lang w:val="it-IT"/>
              </w:rPr>
              <w:t>Department of Civil, Chemical, Environmental and Materials Engineering</w:t>
            </w:r>
            <w:r w:rsidRPr="00A8179D">
              <w:rPr>
                <w:lang w:val="it-IT"/>
              </w:rPr>
              <w:t xml:space="preserve">, via Terracini 28, 40131 Bologna, Italy </w:t>
            </w:r>
          </w:p>
        </w:tc>
      </w:tr>
      <w:tr w:rsidR="00C607E2" w:rsidRPr="00E26A24" w14:paraId="6EFBFFFB" w14:textId="77777777" w:rsidTr="009A057B">
        <w:trPr>
          <w:trHeight w:val="74"/>
        </w:trPr>
        <w:tc>
          <w:tcPr>
            <w:tcW w:w="96" w:type="dxa"/>
          </w:tcPr>
          <w:p w14:paraId="24C5B790" w14:textId="77777777" w:rsidR="00C607E2" w:rsidRPr="00A8179D" w:rsidRDefault="00C607E2" w:rsidP="009A057B">
            <w:pPr>
              <w:pStyle w:val="CETAddress"/>
              <w:rPr>
                <w:vertAlign w:val="superscript"/>
                <w:lang w:val="it-IT"/>
              </w:rPr>
            </w:pPr>
          </w:p>
        </w:tc>
        <w:tc>
          <w:tcPr>
            <w:tcW w:w="8738" w:type="dxa"/>
          </w:tcPr>
          <w:p w14:paraId="501FCCAE" w14:textId="77777777" w:rsidR="00C607E2" w:rsidRPr="00E26A24" w:rsidRDefault="00C607E2" w:rsidP="009A057B">
            <w:pPr>
              <w:pStyle w:val="CETAddress"/>
            </w:pPr>
            <w:r>
              <w:t>*</w:t>
            </w:r>
            <w:r w:rsidRPr="00276894">
              <w:t xml:space="preserve">mariasole.cipolletta@unibo.it </w:t>
            </w:r>
          </w:p>
        </w:tc>
      </w:tr>
    </w:tbl>
    <w:p w14:paraId="5498390B" w14:textId="77777777" w:rsidR="00C607E2" w:rsidRDefault="00C607E2" w:rsidP="00600535">
      <w:pPr>
        <w:pStyle w:val="CETBodytext"/>
        <w:rPr>
          <w:lang w:val="en-GB"/>
        </w:rPr>
      </w:pPr>
    </w:p>
    <w:p w14:paraId="6FDB52F8" w14:textId="765916D1" w:rsidR="00A6054A" w:rsidRPr="00A6054A" w:rsidRDefault="00720E96" w:rsidP="00A6054A">
      <w:pPr>
        <w:pStyle w:val="CETBodytext"/>
        <w:tabs>
          <w:tab w:val="clear" w:pos="7100"/>
          <w:tab w:val="left" w:pos="3917"/>
        </w:tabs>
        <w:rPr>
          <w:lang w:val="en-GB"/>
        </w:rPr>
      </w:pPr>
      <w:r>
        <w:rPr>
          <w:lang w:val="en-GB"/>
        </w:rPr>
        <w:t>Di</w:t>
      </w:r>
      <w:r w:rsidR="00A6054A" w:rsidRPr="00A6054A">
        <w:rPr>
          <w:lang w:val="en-GB"/>
        </w:rPr>
        <w:t>methyl ether (DME) and methanol are proposed as synthetic fuels prone to substitute present fossil propellants in the energy transition framework</w:t>
      </w:r>
      <w:r w:rsidR="00EB343A">
        <w:rPr>
          <w:lang w:val="en-GB"/>
        </w:rPr>
        <w:t>.</w:t>
      </w:r>
      <w:r w:rsidR="00A6054A" w:rsidRPr="00A6054A">
        <w:rPr>
          <w:lang w:val="en-GB"/>
        </w:rPr>
        <w:t xml:space="preserve"> </w:t>
      </w:r>
    </w:p>
    <w:p w14:paraId="4C0AEB61" w14:textId="4934ADD6" w:rsidR="00A6054A" w:rsidRPr="00A6054A" w:rsidRDefault="00C51239" w:rsidP="00A6054A">
      <w:pPr>
        <w:pStyle w:val="CETBodytext"/>
        <w:tabs>
          <w:tab w:val="clear" w:pos="7100"/>
          <w:tab w:val="left" w:pos="3917"/>
        </w:tabs>
        <w:rPr>
          <w:lang w:val="en-GB"/>
        </w:rPr>
      </w:pPr>
      <w:r>
        <w:rPr>
          <w:lang w:val="en-GB"/>
        </w:rPr>
        <w:t>M</w:t>
      </w:r>
      <w:r w:rsidR="00A6054A" w:rsidRPr="00A6054A">
        <w:rPr>
          <w:lang w:val="en-GB"/>
        </w:rPr>
        <w:t xml:space="preserve">ethanol and DME are </w:t>
      </w:r>
      <w:r>
        <w:rPr>
          <w:lang w:val="en-GB"/>
        </w:rPr>
        <w:t xml:space="preserve">traditionally </w:t>
      </w:r>
      <w:r w:rsidR="00A6054A" w:rsidRPr="00A6054A">
        <w:rPr>
          <w:lang w:val="en-GB"/>
        </w:rPr>
        <w:t xml:space="preserve">synthesised starting from syngas </w:t>
      </w:r>
      <w:r>
        <w:rPr>
          <w:lang w:val="en-GB"/>
        </w:rPr>
        <w:t xml:space="preserve">but </w:t>
      </w:r>
      <w:r w:rsidR="00956949">
        <w:rPr>
          <w:lang w:val="en-GB"/>
        </w:rPr>
        <w:t>nowadays</w:t>
      </w:r>
      <w:r w:rsidR="00A6054A" w:rsidRPr="00A6054A">
        <w:rPr>
          <w:lang w:val="en-GB"/>
        </w:rPr>
        <w:t xml:space="preserve"> new production processes based on the efficient catalytic hydrogenation of CO</w:t>
      </w:r>
      <w:r w:rsidR="00A6054A" w:rsidRPr="00020F30">
        <w:rPr>
          <w:vertAlign w:val="subscript"/>
          <w:lang w:val="en-GB"/>
        </w:rPr>
        <w:t>2</w:t>
      </w:r>
      <w:r w:rsidR="00A6054A" w:rsidRPr="00A6054A">
        <w:rPr>
          <w:lang w:val="en-GB"/>
        </w:rPr>
        <w:t xml:space="preserve"> have been introduced. Multiple catalysts, reaction conditions and reactor configurations have been tested to enhance the production performance of both fuels, especially for the case of DME. In fact, DME can be produced indirectly from CO</w:t>
      </w:r>
      <w:r w:rsidR="00A6054A" w:rsidRPr="00020F30">
        <w:rPr>
          <w:vertAlign w:val="subscript"/>
          <w:lang w:val="en-GB"/>
        </w:rPr>
        <w:t>2</w:t>
      </w:r>
      <w:r w:rsidR="00B0247B" w:rsidRPr="009D6B2F">
        <w:rPr>
          <w:lang w:val="en-GB"/>
        </w:rPr>
        <w:t>,</w:t>
      </w:r>
      <w:r w:rsidR="00A6054A" w:rsidRPr="00A6054A">
        <w:rPr>
          <w:lang w:val="en-GB"/>
        </w:rPr>
        <w:t xml:space="preserve"> i.e. after methanol synthesis and purification. Alternatively, it can be synthesised in a one-pot conversion mode by means of bifunctional catalysts directly receiving CO</w:t>
      </w:r>
      <w:r w:rsidR="00A6054A" w:rsidRPr="00020F30">
        <w:rPr>
          <w:vertAlign w:val="subscript"/>
          <w:lang w:val="en-GB"/>
        </w:rPr>
        <w:t>2</w:t>
      </w:r>
      <w:r w:rsidR="00A6054A" w:rsidRPr="00A6054A">
        <w:rPr>
          <w:lang w:val="en-GB"/>
        </w:rPr>
        <w:t>. The latter route, avoiding several intermediate separation operations, appears promising from the process intensification viewpoint, thus favouring DME production with respect to methanol.</w:t>
      </w:r>
    </w:p>
    <w:p w14:paraId="212AFC9D" w14:textId="14CD72C7" w:rsidR="00C607E2" w:rsidRPr="00C607E2" w:rsidRDefault="00C51239" w:rsidP="00A6054A">
      <w:pPr>
        <w:pStyle w:val="CETBodytext"/>
        <w:tabs>
          <w:tab w:val="clear" w:pos="7100"/>
          <w:tab w:val="left" w:pos="3917"/>
        </w:tabs>
        <w:rPr>
          <w:highlight w:val="yellow"/>
          <w:lang w:val="en-GB"/>
        </w:rPr>
      </w:pPr>
      <w:r>
        <w:rPr>
          <w:lang w:val="en-GB"/>
        </w:rPr>
        <w:t>Since</w:t>
      </w:r>
      <w:r w:rsidR="00A6054A" w:rsidRPr="00A6054A">
        <w:rPr>
          <w:lang w:val="en-GB"/>
        </w:rPr>
        <w:t xml:space="preserve"> safety plays an important role </w:t>
      </w:r>
      <w:r>
        <w:rPr>
          <w:lang w:val="en-GB"/>
        </w:rPr>
        <w:t xml:space="preserve">from the standpoint of societal acceptability, it </w:t>
      </w:r>
      <w:r w:rsidR="00A6054A" w:rsidRPr="00A6054A">
        <w:rPr>
          <w:lang w:val="en-GB"/>
        </w:rPr>
        <w:t>needs to be considered in the selection of</w:t>
      </w:r>
      <w:r w:rsidR="004D797F">
        <w:rPr>
          <w:lang w:val="en-GB"/>
        </w:rPr>
        <w:t xml:space="preserve"> sustai</w:t>
      </w:r>
      <w:r w:rsidR="00956949">
        <w:rPr>
          <w:lang w:val="en-GB"/>
        </w:rPr>
        <w:t>n</w:t>
      </w:r>
      <w:r w:rsidR="004D797F">
        <w:rPr>
          <w:lang w:val="en-GB"/>
        </w:rPr>
        <w:t>a</w:t>
      </w:r>
      <w:r w:rsidR="00956949">
        <w:rPr>
          <w:lang w:val="en-GB"/>
        </w:rPr>
        <w:t>ble</w:t>
      </w:r>
      <w:r w:rsidR="00A6054A" w:rsidRPr="00A6054A">
        <w:rPr>
          <w:lang w:val="en-GB"/>
        </w:rPr>
        <w:t xml:space="preserve"> alternatives</w:t>
      </w:r>
      <w:r w:rsidR="00A92F1D">
        <w:rPr>
          <w:lang w:val="en-GB"/>
        </w:rPr>
        <w:t xml:space="preserve">, especially </w:t>
      </w:r>
      <w:r w:rsidR="00005A83">
        <w:rPr>
          <w:lang w:val="en-GB"/>
        </w:rPr>
        <w:t xml:space="preserve">when </w:t>
      </w:r>
      <w:r w:rsidR="00DC1DE1">
        <w:rPr>
          <w:lang w:val="en-GB"/>
        </w:rPr>
        <w:t>dealing with</w:t>
      </w:r>
      <w:r w:rsidR="00005A83">
        <w:rPr>
          <w:lang w:val="en-GB"/>
        </w:rPr>
        <w:t xml:space="preserve"> </w:t>
      </w:r>
      <w:r w:rsidR="00A92F1D">
        <w:rPr>
          <w:lang w:val="en-GB"/>
        </w:rPr>
        <w:t>novel process</w:t>
      </w:r>
      <w:r w:rsidR="00005A83">
        <w:rPr>
          <w:lang w:val="en-GB"/>
        </w:rPr>
        <w:t>es</w:t>
      </w:r>
      <w:r w:rsidR="00A92F1D">
        <w:rPr>
          <w:lang w:val="en-GB"/>
        </w:rPr>
        <w:t xml:space="preserve"> in the context of energy transition</w:t>
      </w:r>
      <w:r w:rsidR="00A6054A" w:rsidRPr="00A6054A">
        <w:rPr>
          <w:lang w:val="en-GB"/>
        </w:rPr>
        <w:t xml:space="preserve">. This contribution aims to address an inherent safety assessment </w:t>
      </w:r>
      <w:r w:rsidR="00507DD4">
        <w:rPr>
          <w:lang w:val="en-GB"/>
        </w:rPr>
        <w:t>for</w:t>
      </w:r>
      <w:r w:rsidR="00507DD4" w:rsidRPr="00A6054A">
        <w:rPr>
          <w:lang w:val="en-GB"/>
        </w:rPr>
        <w:t xml:space="preserve"> </w:t>
      </w:r>
      <w:r w:rsidR="00A6054A" w:rsidRPr="00A6054A">
        <w:rPr>
          <w:lang w:val="en-GB"/>
        </w:rPr>
        <w:t xml:space="preserve">the </w:t>
      </w:r>
      <w:r w:rsidR="00A92F1D">
        <w:rPr>
          <w:lang w:val="en-GB"/>
        </w:rPr>
        <w:t xml:space="preserve">comparison of </w:t>
      </w:r>
      <w:r w:rsidR="00507DD4">
        <w:rPr>
          <w:lang w:val="en-GB"/>
        </w:rPr>
        <w:t xml:space="preserve">the production </w:t>
      </w:r>
      <w:r w:rsidR="00A6054A" w:rsidRPr="00A6054A">
        <w:rPr>
          <w:lang w:val="en-GB"/>
        </w:rPr>
        <w:t xml:space="preserve">processes </w:t>
      </w:r>
      <w:r w:rsidR="00507DD4">
        <w:rPr>
          <w:lang w:val="en-GB"/>
        </w:rPr>
        <w:t>of</w:t>
      </w:r>
      <w:r w:rsidR="00507DD4" w:rsidRPr="00A6054A">
        <w:rPr>
          <w:lang w:val="en-GB"/>
        </w:rPr>
        <w:t xml:space="preserve"> </w:t>
      </w:r>
      <w:r w:rsidR="00A6054A" w:rsidRPr="00A6054A">
        <w:rPr>
          <w:lang w:val="en-GB"/>
        </w:rPr>
        <w:t>methanol and DME production via CO</w:t>
      </w:r>
      <w:r w:rsidR="00A6054A" w:rsidRPr="00020F30">
        <w:rPr>
          <w:vertAlign w:val="subscript"/>
          <w:lang w:val="en-GB"/>
        </w:rPr>
        <w:t>2</w:t>
      </w:r>
      <w:r w:rsidR="00A6054A" w:rsidRPr="00A6054A">
        <w:rPr>
          <w:lang w:val="en-GB"/>
        </w:rPr>
        <w:t xml:space="preserve"> hydrogenation. Inherent safety is evaluated through a consequence-based approach </w:t>
      </w:r>
      <w:r w:rsidR="00B0247B">
        <w:rPr>
          <w:lang w:val="en-GB"/>
        </w:rPr>
        <w:t>using</w:t>
      </w:r>
      <w:r w:rsidR="00B0247B" w:rsidRPr="00A6054A">
        <w:rPr>
          <w:lang w:val="en-GB"/>
        </w:rPr>
        <w:t xml:space="preserve"> </w:t>
      </w:r>
      <w:r w:rsidR="00A6054A" w:rsidRPr="00A6054A">
        <w:rPr>
          <w:lang w:val="en-GB"/>
        </w:rPr>
        <w:t>specific Inherent Safety Key Performance Indicators, which proved to be effective in several applications to early process design. The results obtained shed light on the inherent safety performance of these alternative routes, thus helping decision-makers in accounting for process safety issues</w:t>
      </w:r>
      <w:r w:rsidR="00B0247B">
        <w:rPr>
          <w:lang w:val="en-GB"/>
        </w:rPr>
        <w:t xml:space="preserve"> </w:t>
      </w:r>
      <w:r w:rsidR="00A6054A" w:rsidRPr="00A6054A">
        <w:rPr>
          <w:lang w:val="en-GB"/>
        </w:rPr>
        <w:t xml:space="preserve">in the assessment of the sustainability of these alternative energy vectors </w:t>
      </w:r>
      <w:r w:rsidR="00507DD4">
        <w:rPr>
          <w:lang w:val="en-GB"/>
        </w:rPr>
        <w:t xml:space="preserve">for </w:t>
      </w:r>
      <w:r w:rsidR="00507DD4" w:rsidRPr="00A6054A">
        <w:t xml:space="preserve">Power to Liquid </w:t>
      </w:r>
      <w:r w:rsidR="00507DD4">
        <w:t xml:space="preserve">(PtL) applications </w:t>
      </w:r>
      <w:r w:rsidR="00A6054A" w:rsidRPr="00A6054A">
        <w:rPr>
          <w:lang w:val="en-GB"/>
        </w:rPr>
        <w:t>and in the selection of the best technological alternative.</w:t>
      </w:r>
      <w:r w:rsidR="00C607E2" w:rsidRPr="00A6054A">
        <w:rPr>
          <w:lang w:val="en-GB"/>
        </w:rPr>
        <w:tab/>
      </w:r>
    </w:p>
    <w:p w14:paraId="0929D87F" w14:textId="77777777" w:rsidR="00C607E2" w:rsidRPr="00677553" w:rsidRDefault="00C607E2" w:rsidP="00C607E2">
      <w:pPr>
        <w:pStyle w:val="CETHeading1"/>
        <w:rPr>
          <w:lang w:val="en-GB"/>
        </w:rPr>
      </w:pPr>
      <w:r w:rsidRPr="00677553">
        <w:rPr>
          <w:lang w:val="en-GB"/>
        </w:rPr>
        <w:t>Introduction</w:t>
      </w:r>
    </w:p>
    <w:p w14:paraId="6F008593" w14:textId="6EBA7349" w:rsidR="00E839FD" w:rsidRDefault="00736240" w:rsidP="00E839FD">
      <w:pPr>
        <w:pStyle w:val="ListParagraph"/>
        <w:ind w:left="0"/>
      </w:pPr>
      <w:r w:rsidRPr="00FE2578">
        <w:t>Methanol and DME are alternative fuels gaining increasing interest as energy vectors in the framework of energy transition</w:t>
      </w:r>
      <w:r w:rsidR="00EB343A" w:rsidRPr="00FE2578">
        <w:t xml:space="preserve"> </w:t>
      </w:r>
      <w:r w:rsidR="00EB343A" w:rsidRPr="00FE2578">
        <w:t xml:space="preserve">as they can be obtained </w:t>
      </w:r>
      <w:r w:rsidR="00B11F60">
        <w:t>from</w:t>
      </w:r>
      <w:r w:rsidR="00EB343A" w:rsidRPr="00FE2578">
        <w:t xml:space="preserve"> </w:t>
      </w:r>
      <w:r w:rsidR="00892341" w:rsidRPr="00FE2578">
        <w:t xml:space="preserve">PtL </w:t>
      </w:r>
      <w:r w:rsidR="00EB343A" w:rsidRPr="00FE2578">
        <w:t>processes.</w:t>
      </w:r>
      <w:r w:rsidR="00DF3E2A" w:rsidRPr="00FE2578">
        <w:t xml:space="preserve"> </w:t>
      </w:r>
      <w:r w:rsidR="00E839FD">
        <w:t>They</w:t>
      </w:r>
      <w:r w:rsidR="00E839FD">
        <w:t xml:space="preserve"> </w:t>
      </w:r>
      <w:r w:rsidR="00E839FD">
        <w:t xml:space="preserve">may find application also in transportation, </w:t>
      </w:r>
      <w:r w:rsidR="00E839FD" w:rsidRPr="00A6054A">
        <w:t>considering the minor modifications that commercial engines need</w:t>
      </w:r>
      <w:r w:rsidR="00E839FD">
        <w:t xml:space="preserve"> to undergo for their safe use, as well as in daily applications, as substitutes of natural gas or LPG for cooking </w:t>
      </w:r>
      <w:r w:rsidR="00E839FD">
        <w:fldChar w:fldCharType="begin" w:fldLock="1"/>
      </w:r>
      <w:r w:rsidR="00E839FD">
        <w:instrText>ADDIN CSL_CITATION {"citationItems":[{"id":"ITEM-1","itemData":{"DOI":"10.1016/S0973-0826(08)60467-6","ISSN":"09730826","abstract":"Several fuel types have been used for cooking throughout the world, ranging from solid fuels to liquid to gas. Gaseous fuels are considered cleaner because of their inherent characteristics of low pollutant formation and emissions during handling and use. Nevertheless, from the viewpoint of sustainable development, other safety properties are important, such as flammability limits, auto-ignition temperature, specific gravity, vapour pressure, toxicity and flash point. This paper discusses several aspects of cooking fuel safety, considering traditional clean fuels such as LPG, natural gas and kerosene, and non-traditional and/or renewable fuels such as DME, producer gases, biosyngas, ethanol and ethanol-gel. The main aspects are related to transport and distribution system, product poisoning, equipment and use. Gaseous fuels are the preferred solution to replace unhealthy traditional fuels. As renewable options are still under development, LPG is often considered the short-term solution to deliver modern energy on a global scale for cooking applications. © 2004 International Energy Initiative, Inc.","author":[{"dropping-particle":"","family":"Bizzo","given":"Waldir A.","non-dropping-particle":"","parse-names":false,"suffix":""},{"dropping-particle":"","family":"Calan","given":"Bruno","non-dropping-particle":"de","parse-names":false,"suffix":""},{"dropping-particle":"","family":"Myers","given":"Robert","non-dropping-particle":"","parse-names":false,"suffix":""},{"dropping-particle":"","family":"Hannecart","given":"Thierry","non-dropping-particle":"","parse-names":false,"suffix":""}],"container-title":"Energy for Sustainable Development","id":"ITEM-1","issue":"3","issued":{"date-parts":[["2004"]]},"page":"60-67","publisher":"International Energy Initiative, Inc.","title":"Safety issues for clean liquid and gaseous fuels for cooking in the scope of sustainable development","type":"article-journal","volume":"8"},"uris":["http://www.mendeley.com/documents/?uuid=aa986a41-27c4-4b1f-b1e6-d9c58d9d816f"]}],"mendeley":{"formattedCitation":"(Bizzo et al., 2004)","plainTextFormattedCitation":"(Bizzo et al., 2004)","previouslyFormattedCitation":"(Bizzo et al., 2004)"},"properties":{"noteIndex":0},"schema":"https://github.com/citation-style-language/schema/raw/master/csl-citation.json"}</w:instrText>
      </w:r>
      <w:r w:rsidR="00E839FD">
        <w:fldChar w:fldCharType="separate"/>
      </w:r>
      <w:r w:rsidR="00E839FD" w:rsidRPr="00B62AAE">
        <w:rPr>
          <w:noProof/>
        </w:rPr>
        <w:t>(Bizzo et al., 2004)</w:t>
      </w:r>
      <w:r w:rsidR="00E839FD">
        <w:fldChar w:fldCharType="end"/>
      </w:r>
      <w:r w:rsidR="00E839FD">
        <w:t xml:space="preserve">. </w:t>
      </w:r>
    </w:p>
    <w:p w14:paraId="26E01B0C" w14:textId="3E34129A" w:rsidR="00DF58B0" w:rsidRDefault="00E839FD" w:rsidP="00677553">
      <w:pPr>
        <w:pStyle w:val="ListParagraph"/>
        <w:ind w:left="0"/>
      </w:pPr>
      <w:r>
        <w:t>Both these</w:t>
      </w:r>
      <w:r w:rsidR="00B11F60">
        <w:t xml:space="preserve"> substances</w:t>
      </w:r>
      <w:r w:rsidR="00005A83" w:rsidRPr="00FE2578">
        <w:t xml:space="preserve"> </w:t>
      </w:r>
      <w:r w:rsidR="00DF58B0" w:rsidRPr="00FE2578">
        <w:t xml:space="preserve">present </w:t>
      </w:r>
      <w:r w:rsidR="00005A83" w:rsidRPr="00FE2578">
        <w:t xml:space="preserve">several </w:t>
      </w:r>
      <w:r w:rsidR="00873703" w:rsidRPr="00FE2578">
        <w:t>advantages</w:t>
      </w:r>
      <w:r w:rsidR="00005A83" w:rsidRPr="00FE2578">
        <w:t xml:space="preserve"> when used as energy </w:t>
      </w:r>
      <w:r w:rsidR="00005A83" w:rsidRPr="0081794C">
        <w:t>vectors. H</w:t>
      </w:r>
      <w:r w:rsidR="00873703" w:rsidRPr="0081794C">
        <w:t>owever</w:t>
      </w:r>
      <w:r w:rsidR="00DF58B0" w:rsidRPr="0081794C">
        <w:t xml:space="preserve"> from the safety viewpoint, </w:t>
      </w:r>
      <w:r>
        <w:t>DME and methanol</w:t>
      </w:r>
      <w:r w:rsidR="00D41A90" w:rsidRPr="0081794C">
        <w:t xml:space="preserve"> </w:t>
      </w:r>
      <w:r w:rsidR="0081794C">
        <w:t>have</w:t>
      </w:r>
      <w:r w:rsidR="00D41A90" w:rsidRPr="0081794C">
        <w:t xml:space="preserve"> quite different hazard characteristics. The GHS classification reports DME to be extremely flammable (H220)</w:t>
      </w:r>
      <w:r w:rsidR="00110044" w:rsidRPr="0081794C">
        <w:t>,</w:t>
      </w:r>
      <w:r w:rsidR="00D41A90" w:rsidRPr="0081794C">
        <w:t xml:space="preserve"> dangerous </w:t>
      </w:r>
      <w:r w:rsidR="0081794C">
        <w:t>in its storages</w:t>
      </w:r>
      <w:r w:rsidR="00D41A90" w:rsidRPr="0081794C">
        <w:t xml:space="preserve"> under pressure (H280) </w:t>
      </w:r>
      <w:r w:rsidR="0081794C">
        <w:t>and worth of warning</w:t>
      </w:r>
      <w:r w:rsidR="00D41A90" w:rsidRPr="0081794C">
        <w:t xml:space="preserve"> </w:t>
      </w:r>
      <w:r w:rsidR="00110044" w:rsidRPr="0081794C">
        <w:t xml:space="preserve">(H336) </w:t>
      </w:r>
      <w:r w:rsidR="00D41A90" w:rsidRPr="0081794C">
        <w:t xml:space="preserve">regarding health hazards </w:t>
      </w:r>
      <w:r w:rsidR="00110044" w:rsidRPr="0081794C">
        <w:fldChar w:fldCharType="begin" w:fldLock="1"/>
      </w:r>
      <w:r w:rsidR="00110044" w:rsidRPr="0081794C">
        <w:instrText>ADDIN CSL_CITATION {"citationItems":[{"id":"ITEM-1","itemData":{"URL":"https://pubchem.ncbi.nlm.nih.gov/source/hsdb/354#section=Human-Toxicity-Excerpts-(Complete)","accessed":{"date-parts":[["2021","12","15"]]},"author":[{"dropping-particle":"","family":"PubChem","given":"","non-dropping-particle":"","parse-names":false,"suffix":""}],"container-title":"National Library of Medicine","id":"ITEM-1","issued":{"date-parts":[["2021"]]},"title":"Dimethyl ether","type":"webpage"},"uris":["http://www.mendeley.com/documents/?uuid=379c4e97-b478-40bd-a649-08b5e2043488"]}],"mendeley":{"formattedCitation":"(PubChem, 2021)","plainTextFormattedCitation":"(PubChem, 2021)","previouslyFormattedCitation":"(PubChem, 2021)"},"properties":{"noteIndex":0},"schema":"https://github.com/citation-style-language/schema/raw/master/csl-citation.json"}</w:instrText>
      </w:r>
      <w:r w:rsidR="00110044" w:rsidRPr="0081794C">
        <w:fldChar w:fldCharType="separate"/>
      </w:r>
      <w:r w:rsidR="00110044" w:rsidRPr="0081794C">
        <w:rPr>
          <w:noProof/>
        </w:rPr>
        <w:t>(PubChem, 2021)</w:t>
      </w:r>
      <w:r w:rsidR="00110044" w:rsidRPr="0081794C">
        <w:fldChar w:fldCharType="end"/>
      </w:r>
      <w:r w:rsidR="0081794C">
        <w:t>. O</w:t>
      </w:r>
      <w:r w:rsidR="00D41A90" w:rsidRPr="0081794C">
        <w:t xml:space="preserve">n the counterpart, </w:t>
      </w:r>
      <w:r w:rsidR="00DF58B0" w:rsidRPr="0081794C">
        <w:t>methanol</w:t>
      </w:r>
      <w:r w:rsidR="00D41A90" w:rsidRPr="0081794C">
        <w:t xml:space="preserve"> liquids and vapours are highly flammable (H225) </w:t>
      </w:r>
      <w:r w:rsidR="00D414F7" w:rsidRPr="0081794C">
        <w:t>and present</w:t>
      </w:r>
      <w:r w:rsidR="00110044" w:rsidRPr="0081794C">
        <w:t xml:space="preserve"> several danger statements concerning acute toxicity </w:t>
      </w:r>
      <w:r w:rsidR="0081794C" w:rsidRPr="0081794C">
        <w:t xml:space="preserve">and health hazards </w:t>
      </w:r>
      <w:r w:rsidR="00110044" w:rsidRPr="0081794C">
        <w:t>(H301, H311, H331, H370</w:t>
      </w:r>
      <w:r w:rsidR="00D414F7" w:rsidRPr="0081794C">
        <w:t>)</w:t>
      </w:r>
      <w:r w:rsidR="0081794C" w:rsidRPr="0081794C">
        <w:t xml:space="preserve"> </w:t>
      </w:r>
      <w:r w:rsidR="0081794C" w:rsidRPr="0081794C">
        <w:fldChar w:fldCharType="begin" w:fldLock="1"/>
      </w:r>
      <w:r w:rsidR="00B11F60">
        <w:instrText>ADDIN CSL_CITATION {"citationItems":[{"id":"ITEM-1","itemData":{"URL":"https://webwiser.nlm.nih.gov/substance?substanceId=19&amp;catId=242","accessed":{"date-parts":[["2022","2","22"]]},"author":[{"dropping-particle":"","family":"WebWISER","given":"","non-dropping-particle":"","parse-names":false,"suffix":""}],"container-title":"NIH - National Library of Medicine","id":"ITEM-1","issued":{"date-parts":[["2022"]]},"title":"Methanol","type":"webpage"},"uris":["http://www.mendeley.com/documents/?uuid=d4bcaffb-eabe-43a3-9ad1-7e730a4f27d5"]}],"mendeley":{"formattedCitation":"(WebWISER, 2022)","plainTextFormattedCitation":"(WebWISER, 2022)","previouslyFormattedCitation":"(NIH - National Library of Medicine, 2022)"},"properties":{"noteIndex":0},"schema":"https://github.com/citation-style-language/schema/raw/master/csl-citation.json"}</w:instrText>
      </w:r>
      <w:r w:rsidR="0081794C" w:rsidRPr="0081794C">
        <w:fldChar w:fldCharType="separate"/>
      </w:r>
      <w:r w:rsidR="00B11F60" w:rsidRPr="00B11F60">
        <w:rPr>
          <w:noProof/>
        </w:rPr>
        <w:t>(WebWISER, 2022)</w:t>
      </w:r>
      <w:r w:rsidR="0081794C" w:rsidRPr="0081794C">
        <w:fldChar w:fldCharType="end"/>
      </w:r>
      <w:r w:rsidR="00D414F7" w:rsidRPr="0081794C">
        <w:t xml:space="preserve">. </w:t>
      </w:r>
      <w:r>
        <w:t>Given these differences</w:t>
      </w:r>
      <w:r w:rsidR="00110044" w:rsidRPr="0081794C">
        <w:t xml:space="preserve">, the risk implications deriving from </w:t>
      </w:r>
      <w:r>
        <w:t>DME and methanol</w:t>
      </w:r>
      <w:r w:rsidR="00110044" w:rsidRPr="0081794C">
        <w:t xml:space="preserve"> presence in chemical processes are non-obvious and </w:t>
      </w:r>
      <w:r>
        <w:t>always need detailed</w:t>
      </w:r>
      <w:r w:rsidR="00110044" w:rsidRPr="0081794C">
        <w:t xml:space="preserve"> investigation</w:t>
      </w:r>
      <w:r>
        <w:t>.</w:t>
      </w:r>
      <w:r w:rsidR="00110044" w:rsidRPr="0081794C">
        <w:t xml:space="preserve"> </w:t>
      </w:r>
    </w:p>
    <w:p w14:paraId="4DEB189A" w14:textId="5B2C94B0" w:rsidR="00677553" w:rsidRPr="00677553" w:rsidRDefault="00736240" w:rsidP="00677553">
      <w:pPr>
        <w:pStyle w:val="ListParagraph"/>
        <w:ind w:left="0"/>
      </w:pPr>
      <w:r>
        <w:t>Traditionally, they are obtained from syngas according to well-known technologies as the MegaMethanol® and MegaDME® Lurgi processes</w:t>
      </w:r>
      <w:r w:rsidR="00C51239">
        <w:t xml:space="preserve"> </w:t>
      </w:r>
      <w:r w:rsidR="00C51239" w:rsidRPr="00A6054A">
        <w:t xml:space="preserve">which </w:t>
      </w:r>
      <w:r w:rsidR="00C51239">
        <w:t>are based</w:t>
      </w:r>
      <w:r w:rsidR="00C51239" w:rsidRPr="00A6054A">
        <w:t xml:space="preserve"> </w:t>
      </w:r>
      <w:r w:rsidR="00C51239">
        <w:t>on</w:t>
      </w:r>
      <w:r w:rsidR="00C51239" w:rsidRPr="00A6054A">
        <w:t xml:space="preserve"> methan</w:t>
      </w:r>
      <w:r w:rsidR="00C51239">
        <w:t>e or petroleum-derived fuels</w:t>
      </w:r>
      <w:r w:rsidR="00005A83">
        <w:t xml:space="preserve">. However, the potential implementation of alternative processes based on direct synthesis from </w:t>
      </w:r>
      <w:r w:rsidR="00A92F1D">
        <w:t>CO</w:t>
      </w:r>
      <w:r w:rsidR="00A92F1D" w:rsidRPr="00005A83">
        <w:rPr>
          <w:vertAlign w:val="subscript"/>
        </w:rPr>
        <w:t>2</w:t>
      </w:r>
      <w:r w:rsidR="00A92F1D">
        <w:t xml:space="preserve"> </w:t>
      </w:r>
      <w:r w:rsidR="00DC1DE1">
        <w:t>has been</w:t>
      </w:r>
      <w:r w:rsidR="00005A83">
        <w:t xml:space="preserve"> reported in the literature </w:t>
      </w:r>
      <w:r w:rsidR="00DC1DE1">
        <w:t>for</w:t>
      </w:r>
      <w:bookmarkStart w:id="0" w:name="_GoBack"/>
      <w:bookmarkEnd w:id="0"/>
      <w:r w:rsidR="00005A83">
        <w:t xml:space="preserve"> several years</w:t>
      </w:r>
      <w:r>
        <w:t xml:space="preserve"> </w:t>
      </w:r>
      <w:r>
        <w:fldChar w:fldCharType="begin" w:fldLock="1"/>
      </w:r>
      <w:r w:rsidR="00B62AAE">
        <w:instrText>ADDIN CSL_CITATION {"citationItems":[{"id":"ITEM-1","itemData":{"DOI":"10.1016/j.cattod.2011.04.049","ISSN":"09205861","abstract":"The conversion of CO2 with H2 to methanol (MeOH) over a commercial Cu/ZnO catalyst (Süd-Chemie, Germany) was studied under process conditions. The obtained results showed a good stability of the catalytic system and a large potential for a CO2 emission reduction with simultaneous production of MeOH or dimethyl ether (DME) as bulk chemicals or alternative fuels. If H2 is obtained from renewable or CO 2-neutral sources (e.g. biomass, solar, wind or nuclear energy), respectively, a potentially CO2-neutral cycle is possible. Compared to the conventional synthesis gas based technologies like the Lurgi MegaMethanol® process, the CO2-based process shows lower productivities. However, since the overall reaction is less exothermic, lower temperature peaks and lower byproduct contents are found at similar process conditions. The higher purity is beneficial for further chemical conversions, like the DME synthesis. In the Lurgi MegaDME® technology, DME is produced efficiently in terms of costs and energy demand and can be used as alternative fuel for diesel engines. The MegaDME technology, based on the Lurgi MegaMethanol® process, allows overall capacities of up to 1.5 Mio t a-1 DME in a single process train from syngas generation via Methanol synthesis, to DME synthesis and product purification without parallelized equipment. © 2011 Elsevier B.V. All rights reserved.","author":[{"dropping-particle":"","family":"Pontzen","given":"Florian","non-dropping-particle":"","parse-names":false,"suffix":""},{"dropping-particle":"","family":"Liebner","given":"Waldemar","non-dropping-particle":"","parse-names":false,"suffix":""},{"dropping-particle":"","family":"Gronemann","given":"Veronika","non-dropping-particle":"","parse-names":false,"suffix":""},{"dropping-particle":"","family":"Rothaemel","given":"Martin","non-dropping-particle":"","parse-names":false,"suffix":""},{"dropping-particle":"","family":"Ahlers","given":"Bernd","non-dropping-particle":"","parse-names":false,"suffix":""}],"container-title":"Catalysis Today","id":"ITEM-1","issue":"1","issued":{"date-parts":[["2011"]]},"page":"242-250","title":"CO2-based methanol and DME - Efficient technologies for industrial scale production","type":"article-journal","volume":"171"},"uris":["http://www.mendeley.com/documents/?uuid=dd032e65-f3d6-4f97-99fc-de74603598f9"]}],"mendeley":{"formattedCitation":"(Pontzen et al., 2011)","plainTextFormattedCitation":"(Pontzen et al., 2011)","previouslyFormattedCitation":"(Pontzen et al., 2011)"},"properties":{"noteIndex":0},"schema":"https://github.com/citation-style-language/schema/raw/master/csl-citation.json"}</w:instrText>
      </w:r>
      <w:r>
        <w:fldChar w:fldCharType="separate"/>
      </w:r>
      <w:r w:rsidR="00B62AAE" w:rsidRPr="00B62AAE">
        <w:rPr>
          <w:noProof/>
        </w:rPr>
        <w:t>(Pontzen et al., 2011)</w:t>
      </w:r>
      <w:r>
        <w:fldChar w:fldCharType="end"/>
      </w:r>
      <w:r>
        <w:t xml:space="preserve">. </w:t>
      </w:r>
      <w:r w:rsidR="003029A0">
        <w:t>In fact, a</w:t>
      </w:r>
      <w:r>
        <w:t xml:space="preserve">bandoning fossil fuels as raw materials </w:t>
      </w:r>
      <w:r w:rsidR="009625E1">
        <w:t>and energy sources</w:t>
      </w:r>
      <w:r>
        <w:t xml:space="preserve"> </w:t>
      </w:r>
      <w:r w:rsidR="00A81B27">
        <w:t>towards the</w:t>
      </w:r>
      <w:r>
        <w:t xml:space="preserve"> valori</w:t>
      </w:r>
      <w:r w:rsidR="00A81B27">
        <w:t>sation of</w:t>
      </w:r>
      <w:r>
        <w:t xml:space="preserve"> Renewable Energy Sources (RESs) </w:t>
      </w:r>
      <w:r w:rsidR="00A81B27">
        <w:t>is a</w:t>
      </w:r>
      <w:r w:rsidR="003029A0">
        <w:t xml:space="preserve"> </w:t>
      </w:r>
      <w:r w:rsidR="00C51239">
        <w:t>key factor entering</w:t>
      </w:r>
      <w:r w:rsidR="009625E1">
        <w:t xml:space="preserve"> any</w:t>
      </w:r>
      <w:r w:rsidR="00C51239">
        <w:t xml:space="preserve"> </w:t>
      </w:r>
      <w:r w:rsidR="009625E1">
        <w:t>anthropic activity, incl</w:t>
      </w:r>
      <w:r w:rsidR="003D0EFC">
        <w:t>uded the sector of novel fuels</w:t>
      </w:r>
      <w:r w:rsidR="00DF3E2A">
        <w:t xml:space="preserve"> </w:t>
      </w:r>
      <w:r w:rsidR="00DF3E2A">
        <w:fldChar w:fldCharType="begin" w:fldLock="1"/>
      </w:r>
      <w:r w:rsidR="00B62AAE">
        <w:instrText>ADDIN CSL_CITATION {"citationItems":[{"id":"ITEM-1","itemData":{"DOI":"10.1126/science.aam8328","ISSN":"10959203","abstract":"Many global change stresses on terrestrial and marine ecosystems affect not only ecosystem services that are essential to humankind, but also the trajectory of future climate by altering energy and mass exchanges with the atmosphere. Earth system models, which simulate terrestrial and marine ecosystems and biogeochemical cycles, offer a common framework for ecological research related to climate processes; analyses of vulnerability, impacts, and adaptation; and climate change mitigation. They provide an opportunity to move beyond physical descriptors of atmospheric and oceanic states to societally relevant quantities such as wildfire risk, habitat loss, water availability, and crop, fishery, and timber yields. To achieve this, the science of climate prediction must be extended to a more multifaceted Earth system prediction that includes the biosphere and its resources.","author":[{"dropping-particle":"","family":"Bonan","given":"Gordon B.","non-dropping-particle":"","parse-names":false,"suffix":""},{"dropping-particle":"","family":"Doney","given":"Scott C.","non-dropping-particle":"","parse-names":false,"suffix":""}],"container-title":"Science","id":"ITEM-1","issue":"6375","issued":{"date-parts":[["2018"]]},"title":"Climate, ecosystems, and planetary futures: The challenge to predict life in Earth system models","type":"article-journal","volume":"359"},"uris":["http://www.mendeley.com/documents/?uuid=5bb7ef0d-f6cb-4899-b79c-d69c78661232"]}],"mendeley":{"formattedCitation":"(Bonan and Doney, 2018)","plainTextFormattedCitation":"(Bonan and Doney, 2018)","previouslyFormattedCitation":"(Bonan and Doney, 2018)"},"properties":{"noteIndex":0},"schema":"https://github.com/citation-style-language/schema/raw/master/csl-citation.json"}</w:instrText>
      </w:r>
      <w:r w:rsidR="00DF3E2A">
        <w:fldChar w:fldCharType="separate"/>
      </w:r>
      <w:r w:rsidR="00B62AAE" w:rsidRPr="00B62AAE">
        <w:rPr>
          <w:noProof/>
        </w:rPr>
        <w:t>(Bonan and Doney, 2018)</w:t>
      </w:r>
      <w:r w:rsidR="00DF3E2A">
        <w:fldChar w:fldCharType="end"/>
      </w:r>
      <w:r w:rsidR="009625E1">
        <w:t>.</w:t>
      </w:r>
      <w:r>
        <w:t xml:space="preserve"> </w:t>
      </w:r>
      <w:r w:rsidR="009625E1">
        <w:t>Therefore, pathways for the production of Methanol and DME from CO</w:t>
      </w:r>
      <w:r w:rsidR="009625E1" w:rsidRPr="00A81B27">
        <w:rPr>
          <w:vertAlign w:val="subscript"/>
        </w:rPr>
        <w:t>2</w:t>
      </w:r>
      <w:r w:rsidR="009625E1">
        <w:t xml:space="preserve"> and </w:t>
      </w:r>
      <w:r w:rsidR="00720E96">
        <w:t xml:space="preserve">green </w:t>
      </w:r>
      <w:r w:rsidR="009625E1">
        <w:t>H</w:t>
      </w:r>
      <w:r w:rsidR="009625E1" w:rsidRPr="00A81B27">
        <w:rPr>
          <w:vertAlign w:val="subscript"/>
        </w:rPr>
        <w:t>2</w:t>
      </w:r>
      <w:r w:rsidR="009625E1">
        <w:t xml:space="preserve"> </w:t>
      </w:r>
      <w:r w:rsidR="003029A0">
        <w:t>have been</w:t>
      </w:r>
      <w:r w:rsidR="009625E1">
        <w:t xml:space="preserve"> under intensive investigation as a manner to avoid Greenhouse </w:t>
      </w:r>
      <w:r w:rsidR="009625E1">
        <w:lastRenderedPageBreak/>
        <w:t xml:space="preserve">Gases emissions by </w:t>
      </w:r>
      <w:r w:rsidR="00677553">
        <w:t>Carbon Capture and Utilisation (CCU)</w:t>
      </w:r>
      <w:r w:rsidR="00720E96">
        <w:t xml:space="preserve"> and</w:t>
      </w:r>
      <w:r w:rsidR="003D0EFC">
        <w:t xml:space="preserve"> to</w:t>
      </w:r>
      <w:r w:rsidR="00720E96">
        <w:t xml:space="preserve"> reduce environmental impacts, as demonstrated by</w:t>
      </w:r>
      <w:r w:rsidR="008846AA">
        <w:t xml:space="preserve"> </w:t>
      </w:r>
      <w:r w:rsidR="008846AA">
        <w:fldChar w:fldCharType="begin" w:fldLock="1"/>
      </w:r>
      <w:r w:rsidR="00B62AAE">
        <w:instrText>ADDIN CSL_CITATION {"citationItems":[{"id":"ITEM-1","itemData":{"DOI":"10.1016/j.jclepro.2016.08.163","ISSN":"09596526","abstract":"In this work we investigate two renewably based alternative fuels; methanol and dimethyl ether. The ultimate feedstocks for production are wind-based electrolytic hydrogen and carbon dioxide captured from an ethanol fermentation process. Dimethyl ether production was modeled in ASPEN Plus using a previously simulated methanol production facility. The facilities use 18.6 metric tons (mt) of H2 and 138.4 mt CO2 per day. Methanol is produced at a rate 96.7 mt/day (99.5 wt%) and dimethyl ether is produced at a rate of 68.5 mt/day (99.6 wt%). A full comparative life-cycle assessment (cradle-to-grave) of both fuels was conducted to investigate their feasibility and sustainability. Renewable methanol and dimethyl ether results were independently compared and this renewable process was also compared to conventional production routes. Results show that production of dimethyl ether impacts the environment more than methanol production. However the combustion of methanol fuel evens out many of the emissions metrics compared to dimethyl ether. The largest environmental impact was found to be related to the fuel production stage for both fuels. Both biofuels were shown to be comparable to biomass-based gasification fuel production routes. Methanol and dimethyl ether from CO2 hydrogenation were shown outperform conventional petroleum based fuels, reducing greenhouse gas emissions 82–86%, minimizing other criteria pollutants (SOx, NOx, etc.) and reducing fossil fuel depletion by 82–91%. The inclusion of environmental impacts in feasibility analyses is of great importance in order to improve sustainable living practices. The results found here highlight the favorable feasibility of renewably produced methanol and dimethyl ether as alternative fuels.","author":[{"dropping-particle":"","family":"Matzen","given":"Michael","non-dropping-particle":"","parse-names":false,"suffix":""},{"dropping-particle":"","family":"Demirel","given":"Yaşar","non-dropping-particle":"","parse-names":false,"suffix":""}],"container-title":"Journal of Cleaner Production","id":"ITEM-1","issued":{"date-parts":[["2016"]]},"title":"Methanol and dimethyl ether from renewable hydrogen and carbon dioxide: Alternative fuels production and life-cycle assessment","type":"article-journal","volume":"139"},"uris":["http://www.mendeley.com/documents/?uuid=b7c7adf7-f0e8-3947-8cfc-29459c6c83c1"]}],"mendeley":{"formattedCitation":"(Matzen and Demirel, 2016)","manualFormatting":"Matzen and Demirel (2016)","plainTextFormattedCitation":"(Matzen and Demirel, 2016)","previouslyFormattedCitation":"(Matzen and Demirel, 2016)"},"properties":{"noteIndex":0},"schema":"https://github.com/citation-style-language/schema/raw/master/csl-citation.json"}</w:instrText>
      </w:r>
      <w:r w:rsidR="008846AA">
        <w:fldChar w:fldCharType="separate"/>
      </w:r>
      <w:r w:rsidR="008846AA">
        <w:rPr>
          <w:noProof/>
        </w:rPr>
        <w:t>Matzen and Demirel (</w:t>
      </w:r>
      <w:r w:rsidR="008846AA" w:rsidRPr="008846AA">
        <w:rPr>
          <w:noProof/>
        </w:rPr>
        <w:t>2016)</w:t>
      </w:r>
      <w:r w:rsidR="008846AA">
        <w:fldChar w:fldCharType="end"/>
      </w:r>
      <w:r w:rsidR="00720E96">
        <w:t>. An explicative example of the concept is</w:t>
      </w:r>
      <w:r w:rsidR="003676A5">
        <w:t xml:space="preserve"> the system designed by </w:t>
      </w:r>
      <w:r w:rsidR="003676A5">
        <w:fldChar w:fldCharType="begin" w:fldLock="1"/>
      </w:r>
      <w:r w:rsidR="00B62AAE">
        <w:instrText>ADDIN CSL_CITATION {"citationItems":[{"id":"ITEM-1","itemData":{"DOI":"10.1016/j.solener.2019.08.010","ISSN":"0038092X","abstract":"A novel renewable energy based integrated system for dimethyl-ether (DME) production and electricity generation is proposed, analyzed thermodynamically and evaluated energetically and exergetically. The DME is produced in a unique way through carbon hydrogenation process to produce pure methanol, and then DME is synthesized from methanol through methanol dehydration process. The hydrogen required for the process is produced using solid oxide steam electrolyzer (SOSE) which is powered by the thermal energy provided by solar heliostat field to generate steam and generate electricity through a steam turbine. The carbon dioxide is captured from steel furnace exhaust gas using chemical absorption method. The present system is modeled and simulated using both Aspen plus process simulation software and Engineering Equation Solver (EES), and assessed according to energy and exergy performance evaluations. The overall system energy and exergy efficiencies are then found to be 28.75% and 32.54% respectively.","author":[{"dropping-particle":"","family":"DinAli","given":"Magd N.","non-dropping-particle":"","parse-names":false,"suffix":""},{"dropping-particle":"","family":"Dincer","given":"Ibrahim","non-dropping-particle":"","parse-names":false,"suffix":""}],"container-title":"Solar Energy","id":"ITEM-1","issue":"January","issued":{"date-parts":[["2019"]]},"page":"337-349","publisher":"Elsevier","title":"Performance assessment of a new solar energy based cogeneration system for dimethyl-ether and electricity production","type":"article-journal","volume":"190"},"uris":["http://www.mendeley.com/documents/?uuid=a532463f-26d5-47d1-abc2-45867b96ef82"]}],"mendeley":{"formattedCitation":"(DinAli and Dincer, 2019)","manualFormatting":"DinAli and Dincer (2019)","plainTextFormattedCitation":"(DinAli and Dincer, 2019)","previouslyFormattedCitation":"(DinAli and Dincer, 2019)"},"properties":{"noteIndex":0},"schema":"https://github.com/citation-style-language/schema/raw/master/csl-citation.json"}</w:instrText>
      </w:r>
      <w:r w:rsidR="003676A5">
        <w:fldChar w:fldCharType="separate"/>
      </w:r>
      <w:r w:rsidR="003676A5">
        <w:rPr>
          <w:noProof/>
        </w:rPr>
        <w:t>DinAli and Dincer</w:t>
      </w:r>
      <w:r w:rsidR="003676A5" w:rsidRPr="003676A5">
        <w:rPr>
          <w:noProof/>
        </w:rPr>
        <w:t xml:space="preserve"> </w:t>
      </w:r>
      <w:r w:rsidR="003676A5">
        <w:rPr>
          <w:noProof/>
        </w:rPr>
        <w:t>(</w:t>
      </w:r>
      <w:r w:rsidR="003676A5" w:rsidRPr="003676A5">
        <w:rPr>
          <w:noProof/>
        </w:rPr>
        <w:t>2019)</w:t>
      </w:r>
      <w:r w:rsidR="003676A5">
        <w:fldChar w:fldCharType="end"/>
      </w:r>
      <w:r w:rsidR="003676A5">
        <w:t xml:space="preserve"> where a solar cogeneration system is coup</w:t>
      </w:r>
      <w:r w:rsidR="00EB343A">
        <w:t xml:space="preserve">led with a DME production plant, with similar applications abounding in literature and searching for the sustainability convenience </w:t>
      </w:r>
      <w:r w:rsidR="00EB343A">
        <w:fldChar w:fldCharType="begin" w:fldLock="1"/>
      </w:r>
      <w:r w:rsidR="00B62AAE">
        <w:instrText>ADDIN CSL_CITATION {"citationItems":[{"id":"ITEM-1","itemData":{"DOI":"10.3303/CET2080060","ISBN":"9788895608785","ISSN":"22839216","abstract":"In the last decade, microalgae cultivation has become an attractive solution for biomass valorisation. From an industrial standpoint, one important aspect is the combination of the mixotrophic growth of microalgae with the biosynthesis of fatty acids, which represents a sustainable feedstock for the biodiesel chain. Nevertheless, the actual energy-effectiveness of the whole process is doubtful as the indispensable biomass recovery and drying steps are energy-intensive. To discuss this issue, this work presents a comparison between a 3rd generation biodiesel production plant and a methanol synthesis facility, powered by photovoltaic (PV) electricity from sunlight. The objective is to evaluate the energy efficiency of the two production processes (by means of KPIs) given the same solar incidence area. The two process designs assume the best available technologies for the operations involved, in terms of reaction conversions and separation performances to maximise the yield in the final product.","author":[{"dropping-particle":"","family":"Cipolletta","given":"Mariasole","non-dropping-particle":"","parse-names":false,"suffix":""},{"dropping-particle":"","family":"Moreno","given":"Valeria Casson","non-dropping-particle":"","parse-names":false,"suffix":""},{"dropping-particle":"","family":"Tugnoli","given":"Alessandro","non-dropping-particle":"","parse-names":false,"suffix":""},{"dropping-particle":"","family":"Cozzani","given":"Valerio","non-dropping-particle":"","parse-names":false,"suffix":""}],"container-title":"Chemical Engineering Transactions","id":"ITEM-1","issue":"April","issued":{"date-parts":[["2020"]]},"page":"355-360","title":"Comparing energy efficiency for emerging fuel production technologies: 3rd generation biodiesel vs methanol from solar power","type":"article-journal","volume":"80"},"uris":["http://www.mendeley.com/documents/?uuid=1051a3c9-9891-4b8c-8e3e-de452ef3fc86"]}],"mendeley":{"formattedCitation":"(Cipolletta et al., 2020b)","plainTextFormattedCitation":"(Cipolletta et al., 2020b)","previouslyFormattedCitation":"(Cipolletta et al., 2020b)"},"properties":{"noteIndex":0},"schema":"https://github.com/citation-style-language/schema/raw/master/csl-citation.json"}</w:instrText>
      </w:r>
      <w:r w:rsidR="00EB343A">
        <w:fldChar w:fldCharType="separate"/>
      </w:r>
      <w:r w:rsidR="00B62AAE" w:rsidRPr="00B62AAE">
        <w:rPr>
          <w:noProof/>
        </w:rPr>
        <w:t>(Cipolletta et al., 2020b)</w:t>
      </w:r>
      <w:r w:rsidR="00EB343A">
        <w:fldChar w:fldCharType="end"/>
      </w:r>
      <w:r w:rsidR="00EB343A">
        <w:t>.</w:t>
      </w:r>
    </w:p>
    <w:p w14:paraId="19C99794" w14:textId="05C1A274" w:rsidR="00140EA2" w:rsidRDefault="006D60E6" w:rsidP="00140EA2">
      <w:pPr>
        <w:pStyle w:val="CETBodytext"/>
      </w:pPr>
      <w:r>
        <w:t xml:space="preserve">DME </w:t>
      </w:r>
      <w:r w:rsidR="00BC33F3">
        <w:t>is typically obtained from methanol through dehydration on acidic catalytic sites,</w:t>
      </w:r>
      <w:r w:rsidR="00A81B27">
        <w:t xml:space="preserve"> generally</w:t>
      </w:r>
      <w:r w:rsidR="00BC33F3">
        <w:t xml:space="preserve"> provided by ferrierite </w:t>
      </w:r>
      <w:r>
        <w:t>zeolites</w:t>
      </w:r>
      <w:r w:rsidR="00BC33F3">
        <w:t xml:space="preserve"> </w:t>
      </w:r>
      <w:r w:rsidR="00BC33F3">
        <w:fldChar w:fldCharType="begin" w:fldLock="1"/>
      </w:r>
      <w:r w:rsidR="00B62AAE">
        <w:instrText>ADDIN CSL_CITATION {"citationItems":[{"id":"ITEM-1","itemData":{"DOI":"10.1016/j.jes.2020.02.015","ISSN":"18787320","PMID":"32430113","abstract":"Direct synthesis of dimethyl ether (DME) by CO2 hydrogenation has been investigated over three hybrid catalysts prepared by different methods: co-precipitation, sol-gel, and solid grinding to produce mixed Cu, ZnO, ZrO2 catalysts that were physically mixed with a commercial ferrierite (FER) zeolite. The catalysts were characterized by N2 physisorption, X-ray diffraction (XRD), transmission electron microscopy (TEM), X-ray photoelectron spectroscopy (XPS), temperature programmed desorption of CO2 (CO2-TPD), temperature programmed desorption of NH3 (NH3-TPD), and temperature programmed H2 reduction (H2-TPR). The results demonstrate that smaller CuO and Cu crystallite sizes resulting in better dispersion of the active phases, higher surface area, and lower reduction temperature are all favorable for catalytic activity. The reaction mechanism has been studied using in situ diffuse reflectance infrared Fourier transform spectroscopy (DRIFTS). Methanol appears to be formed via the bidentate-formate (b-HCOO) species undergoing stepwise hydrogenation, while DME formation occurs from methanol dehydration and reaction of two surface methoxy groups.","author":[{"dropping-particle":"","family":"Sheng","given":"Qingtao","non-dropping-particle":"","parse-names":false,"suffix":""},{"dropping-particle":"","family":"Ye","given":"Run Ping","non-dropping-particle":"","parse-names":false,"suffix":""},{"dropping-particle":"","family":"Gong","given":"Weibo","non-dropping-particle":"","parse-names":false,"suffix":""},{"dropping-particle":"","family":"Shi","given":"Xiufeng","non-dropping-particle":"","parse-names":false,"suffix":""},{"dropping-particle":"","family":"Xu","given":"Bang","non-dropping-particle":"","parse-names":false,"suffix":""},{"dropping-particle":"","family":"Argyle","given":"Morris","non-dropping-particle":"","parse-names":false,"suffix":""},{"dropping-particle":"","family":"Adidharma","given":"Hertanto","non-dropping-particle":"","parse-names":false,"suffix":""},{"dropping-particle":"","family":"Fan","given":"Maohong","non-dropping-particle":"","parse-names":false,"suffix":""}],"container-title":"Journal of Environmental Sciences (China)","id":"ITEM-1","issued":{"date-parts":[["2020"]]},"page":"106-117","publisher":"Elsevier B.V.","title":"Mechanism and catalytic performance for direct dimethyl ether synthesis by CO2 hydrogenation over CuZnZr/ferrierite hybrid catalyst","type":"article-journal","volume":"92"},"uris":["http://www.mendeley.com/documents/?uuid=a507c10f-88fd-4bb4-a90c-b5b1d9eb5e2c"]}],"mendeley":{"formattedCitation":"(Sheng et al., 2020)","plainTextFormattedCitation":"(Sheng et al., 2020)","previouslyFormattedCitation":"(Sheng et al., 2020)"},"properties":{"noteIndex":0},"schema":"https://github.com/citation-style-language/schema/raw/master/csl-citation.json"}</w:instrText>
      </w:r>
      <w:r w:rsidR="00BC33F3">
        <w:fldChar w:fldCharType="separate"/>
      </w:r>
      <w:r w:rsidR="009A057B" w:rsidRPr="009A057B">
        <w:rPr>
          <w:noProof/>
        </w:rPr>
        <w:t>(Sheng et al., 2020)</w:t>
      </w:r>
      <w:r w:rsidR="00BC33F3">
        <w:fldChar w:fldCharType="end"/>
      </w:r>
      <w:r w:rsidR="005233DC">
        <w:t xml:space="preserve">. </w:t>
      </w:r>
      <w:r w:rsidR="00BC33F3">
        <w:t>Lately, DME one-</w:t>
      </w:r>
      <w:r w:rsidR="00E17220">
        <w:t>step</w:t>
      </w:r>
      <w:r w:rsidR="00BC33F3">
        <w:t xml:space="preserve"> production from CO</w:t>
      </w:r>
      <w:r w:rsidR="00BC33F3" w:rsidRPr="00A81B27">
        <w:rPr>
          <w:vertAlign w:val="subscript"/>
        </w:rPr>
        <w:t>2</w:t>
      </w:r>
      <w:r w:rsidR="00BC33F3">
        <w:t xml:space="preserve"> and H</w:t>
      </w:r>
      <w:r w:rsidR="00BC33F3" w:rsidRPr="00A81B27">
        <w:rPr>
          <w:vertAlign w:val="subscript"/>
        </w:rPr>
        <w:t>2</w:t>
      </w:r>
      <w:r w:rsidR="00BC33F3">
        <w:t xml:space="preserve"> is receiving increasing attention as a </w:t>
      </w:r>
      <w:r w:rsidR="00294C02">
        <w:t xml:space="preserve">direct </w:t>
      </w:r>
      <w:r w:rsidR="00BC33F3">
        <w:t xml:space="preserve">pathway </w:t>
      </w:r>
      <w:r w:rsidR="00294C02">
        <w:t>intensifying</w:t>
      </w:r>
      <w:r w:rsidR="00BC33F3">
        <w:t xml:space="preserve"> the production process</w:t>
      </w:r>
      <w:r w:rsidR="00294C02">
        <w:t xml:space="preserve">, as </w:t>
      </w:r>
      <w:r w:rsidR="00294C02">
        <w:fldChar w:fldCharType="begin" w:fldLock="1"/>
      </w:r>
      <w:r w:rsidR="00B62AAE">
        <w:instrText>ADDIN CSL_CITATION {"citationItems":[{"id":"ITEM-1","itemData":{"DOI":"10.1155/2020/9716417","ISSN":"16878078","abstract":"Increase in the world energy demand also increases the concentration of CO2 in the atmosphere, which contributes to global warming and ocean acidification. This study proposed the simulation process to utilize CO2 released from the acid gas removal unit in one of gas processing plants in Indonesia to enhance the production of dimethyl ether (DME) through unreacted gas recycle that can be beneficial in reducing CO2 emission to the atmosphere. Simulation was developed in Unisim R390.1 using Peng-Robinson-Stryjek-Vera (PRSV) as a fluid package. Simulation was validated by several studies conducted by many researchers and giving satisfactory results especially in terms of productivity, conversion, and selectivity as a function of reactor temperatures in the indirect and the direct DME synthesis processes. Simulation results show that the DME production was enhanced by around 49.6% and 65.1% for indirect and direct processes, respectively, at a recycling rate of 7 MMSCFD. Compressor is required to increase the unreacted gas pressure to the desired pressure in the methanol reactor or dual methanol-DME reactor in both processes. Specific power consumption (SPC) was used as a tested parameter for the effectiveness of recycling unreacted gas. Based on the simulation, the direct DME synthesis process is superior over the indirect process in terms of DME and methanol productions, SPCs, and system energy efficiencies.","author":[{"dropping-particle":"","family":"Kartohardjono","given":"Sutrasno","non-dropping-particle":"","parse-names":false,"suffix":""},{"dropping-particle":"","family":"Adji","given":"Bayu Sari","non-dropping-particle":"","parse-names":false,"suffix":""},{"dropping-particle":"","family":"Muharam","given":"Yuswan","non-dropping-particle":"","parse-names":false,"suffix":""}],"container-title":"International Journal of Chemical Engineering","id":"ITEM-1","issued":{"date-parts":[["2020"]]},"page":"16-19","title":"CO2 Utilization Process Simulation for Enhancing Production of Dimethyl Ether (DME)","type":"article-journal","volume":"2020"},"uris":["http://www.mendeley.com/documents/?uuid=f2cff927-6597-4f86-aab4-c24cda66a87b"]}],"mendeley":{"formattedCitation":"(Kartohardjono et al., 2020)","manualFormatting":"Kartohardjono et al. (2020)","plainTextFormattedCitation":"(Kartohardjono et al., 2020)","previouslyFormattedCitation":"(Kartohardjono et al., 2020)"},"properties":{"noteIndex":0},"schema":"https://github.com/citation-style-language/schema/raw/master/csl-citation.json"}</w:instrText>
      </w:r>
      <w:r w:rsidR="00294C02">
        <w:fldChar w:fldCharType="separate"/>
      </w:r>
      <w:r w:rsidR="00294C02" w:rsidRPr="00294C02">
        <w:rPr>
          <w:noProof/>
        </w:rPr>
        <w:t>K</w:t>
      </w:r>
      <w:r w:rsidR="00B62AAE">
        <w:rPr>
          <w:noProof/>
        </w:rPr>
        <w:t>artohardjono et al.</w:t>
      </w:r>
      <w:r w:rsidR="00294C02">
        <w:rPr>
          <w:noProof/>
        </w:rPr>
        <w:t xml:space="preserve"> (</w:t>
      </w:r>
      <w:r w:rsidR="00294C02" w:rsidRPr="00294C02">
        <w:rPr>
          <w:noProof/>
        </w:rPr>
        <w:t>2020)</w:t>
      </w:r>
      <w:r w:rsidR="00294C02">
        <w:fldChar w:fldCharType="end"/>
      </w:r>
      <w:r w:rsidR="00294C02">
        <w:t xml:space="preserve"> report, highlighting the higher energy savings and improved performances with respect to the indirect alternative performing separately methanol synthesis and dehydration.</w:t>
      </w:r>
      <w:r w:rsidR="00140EA2">
        <w:t xml:space="preserve"> </w:t>
      </w:r>
      <w:r w:rsidR="00BC33F3" w:rsidRPr="00140EA2">
        <w:t xml:space="preserve">In this attempt, the main issue stays in the combination of </w:t>
      </w:r>
      <w:r w:rsidR="00B62AAE">
        <w:t xml:space="preserve">different </w:t>
      </w:r>
      <w:r w:rsidR="00BC33F3" w:rsidRPr="00140EA2">
        <w:t>catalysts for the synthesis of both methanol and DME, thus in the preparation of hybrid catalysts</w:t>
      </w:r>
      <w:r w:rsidR="00236935">
        <w:t xml:space="preserve"> </w:t>
      </w:r>
      <w:r w:rsidR="00236935">
        <w:fldChar w:fldCharType="begin" w:fldLock="1"/>
      </w:r>
      <w:r w:rsidR="00B62AAE">
        <w:instrText>ADDIN CSL_CITATION {"citationItems":[{"id":"ITEM-1","itemData":{"DOI":"10.3390/catal11040411","ISSN":"20734344","abstract":"Dimethyl ether (DME) is a versatile raw material and an interesting alternative fuel that can be produced by the catalytic direct hydrogenation of CO2 . Recently, this process has attracted the attention of the industry due to the environmental benefits of CO2 elimination from the atmosphere and its lower operating costs with respect to the classical, two-step synthesis of DME from syngas (CO + H2 ). However, due to kinetics and thermodynamic limits, the direct use of CO2 as raw material for DME production requires the development of more effective catalysts. In this context, the objective of this review is to present the latest progress achieved in the synthesis of bifunctional/hybrid catalytic systems for the CO2-to-DME process. For catalyst design, this process is challenging because it should combine metal and acid functionalities in the same catalyst, in a correct ratio and with controlled interaction. The metal catalyst is needed for the activation and transformation of the stable CO2 molecules into methanol, whereas the acid catalyst is needed to dehydrate the methanol into DME. Recent developments in the catalyst design have been discussed and analyzed in this review, presenting the different strategies employed for the preparation of novel bifunctional catalysts (physical/mechanical mixing) and hybrid catalysts (co-precipitation, impregnation, etc.) with improved efficiency toward DME formation. Finally, an outline of future prospects for the research and development of efficient bi-functional/hybrid catalytic systems will be presented.","author":[{"dropping-particle":"","family":"Mota","given":"Noelia","non-dropping-particle":"","parse-names":false,"suffix":""},{"dropping-particle":"","family":"Ordoñez","given":"Elena Millán","non-dropping-particle":"","parse-names":false,"suffix":""},{"dropping-particle":"","family":"Pawelec","given":"Bárbara","non-dropping-particle":"","parse-names":false,"suffix":""},{"dropping-particle":"","family":"Fierro","given":"José Luis G.","non-dropping-particle":"","parse-names":false,"suffix":""},{"dropping-particle":"","family":"Navarro","given":"Rufino M.","non-dropping-particle":"","parse-names":false,"suffix":""}],"container-title":"Catalysts","id":"ITEM-1","issue":"4","issued":{"date-parts":[["2021"]]},"title":"Direct synthesis of dimethyl ether from co2: Recent advances in bifunctional/hybrid catalytic systems","type":"article-journal","volume":"11"},"uris":["http://www.mendeley.com/documents/?uuid=f851f349-cae2-4c0b-9614-1e89a07b78f7"]}],"mendeley":{"formattedCitation":"(Mota et al., 2021)","plainTextFormattedCitation":"(Mota et al., 2021)","previouslyFormattedCitation":"(Mota et al., 2021)"},"properties":{"noteIndex":0},"schema":"https://github.com/citation-style-language/schema/raw/master/csl-citation.json"}</w:instrText>
      </w:r>
      <w:r w:rsidR="00236935">
        <w:fldChar w:fldCharType="separate"/>
      </w:r>
      <w:r w:rsidR="00B62AAE" w:rsidRPr="00B62AAE">
        <w:rPr>
          <w:noProof/>
        </w:rPr>
        <w:t>(Mota et al., 2021)</w:t>
      </w:r>
      <w:r w:rsidR="00236935">
        <w:fldChar w:fldCharType="end"/>
      </w:r>
      <w:r w:rsidR="00236935">
        <w:t>.</w:t>
      </w:r>
      <w:r w:rsidR="00E17220" w:rsidRPr="00140EA2">
        <w:t xml:space="preserve"> </w:t>
      </w:r>
      <w:r w:rsidR="00BC33F3" w:rsidRPr="00140EA2">
        <w:fldChar w:fldCharType="begin" w:fldLock="1"/>
      </w:r>
      <w:r w:rsidR="00B62AAE">
        <w:instrText>ADDIN CSL_CITATION {"citationItems":[{"id":"ITEM-1","itemData":{"DOI":"10.1016/j.jes.2020.02.015","ISSN":"18787320","PMID":"32430113","abstract":"Direct synthesis of dimethyl ether (DME) by CO2 hydrogenation has been investigated over three hybrid catalysts prepared by different methods: co-precipitation, sol-gel, and solid grinding to produce mixed Cu, ZnO, ZrO2 catalysts that were physically mixed with a commercial ferrierite (FER) zeolite. The catalysts were characterized by N2 physisorption, X-ray diffraction (XRD), transmission electron microscopy (TEM), X-ray photoelectron spectroscopy (XPS), temperature programmed desorption of CO2 (CO2-TPD), temperature programmed desorption of NH3 (NH3-TPD), and temperature programmed H2 reduction (H2-TPR). The results demonstrate that smaller CuO and Cu crystallite sizes resulting in better dispersion of the active phases, higher surface area, and lower reduction temperature are all favorable for catalytic activity. The reaction mechanism has been studied using in situ diffuse reflectance infrared Fourier transform spectroscopy (DRIFTS). Methanol appears to be formed via the bidentate-formate (b-HCOO) species undergoing stepwise hydrogenation, while DME formation occurs from methanol dehydration and reaction of two surface methoxy groups.","author":[{"dropping-particle":"","family":"Sheng","given":"Qingtao","non-dropping-particle":"","parse-names":false,"suffix":""},{"dropping-particle":"","family":"Ye","given":"Run Ping","non-dropping-particle":"","parse-names":false,"suffix":""},{"dropping-particle":"","family":"Gong","given":"Weibo","non-dropping-particle":"","parse-names":false,"suffix":""},{"dropping-particle":"","family":"Shi","given":"Xiufeng","non-dropping-particle":"","parse-names":false,"suffix":""},{"dropping-particle":"","family":"Xu","given":"Bang","non-dropping-particle":"","parse-names":false,"suffix":""},{"dropping-particle":"","family":"Argyle","given":"Morris","non-dropping-particle":"","parse-names":false,"suffix":""},{"dropping-particle":"","family":"Adidharma","given":"Hertanto","non-dropping-particle":"","parse-names":false,"suffix":""},{"dropping-particle":"","family":"Fan","given":"Maohong","non-dropping-particle":"","parse-names":false,"suffix":""}],"container-title":"Journal of Environmental Sciences (China)","id":"ITEM-1","issued":{"date-parts":[["2020"]]},"page":"106-117","publisher":"Elsevier B.V.","title":"Mechanism and catalytic performance for direct dimethyl ether synthesis by CO2 hydrogenation over CuZnZr/ferrierite hybrid catalyst","type":"article-journal","volume":"92"},"uris":["http://www.mendeley.com/documents/?uuid=a507c10f-88fd-4bb4-a90c-b5b1d9eb5e2c"]}],"mendeley":{"formattedCitation":"(Sheng et al., 2020)","manualFormatting":"Sheng et al. (2020)","plainTextFormattedCitation":"(Sheng et al., 2020)","previouslyFormattedCitation":"(Sheng et al., 2020)"},"properties":{"noteIndex":0},"schema":"https://github.com/citation-style-language/schema/raw/master/csl-citation.json"}</w:instrText>
      </w:r>
      <w:r w:rsidR="00BC33F3" w:rsidRPr="00140EA2">
        <w:fldChar w:fldCharType="separate"/>
      </w:r>
      <w:r w:rsidR="00BC33F3" w:rsidRPr="00140EA2">
        <w:rPr>
          <w:noProof/>
        </w:rPr>
        <w:t>Sheng et al. (2020)</w:t>
      </w:r>
      <w:r w:rsidR="00BC33F3" w:rsidRPr="00140EA2">
        <w:fldChar w:fldCharType="end"/>
      </w:r>
      <w:r w:rsidR="00BC33F3" w:rsidRPr="00140EA2">
        <w:t xml:space="preserve"> </w:t>
      </w:r>
      <w:r w:rsidR="000426B7" w:rsidRPr="00140EA2">
        <w:t>prepared</w:t>
      </w:r>
      <w:r w:rsidR="00BC33F3" w:rsidRPr="00140EA2">
        <w:t xml:space="preserve"> hybrid catalysts </w:t>
      </w:r>
      <w:r w:rsidR="000426B7" w:rsidRPr="00140EA2">
        <w:t xml:space="preserve">for the </w:t>
      </w:r>
      <w:r w:rsidR="00BC33F3" w:rsidRPr="00140EA2">
        <w:t>direct DME synthesis</w:t>
      </w:r>
      <w:r w:rsidR="00967F05">
        <w:t xml:space="preserve"> with</w:t>
      </w:r>
      <w:r w:rsidR="000426B7" w:rsidRPr="00140EA2">
        <w:t xml:space="preserve"> different </w:t>
      </w:r>
      <w:r w:rsidR="00C51239" w:rsidRPr="00140EA2">
        <w:t>procedures</w:t>
      </w:r>
      <w:r w:rsidR="000426B7" w:rsidRPr="00140EA2">
        <w:t xml:space="preserve"> and performed an </w:t>
      </w:r>
      <w:r w:rsidR="000426B7" w:rsidRPr="00967F05">
        <w:t>experimental campaign testing several operating conditions for the one-pot DME production reaction</w:t>
      </w:r>
      <w:r w:rsidR="00CD0078" w:rsidRPr="00967F05">
        <w:t xml:space="preserve">; </w:t>
      </w:r>
      <w:r w:rsidR="00E41BC5">
        <w:t>similarly;</w:t>
      </w:r>
      <w:r w:rsidR="00967F05" w:rsidRPr="00967F05">
        <w:t xml:space="preserve"> </w:t>
      </w:r>
      <w:r w:rsidR="009E0DE0" w:rsidRPr="00967F05">
        <w:fldChar w:fldCharType="begin" w:fldLock="1"/>
      </w:r>
      <w:r w:rsidR="00B62AAE">
        <w:instrText>ADDIN CSL_CITATION {"citationItems":[{"id":"ITEM-1","itemData":{"DOI":"10.1007/s11144-017-1153-7","ISSN":"18785204","abstract":"Hybrid catalysts CuO/ZrO2 + montmorillonite K10 have been tested in the direct synthesis of dimethyl ether (DME) from CO2 + H2 mixture. The metallic function CuO/ZrO2 was synthesized by three methods i.e. citric method and NaOH or Na2CO3 co-precipitation method. The catalyst prepared with NaOH method was modified by 3 wt% of Ga, Cr, Mn and Ag. In order to determine the physicochemical properties, the following techniques were used: XRD, BET, reactive adsorption of N2O and H2TPR. All catalysts were tested in a high pressure fixed bed flow reactor under 40 atm pressure in the hydrogenation of CO2. The aim of the present study is to examine the influence of the synthesis method and calcination temperature on catalytic activity of studied catalysts. It was found that the CuO/ZrO2 prepared by citric method and calcined at 823 K is the best catalytic system. Moreover, the addition of 3 wt% Ag significantly improves selectivity to DME from 21 to 35% in comparison with undoped CuO/ZrO2.","author":[{"dropping-particle":"","family":"Kornas","given":"A.","non-dropping-particle":"","parse-names":false,"suffix":""},{"dropping-particle":"","family":"Grabowski","given":"R.","non-dropping-particle":"","parse-names":false,"suffix":""},{"dropping-particle":"","family":"Śliwa","given":"M.","non-dropping-particle":"","parse-names":false,"suffix":""},{"dropping-particle":"","family":"Samson","given":"K.","non-dropping-particle":"","parse-names":false,"suffix":""},{"dropping-particle":"","family":"Ruggiero-Mikołajczyk","given":"M.","non-dropping-particle":"","parse-names":false,"suffix":""},{"dropping-particle":"","family":"Żelazny","given":"A.","non-dropping-particle":"","parse-names":false,"suffix":""}],"container-title":"Reaction Kinetics, Mechanisms and Catalysis","id":"ITEM-1","issue":"1","issued":{"date-parts":[["2017"]]},"page":"317-327","title":"Dimethyl ether synthesis from CO2 hydrogenation over hybrid catalysts: effects of preparation methods","type":"article-journal","volume":"121"},"uris":["http://www.mendeley.com/documents/?uuid=23a74e2a-d362-4121-bac3-8b912d36f001"]}],"mendeley":{"formattedCitation":"(Kornas et al., 2017)","manualFormatting":"Kornas et al. (2017)","plainTextFormattedCitation":"(Kornas et al., 2017)","previouslyFormattedCitation":"(Kornas et al., 2017)"},"properties":{"noteIndex":0},"schema":"https://github.com/citation-style-language/schema/raw/master/csl-citation.json"}</w:instrText>
      </w:r>
      <w:r w:rsidR="009E0DE0" w:rsidRPr="00967F05">
        <w:fldChar w:fldCharType="separate"/>
      </w:r>
      <w:r w:rsidR="00CD0078" w:rsidRPr="00967F05">
        <w:rPr>
          <w:noProof/>
        </w:rPr>
        <w:t>Kornas et al. (</w:t>
      </w:r>
      <w:r w:rsidR="009E0DE0" w:rsidRPr="00967F05">
        <w:rPr>
          <w:noProof/>
        </w:rPr>
        <w:t>2017)</w:t>
      </w:r>
      <w:r w:rsidR="009E0DE0" w:rsidRPr="00967F05">
        <w:fldChar w:fldCharType="end"/>
      </w:r>
      <w:r w:rsidR="009E0DE0" w:rsidRPr="00967F05">
        <w:t xml:space="preserve"> </w:t>
      </w:r>
      <w:r w:rsidR="00967F05" w:rsidRPr="00967F05">
        <w:t>tested</w:t>
      </w:r>
      <w:r w:rsidR="00967F05">
        <w:t xml:space="preserve"> the possibility to drug the activators with metals finding an improvement in DME selectivity. </w:t>
      </w:r>
    </w:p>
    <w:p w14:paraId="6C8750FB" w14:textId="1897964E" w:rsidR="00131389" w:rsidRPr="00005A83" w:rsidRDefault="00AB0184" w:rsidP="00BC33F3">
      <w:pPr>
        <w:pStyle w:val="CETBodytext"/>
        <w:rPr>
          <w:lang w:val="en-GB"/>
        </w:rPr>
      </w:pPr>
      <w:r>
        <w:t xml:space="preserve">The principles of </w:t>
      </w:r>
      <w:r w:rsidR="00A412ED">
        <w:t>substitutio</w:t>
      </w:r>
      <w:r>
        <w:t>n and intensification belong</w:t>
      </w:r>
      <w:r w:rsidR="00140EA2" w:rsidRPr="008317ED">
        <w:t xml:space="preserve"> to procedures including approaches of inherent safety</w:t>
      </w:r>
      <w:r w:rsidR="008317ED">
        <w:t xml:space="preserve"> in early process design</w:t>
      </w:r>
      <w:r w:rsidR="00A412ED">
        <w:t xml:space="preserve"> </w:t>
      </w:r>
      <w:r w:rsidR="00A412ED">
        <w:fldChar w:fldCharType="begin" w:fldLock="1"/>
      </w:r>
      <w:r w:rsidR="00B62AAE">
        <w:instrText>ADDIN CSL_CITATION {"citationItems":[{"id":"ITEM-1","itemData":{"author":[{"dropping-particle":"","family":"Wallace","given":"Stephen J.","non-dropping-particle":"","parse-names":false,"suffix":""}],"container-title":"ASSE Professional Development Conference 2007","id":"ITEM-1","issue":"513","issued":{"date-parts":[["2007"]]},"title":"The case for inherent safety: A review of the principles of inherent safety and case studies of tragedies","type":"article-journal"},"uris":["http://www.mendeley.com/documents/?uuid=560b176a-81cc-4536-95cb-cf88ef91e8bc"]}],"mendeley":{"formattedCitation":"(Wallace, 2007)","plainTextFormattedCitation":"(Wallace, 2007)","previouslyFormattedCitation":"(Wallace, 2007)"},"properties":{"noteIndex":0},"schema":"https://github.com/citation-style-language/schema/raw/master/csl-citation.json"}</w:instrText>
      </w:r>
      <w:r w:rsidR="00A412ED">
        <w:fldChar w:fldCharType="separate"/>
      </w:r>
      <w:r w:rsidR="009A057B" w:rsidRPr="009A057B">
        <w:rPr>
          <w:noProof/>
        </w:rPr>
        <w:t>(Wallace, 2007)</w:t>
      </w:r>
      <w:r w:rsidR="00A412ED">
        <w:fldChar w:fldCharType="end"/>
      </w:r>
      <w:r w:rsidR="00A412ED">
        <w:t xml:space="preserve">, </w:t>
      </w:r>
      <w:r w:rsidR="00140EA2" w:rsidRPr="008317ED">
        <w:t>therefore the novel DME synthesis process demonstrate high potential to perform more safely than the “parent” methanol process, always starting from CO</w:t>
      </w:r>
      <w:r w:rsidR="00140EA2" w:rsidRPr="008317ED">
        <w:rPr>
          <w:vertAlign w:val="subscript"/>
        </w:rPr>
        <w:t>2</w:t>
      </w:r>
      <w:r w:rsidR="00140EA2" w:rsidRPr="008317ED">
        <w:t xml:space="preserve"> and H</w:t>
      </w:r>
      <w:r w:rsidR="00140EA2" w:rsidRPr="008317ED">
        <w:rPr>
          <w:vertAlign w:val="subscript"/>
        </w:rPr>
        <w:t>2</w:t>
      </w:r>
      <w:r w:rsidR="00140EA2" w:rsidRPr="008317ED">
        <w:t xml:space="preserve">. </w:t>
      </w:r>
      <w:r w:rsidR="003F7FCF">
        <w:t>Nevertheless, the intensification occurring in some operations does not imply the overall process being improved</w:t>
      </w:r>
      <w:r w:rsidR="00B62AAE">
        <w:t xml:space="preserve"> under</w:t>
      </w:r>
      <w:r w:rsidR="003F7FCF">
        <w:t xml:space="preserve"> the inherent safety </w:t>
      </w:r>
      <w:r w:rsidR="00B62AAE">
        <w:t>aspec</w:t>
      </w:r>
      <w:r w:rsidR="003F7FCF">
        <w:t>t, therefore dedicated assessments should be performed to clarify the comparison. Among the existing methodologies for inherent safety assessment, consequence-based ones provide quantitative</w:t>
      </w:r>
      <w:r w:rsidR="0076081B">
        <w:t xml:space="preserve"> and significant</w:t>
      </w:r>
      <w:r w:rsidR="003F7FCF">
        <w:t xml:space="preserve"> insights over t</w:t>
      </w:r>
      <w:r w:rsidR="00B62AAE">
        <w:t>he safety performance of any</w:t>
      </w:r>
      <w:r w:rsidR="003F7FCF">
        <w:t xml:space="preserve"> process scheme, enabling to identify critical equipment and process conditions. </w:t>
      </w:r>
      <w:r w:rsidR="00313A94">
        <w:t>As a consequence</w:t>
      </w:r>
      <w:r w:rsidR="00005A83">
        <w:t>,</w:t>
      </w:r>
      <w:r w:rsidR="00313A94">
        <w:t xml:space="preserve"> the apparent benefits of the one-pot DME synthesis may make this vector more convenient than methanol in terms of process safety, thus scoring a point against methanol when decision-making has to be performed among energy vectors processes in order to store </w:t>
      </w:r>
      <w:r w:rsidR="00005A83">
        <w:t xml:space="preserve">additional </w:t>
      </w:r>
      <w:r w:rsidR="00313A94">
        <w:t>renewable energy while employing captured CO</w:t>
      </w:r>
      <w:r w:rsidR="00313A94" w:rsidRPr="00005A83">
        <w:rPr>
          <w:vertAlign w:val="subscript"/>
        </w:rPr>
        <w:t>2</w:t>
      </w:r>
      <w:r w:rsidR="00313A94">
        <w:t xml:space="preserve"> in the frame of CCU. </w:t>
      </w:r>
    </w:p>
    <w:p w14:paraId="7ECD4799" w14:textId="1C9CB393" w:rsidR="00C607E2" w:rsidRPr="00C13E47" w:rsidRDefault="00C13CFC" w:rsidP="00C607E2">
      <w:pPr>
        <w:pStyle w:val="CETBodytext"/>
      </w:pPr>
      <w:r>
        <w:t>This study</w:t>
      </w:r>
      <w:r w:rsidR="00131389">
        <w:t xml:space="preserve"> aims </w:t>
      </w:r>
      <w:r>
        <w:t>at</w:t>
      </w:r>
      <w:r w:rsidR="00131389">
        <w:t xml:space="preserve"> compar</w:t>
      </w:r>
      <w:r>
        <w:t>ing</w:t>
      </w:r>
      <w:r w:rsidR="00131389">
        <w:t xml:space="preserve"> </w:t>
      </w:r>
      <w:r w:rsidR="00C13E47">
        <w:t>methanol</w:t>
      </w:r>
      <w:r w:rsidR="00131389">
        <w:t xml:space="preserve"> and DME production</w:t>
      </w:r>
      <w:r w:rsidR="003F7FCF">
        <w:t xml:space="preserve"> </w:t>
      </w:r>
      <w:r>
        <w:t xml:space="preserve">processes </w:t>
      </w:r>
      <w:r w:rsidR="00C13E47">
        <w:t>based on CO</w:t>
      </w:r>
      <w:r w:rsidR="00C13E47" w:rsidRPr="00B62AAE">
        <w:rPr>
          <w:vertAlign w:val="subscript"/>
        </w:rPr>
        <w:t>2</w:t>
      </w:r>
      <w:r w:rsidR="00C13E47">
        <w:t xml:space="preserve"> hydrogenation</w:t>
      </w:r>
      <w:r w:rsidR="00A92F1D">
        <w:t xml:space="preserve"> from the inherent safety viewpoint</w:t>
      </w:r>
      <w:r w:rsidR="00C13E47">
        <w:t xml:space="preserve"> </w:t>
      </w:r>
      <w:r w:rsidR="00A92F1D">
        <w:t xml:space="preserve">due to their relevance as synthesis routes to be coupled with renewable </w:t>
      </w:r>
      <w:r w:rsidR="00005A83">
        <w:t xml:space="preserve">energy </w:t>
      </w:r>
      <w:r w:rsidR="00A92F1D">
        <w:t>storage</w:t>
      </w:r>
      <w:r w:rsidR="00C3612D">
        <w:t xml:space="preserve"> </w:t>
      </w:r>
      <w:r w:rsidR="00005A83">
        <w:t>by PtL</w:t>
      </w:r>
      <w:r w:rsidR="00A92F1D">
        <w:t>.</w:t>
      </w:r>
      <w:r w:rsidR="00C13E47">
        <w:t xml:space="preserve"> </w:t>
      </w:r>
      <w:r w:rsidR="00A92F1D">
        <w:t xml:space="preserve">The assessment is carried out </w:t>
      </w:r>
      <w:r w:rsidR="00C13E47">
        <w:t>through the application of</w:t>
      </w:r>
      <w:r w:rsidR="003F7FCF">
        <w:t xml:space="preserve"> a well-known inherent </w:t>
      </w:r>
      <w:r w:rsidR="003F7FCF" w:rsidRPr="002B2AE6">
        <w:t xml:space="preserve">safety assessment method, </w:t>
      </w:r>
      <w:r>
        <w:t>originally proposed by</w:t>
      </w:r>
      <w:r w:rsidR="000870A2" w:rsidRPr="002B2AE6">
        <w:t xml:space="preserve"> </w:t>
      </w:r>
      <w:r w:rsidR="000870A2" w:rsidRPr="002B2AE6">
        <w:fldChar w:fldCharType="begin" w:fldLock="1"/>
      </w:r>
      <w:r w:rsidR="00B62AAE">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et al., 2007)","manualFormatting":"Tugnoli et al. (2007","plainTextFormattedCitation":"(Tugnoli et al., 2007)","previouslyFormattedCitation":"(Tugnoli et al., 2007)"},"properties":{"noteIndex":0},"schema":"https://github.com/citation-style-language/schema/raw/master/csl-citation.json"}</w:instrText>
      </w:r>
      <w:r w:rsidR="000870A2" w:rsidRPr="002B2AE6">
        <w:fldChar w:fldCharType="separate"/>
      </w:r>
      <w:r w:rsidR="000870A2" w:rsidRPr="002B2AE6">
        <w:rPr>
          <w:noProof/>
        </w:rPr>
        <w:t>Tugnoli et al. (2007</w:t>
      </w:r>
      <w:r w:rsidR="000870A2" w:rsidRPr="002B2AE6">
        <w:fldChar w:fldCharType="end"/>
      </w:r>
      <w:r w:rsidR="0076081B" w:rsidRPr="002B2AE6">
        <w:t xml:space="preserve">), which </w:t>
      </w:r>
      <w:r>
        <w:t>is based on</w:t>
      </w:r>
      <w:r w:rsidR="0076081B" w:rsidRPr="002B2AE6">
        <w:t xml:space="preserve"> Inherent Safety Key Performance Indicators </w:t>
      </w:r>
      <w:r w:rsidR="002B2AE6" w:rsidRPr="002B2AE6">
        <w:t xml:space="preserve">(IS-KPIs) </w:t>
      </w:r>
      <w:r w:rsidR="0076081B" w:rsidRPr="002B2AE6">
        <w:t>obtained</w:t>
      </w:r>
      <w:r w:rsidR="002B2AE6" w:rsidRPr="002B2AE6">
        <w:t xml:space="preserve"> </w:t>
      </w:r>
      <w:r>
        <w:t xml:space="preserve">from </w:t>
      </w:r>
      <w:r w:rsidR="002B2AE6" w:rsidRPr="002B2AE6">
        <w:t xml:space="preserve">consequence </w:t>
      </w:r>
      <w:r>
        <w:t>assessment</w:t>
      </w:r>
      <w:r w:rsidR="002B2AE6" w:rsidRPr="002B2AE6">
        <w:t xml:space="preserve">. </w:t>
      </w:r>
      <w:r w:rsidR="000870A2" w:rsidRPr="002B2AE6">
        <w:t xml:space="preserve">This methodology was proved </w:t>
      </w:r>
      <w:r w:rsidR="002B2AE6" w:rsidRPr="002B2AE6">
        <w:t xml:space="preserve">effective </w:t>
      </w:r>
      <w:r w:rsidR="000870A2" w:rsidRPr="002B2AE6">
        <w:t>in different</w:t>
      </w:r>
      <w:r>
        <w:t xml:space="preserve"> applications</w:t>
      </w:r>
      <w:r w:rsidR="002B2AE6" w:rsidRPr="002B2AE6">
        <w:t>, suiting the designer</w:t>
      </w:r>
      <w:r w:rsidR="00F23EF4">
        <w:t>’s need of a safety-evaluating</w:t>
      </w:r>
      <w:r w:rsidR="002B2AE6" w:rsidRPr="002B2AE6">
        <w:t xml:space="preserve"> tool in the early steps of process design</w:t>
      </w:r>
      <w:r w:rsidR="00352347">
        <w:t xml:space="preserve"> </w:t>
      </w:r>
      <w:r w:rsidR="00352347">
        <w:fldChar w:fldCharType="begin" w:fldLock="1"/>
      </w:r>
      <w:r w:rsidR="0081794C">
        <w:instrText>ADDIN CSL_CITATION {"citationItems":[{"id":"ITEM-1","itemData":{"DOI":"10.1016/j.jlp.2012.03.008","ISSN":"0950-4230","author":[{"dropping-particle":"","family":"Tugnoli","given":"Alessandro","non-dropping-particle":"","parse-names":false,"suffix":""},{"dropping-particle":"","family":"Landucci","given":"Gabriele","non-dropping-particle":"","parse-names":false,"suffix":""},{"dropping-particle":"","family":"Salzano","given":"Ernesto","non-dropping-particle":"","parse-names":false,"suffix":""},{"dropping-particle":"","family":"Cozzani","given":"Valerio","non-dropping-particle":"","parse-names":false,"suffix":""}],"container-title":"Journal of Loss Prevention in the Process Industries","id":"ITEM-1","issue":"5","issued":{"date-parts":[["2012"]]},"page":"830-842","publisher":"Elsevier Ltd","title":"Supporting the selection of process and plant design options by Inherent Safety KPIs","type":"article-journal","volume":"25"},"uris":["http://www.mendeley.com/documents/?uuid=321ff1fe-4057-46cc-b08e-691b2505cca5"]}],"mendeley":{"formattedCitation":"(Tugnoli et al., 2012)","plainTextFormattedCitation":"(Tugnoli et al., 2012)","previouslyFormattedCitation":"(Tugnoli et al., 2012)"},"properties":{"noteIndex":0},"schema":"https://github.com/citation-style-language/schema/raw/master/csl-citation.json"}</w:instrText>
      </w:r>
      <w:r w:rsidR="00352347">
        <w:fldChar w:fldCharType="separate"/>
      </w:r>
      <w:r w:rsidR="00352347" w:rsidRPr="00352347">
        <w:rPr>
          <w:noProof/>
        </w:rPr>
        <w:t>(Tugnoli et al., 2012)</w:t>
      </w:r>
      <w:r w:rsidR="00352347">
        <w:fldChar w:fldCharType="end"/>
      </w:r>
      <w:r w:rsidR="002B2AE6" w:rsidRPr="002B2AE6">
        <w:t>.</w:t>
      </w:r>
    </w:p>
    <w:p w14:paraId="2440BBB5" w14:textId="77777777" w:rsidR="00C607E2" w:rsidRPr="00A5431B" w:rsidRDefault="00C607E2" w:rsidP="00C607E2">
      <w:pPr>
        <w:pStyle w:val="CETHeading1"/>
        <w:tabs>
          <w:tab w:val="clear" w:pos="360"/>
          <w:tab w:val="right" w:pos="7100"/>
        </w:tabs>
        <w:jc w:val="both"/>
        <w:rPr>
          <w:lang w:val="en-GB"/>
        </w:rPr>
      </w:pPr>
      <w:r w:rsidRPr="00A5431B">
        <w:rPr>
          <w:lang w:val="en-GB"/>
        </w:rPr>
        <w:t>Methodology</w:t>
      </w:r>
    </w:p>
    <w:p w14:paraId="5EEAB0B8" w14:textId="77777777" w:rsidR="00621C9A" w:rsidRDefault="00C607E2" w:rsidP="00B84818">
      <w:pPr>
        <w:pStyle w:val="CETBodytext"/>
        <w:rPr>
          <w:lang w:val="en-GB"/>
        </w:rPr>
      </w:pPr>
      <w:r w:rsidRPr="000870A2">
        <w:rPr>
          <w:lang w:val="en-GB"/>
        </w:rPr>
        <w:t xml:space="preserve">To run the </w:t>
      </w:r>
      <w:r w:rsidR="00986363" w:rsidRPr="000870A2">
        <w:rPr>
          <w:lang w:val="en-GB"/>
        </w:rPr>
        <w:t xml:space="preserve">inherent </w:t>
      </w:r>
      <w:r w:rsidRPr="000870A2">
        <w:rPr>
          <w:lang w:val="en-GB"/>
        </w:rPr>
        <w:t xml:space="preserve">safety analysis on </w:t>
      </w:r>
      <w:r w:rsidR="00986363" w:rsidRPr="000870A2">
        <w:rPr>
          <w:lang w:val="en-GB"/>
        </w:rPr>
        <w:t>the above described production processes</w:t>
      </w:r>
      <w:r w:rsidRPr="000870A2">
        <w:rPr>
          <w:lang w:val="en-GB"/>
        </w:rPr>
        <w:t xml:space="preserve">, </w:t>
      </w:r>
      <w:r w:rsidR="00F23EF4">
        <w:rPr>
          <w:lang w:val="en-GB"/>
        </w:rPr>
        <w:t xml:space="preserve">the methodology of </w:t>
      </w:r>
      <w:r w:rsidRPr="000870A2">
        <w:rPr>
          <w:lang w:val="en-GB"/>
        </w:rPr>
        <w:t xml:space="preserve">Inherent Safety Key-Performance Indicators (IS-KPIs) as introduced by </w:t>
      </w:r>
      <w:r w:rsidRPr="000870A2">
        <w:rPr>
          <w:lang w:val="en-GB"/>
        </w:rPr>
        <w:fldChar w:fldCharType="begin" w:fldLock="1"/>
      </w:r>
      <w:r w:rsidR="00B62AAE">
        <w:rPr>
          <w:lang w:val="en-GB"/>
        </w:rPr>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et al., 2007)","manualFormatting":"Tugnoli et al. (2007)","plainTextFormattedCitation":"(Tugnoli et al., 2007)","previouslyFormattedCitation":"(Tugnoli et al., 2007)"},"properties":{"noteIndex":0},"schema":"https://github.com/citation-style-language/schema/raw/master/csl-citation.json"}</w:instrText>
      </w:r>
      <w:r w:rsidRPr="000870A2">
        <w:rPr>
          <w:lang w:val="en-GB"/>
        </w:rPr>
        <w:fldChar w:fldCharType="separate"/>
      </w:r>
      <w:r w:rsidRPr="000870A2">
        <w:rPr>
          <w:noProof/>
          <w:lang w:val="en-GB"/>
        </w:rPr>
        <w:t>Tugnoli et al. (2007)</w:t>
      </w:r>
      <w:r w:rsidRPr="000870A2">
        <w:rPr>
          <w:lang w:val="en-GB"/>
        </w:rPr>
        <w:fldChar w:fldCharType="end"/>
      </w:r>
      <w:r w:rsidR="00C13CFC">
        <w:rPr>
          <w:lang w:val="en-GB"/>
        </w:rPr>
        <w:t>,</w:t>
      </w:r>
      <w:r w:rsidR="00F23EF4">
        <w:rPr>
          <w:lang w:val="en-GB"/>
        </w:rPr>
        <w:t xml:space="preserve"> was</w:t>
      </w:r>
      <w:r w:rsidRPr="000870A2">
        <w:rPr>
          <w:lang w:val="en-GB"/>
        </w:rPr>
        <w:t xml:space="preserve"> applied</w:t>
      </w:r>
      <w:r w:rsidRPr="0084453E">
        <w:rPr>
          <w:lang w:val="en-GB"/>
        </w:rPr>
        <w:t xml:space="preserve">. </w:t>
      </w:r>
    </w:p>
    <w:p w14:paraId="6DE5394C" w14:textId="6C8A5C9B" w:rsidR="00986363" w:rsidRPr="002B2AE6" w:rsidRDefault="00C607E2" w:rsidP="00B84818">
      <w:pPr>
        <w:pStyle w:val="CETBodytext"/>
        <w:rPr>
          <w:highlight w:val="cyan"/>
          <w:lang w:val="en-GB"/>
        </w:rPr>
      </w:pPr>
      <w:r w:rsidRPr="0084453E">
        <w:t xml:space="preserve">The conceptual </w:t>
      </w:r>
      <w:r w:rsidR="00986363" w:rsidRPr="0084453E">
        <w:t xml:space="preserve">process </w:t>
      </w:r>
      <w:r w:rsidRPr="0084453E">
        <w:t xml:space="preserve">design of the </w:t>
      </w:r>
      <w:r w:rsidR="00986363" w:rsidRPr="0084453E">
        <w:t>production plants for methanol and DME synthesis</w:t>
      </w:r>
      <w:r w:rsidRPr="0084453E">
        <w:t xml:space="preserve"> is performed </w:t>
      </w:r>
      <w:r w:rsidR="002B2AE6" w:rsidRPr="00A6054A">
        <w:rPr>
          <w:lang w:val="en-GB"/>
        </w:rPr>
        <w:t>selecting the most performing reaction systems for both products</w:t>
      </w:r>
      <w:r w:rsidR="002B2AE6">
        <w:rPr>
          <w:lang w:val="en-GB"/>
        </w:rPr>
        <w:t xml:space="preserve"> and adapting the process to</w:t>
      </w:r>
      <w:r w:rsidR="0084453E" w:rsidRPr="0084453E">
        <w:t xml:space="preserve"> </w:t>
      </w:r>
      <w:r w:rsidR="000870A2" w:rsidRPr="0084453E">
        <w:t xml:space="preserve">a small industrial scale with </w:t>
      </w:r>
      <w:r w:rsidRPr="0084453E">
        <w:t>productivity</w:t>
      </w:r>
      <w:r w:rsidR="000870A2" w:rsidRPr="0084453E">
        <w:t xml:space="preserve"> of 500 t/y</w:t>
      </w:r>
      <w:r w:rsidR="00F23EF4">
        <w:t>,</w:t>
      </w:r>
      <w:r w:rsidR="000870A2" w:rsidRPr="0084453E">
        <w:t xml:space="preserve"> in line with a study previously performed by the same authors </w:t>
      </w:r>
      <w:r w:rsidR="000870A2" w:rsidRPr="0084453E">
        <w:fldChar w:fldCharType="begin" w:fldLock="1"/>
      </w:r>
      <w:r w:rsidR="00B62AAE">
        <w:instrText>ADDIN CSL_CITATION {"citationItems":[{"id":"ITEM-1","itemData":{"DOI":"10.3303/CET2082015","ISBN":"9788895608808","ISSN":"22839216","abstract":"Safety is an aspect of primary relevance in early-process design and can hardly be neglected: The consequences of accidents in chemical plants have always high impact on economics and reputation. In the phase of alternative technologies' evaluation, applying inherent safety approaches helps in identifying the major safety challenges of process schemes, orienting the final selection. In the present work, an inherent safety assessment was performed to compare two innovative fuels' production facilities: Biodiesel from microalgae and methanol synthesized via CO2 catalytic hydrogenation. The two schemes were developed to fulfil an industrial scale production, considering the best available technologies in terms of yields and energetic economy for both cases. The inherent safety performances were evaluated through a multi-criteria approach using key-performance indicators (KPIs): Potential accident scenarios were simulated, followed by the identification of consequences and relative occurrence frequencies, as to quantify the risks affecting human target. The results enabled to identify the inherently safer option among two innovative processes for energytransition fuels.","author":[{"dropping-particle":"","family":"Cipolletta","given":"Mariasole","non-dropping-particle":"","parse-names":false,"suffix":""},{"dropping-particle":"","family":"Moreno","given":"Valeria Casson","non-dropping-particle":"","parse-names":false,"suffix":""},{"dropping-particle":"","family":"Cozzani","given":"Valerio","non-dropping-particle":"","parse-names":false,"suffix":""}],"container-title":"Chemical Engineering Transactions","id":"ITEM-1","issue":"August","issued":{"date-parts":[["2020"]]},"page":"85-90","title":"Inherent safety assessment for two solar-based fuels production processes: Methanol via co2 catalytic hydrogenation and biodiesel from microalgal oil","type":"article-journal","volume":"82"},"uris":["http://www.mendeley.com/documents/?uuid=3cc1a388-0fc8-48ec-aebc-edcc7ac1cbb8"]}],"mendeley":{"formattedCitation":"(Cipolletta et al., 2020a)","plainTextFormattedCitation":"(Cipolletta et al., 2020a)","previouslyFormattedCitation":"(Cipolletta et al., 2020a)"},"properties":{"noteIndex":0},"schema":"https://github.com/citation-style-language/schema/raw/master/csl-citation.json"}</w:instrText>
      </w:r>
      <w:r w:rsidR="000870A2" w:rsidRPr="0084453E">
        <w:fldChar w:fldCharType="separate"/>
      </w:r>
      <w:r w:rsidR="00B62AAE" w:rsidRPr="00B62AAE">
        <w:rPr>
          <w:noProof/>
        </w:rPr>
        <w:t>(Cipolletta et al., 2020a)</w:t>
      </w:r>
      <w:r w:rsidR="000870A2" w:rsidRPr="0084453E">
        <w:fldChar w:fldCharType="end"/>
      </w:r>
      <w:r w:rsidR="000870A2" w:rsidRPr="0084453E">
        <w:t>.</w:t>
      </w:r>
    </w:p>
    <w:p w14:paraId="32A5EB37" w14:textId="25B679DD" w:rsidR="00C607E2" w:rsidRDefault="00C607E2" w:rsidP="00C607E2">
      <w:pPr>
        <w:pStyle w:val="ListParagraph"/>
        <w:ind w:left="0"/>
      </w:pPr>
      <w:r w:rsidRPr="00A5431B">
        <w:t xml:space="preserve">Optimal process operating conditions and parameters are identified for each process by means of the Aspen HYSYS v.10 software </w:t>
      </w:r>
      <w:r w:rsidRPr="00A5431B">
        <w:fldChar w:fldCharType="begin" w:fldLock="1"/>
      </w:r>
      <w:r w:rsidR="00B62AAE">
        <w:instrText>ADDIN CSL_CITATION {"citationItems":[{"id":"ITEM-1","itemData":{"author":[{"dropping-particle":"","family":"AspenTech","given":"","non-dropping-particle":"","parse-names":false,"suffix":""}],"id":"ITEM-1","issued":{"date-parts":[["2020"]]},"number":"11","title":"Aspen HYSYS, version 11","type":"article"},"uris":["http://www.mendeley.com/documents/?uuid=cefc90bf-b5a1-4c4e-8c94-f73e4bdab1e8","http://www.mendeley.com/documents/?uuid=81ca049b-3979-4a06-b6cf-c1b735246004"]}],"mendeley":{"formattedCitation":"(AspenTech, 2020)","plainTextFormattedCitation":"(AspenTech, 2020)","previouslyFormattedCitation":"(AspenTech, 2020)"},"properties":{"noteIndex":0},"schema":"https://github.com/citation-style-language/schema/raw/master/csl-citation.json"}</w:instrText>
      </w:r>
      <w:r w:rsidRPr="00A5431B">
        <w:fldChar w:fldCharType="separate"/>
      </w:r>
      <w:r w:rsidR="009A057B" w:rsidRPr="009A057B">
        <w:rPr>
          <w:noProof/>
        </w:rPr>
        <w:t>(AspenTech, 2020)</w:t>
      </w:r>
      <w:r w:rsidRPr="00A5431B">
        <w:fldChar w:fldCharType="end"/>
      </w:r>
      <w:r w:rsidRPr="00A5431B">
        <w:t xml:space="preserve">. Preliminary equipment design is carried out and chemical inventories are calculated in order to identify the Potentially Hazardous Equipment (PHE). Three types of critical events involving the loss of containment of the equipment are associated to each PHE </w:t>
      </w:r>
      <w:r w:rsidRPr="00A5431B">
        <w:fldChar w:fldCharType="begin" w:fldLock="1"/>
      </w:r>
      <w:r w:rsidR="00B62AAE">
        <w:instrText>ADDIN CSL_CITATION {"citationItems":[{"id":"ITEM-1","itemData":{"author":[{"dropping-particle":"","family":"Uijt de Haag","given":"P A M","non-dropping-particle":"","parse-names":false,"suffix":""},{"dropping-particle":"","family":"Ale","given":"B J M","non-dropping-particle":"","parse-names":false,"suffix":""}],"id":"ITEM-1","issued":{"date-parts":[["1999"]]},"publisher":"Committee for the Prevention of Disasters","publisher-place":"the Hague (NL)","title":"Guidelines for quantitative risk assessment (Purple Book)","type":"book"},"uris":["http://www.mendeley.com/documents/?uuid=5d2d9d0f-dc48-4d15-a912-1e1ce52b1069","http://www.mendeley.com/documents/?uuid=1dabb3b9-4983-445c-81f8-14f09552d66c"]}],"mendeley":{"formattedCitation":"(Uijt de Haag and Ale, 1999)","plainTextFormattedCitation":"(Uijt de Haag and Ale, 1999)","previouslyFormattedCitation":"(Uijt de Haag and Ale, 1999)"},"properties":{"noteIndex":0},"schema":"https://github.com/citation-style-language/schema/raw/master/csl-citation.json"}</w:instrText>
      </w:r>
      <w:r w:rsidRPr="00A5431B">
        <w:fldChar w:fldCharType="separate"/>
      </w:r>
      <w:r w:rsidR="00B62AAE" w:rsidRPr="00B62AAE">
        <w:rPr>
          <w:noProof/>
        </w:rPr>
        <w:t>(Uijt de Haag and Ale, 1999)</w:t>
      </w:r>
      <w:r w:rsidRPr="00A5431B">
        <w:fldChar w:fldCharType="end"/>
      </w:r>
      <w:r w:rsidRPr="00A5431B">
        <w:t>: catastrophic rupture, large and small bores (LOC 1, 2 and 3</w:t>
      </w:r>
      <w:r>
        <w:t xml:space="preserve"> respectively</w:t>
      </w:r>
      <w:r w:rsidRPr="00A5431B">
        <w:t xml:space="preserve">). </w:t>
      </w:r>
    </w:p>
    <w:p w14:paraId="223D7998" w14:textId="2DAF2ABC" w:rsidR="00C607E2" w:rsidRPr="00A5431B" w:rsidRDefault="00C607E2" w:rsidP="00C607E2">
      <w:pPr>
        <w:pStyle w:val="ListParagraph"/>
        <w:ind w:left="0"/>
      </w:pPr>
      <w:r w:rsidRPr="00A5431B">
        <w:t xml:space="preserve">The releases are then simulated by the application of source models to quantify the flowrates </w:t>
      </w:r>
      <w:r w:rsidRPr="00A5431B">
        <w:fldChar w:fldCharType="begin" w:fldLock="1"/>
      </w:r>
      <w:r w:rsidR="00B62AAE">
        <w:instrText>ADDIN CSL_CITATION {"citationItems":[{"id":"ITEM-1","itemData":{"author":[{"dropping-particle":"","family":"Bosch","given":"C. J. H.","non-dropping-particle":"Van den","parse-names":false,"suffix":""},{"dropping-particle":"","family":"Weterings","given":"R. A. P. M.","non-dropping-particle":"","parse-names":false,"suffix":""},{"dropping-particle":"","family":"Committee for the prevention of disasters","given":"","non-dropping-particle":"","parse-names":false,"suffix":""},{"dropping-particle":"","family":"Netherlands Organization of Applied Scientific Research (TNO)","given":"","non-dropping-particle":"","parse-names":false,"suffix":""}],"id":"ITEM-1","issued":{"date-parts":[["1997"]]},"number-of-pages":"870","publisher":"The Hague : Sdu Uitgevers","title":"Methods for the calculation of physical effects : due to releases of hazardous materials (liquids and gases). Yellow book. CPR 14E","type":"book"},"uris":["http://www.mendeley.com/documents/?uuid=5f2daff5-3acd-4bc4-9c37-dc2f3262ef8b","http://www.mendeley.com/documents/?uuid=ad45b7cc-aede-430e-9f3c-25cc9ae26aac"]}],"mendeley":{"formattedCitation":"(Van den Bosch et al., 1997)","plainTextFormattedCitation":"(Van den Bosch et al., 1997)","previouslyFormattedCitation":"(Van den Bosch et al., 1997)"},"properties":{"noteIndex":0},"schema":"https://github.com/citation-style-language/schema/raw/master/csl-citation.json"}</w:instrText>
      </w:r>
      <w:r w:rsidRPr="00A5431B">
        <w:fldChar w:fldCharType="separate"/>
      </w:r>
      <w:r w:rsidR="00B62AAE" w:rsidRPr="00B62AAE">
        <w:rPr>
          <w:noProof/>
        </w:rPr>
        <w:t>(Van den Bosch et al., 1997)</w:t>
      </w:r>
      <w:r w:rsidRPr="00A5431B">
        <w:fldChar w:fldCharType="end"/>
      </w:r>
      <w:r w:rsidRPr="00A5431B">
        <w:t xml:space="preserve"> while Credit Factors (</w:t>
      </w:r>
      <w:r w:rsidRPr="00A5431B">
        <w:rPr>
          <w:i/>
        </w:rPr>
        <w:t>C</w:t>
      </w:r>
      <w:r w:rsidRPr="00A5431B">
        <w:rPr>
          <w:i/>
          <w:vertAlign w:val="subscript"/>
        </w:rPr>
        <w:t>f</w:t>
      </w:r>
      <w:r w:rsidRPr="00A5431B">
        <w:t xml:space="preserve">s), representing the yearly occurrence frequencies, are assigned to each LOC. </w:t>
      </w:r>
      <w:r w:rsidRPr="00A5431B">
        <w:rPr>
          <w:i/>
        </w:rPr>
        <w:t>C</w:t>
      </w:r>
      <w:r w:rsidRPr="00A5431B">
        <w:rPr>
          <w:i/>
          <w:vertAlign w:val="subscript"/>
        </w:rPr>
        <w:t>f</w:t>
      </w:r>
      <w:r w:rsidRPr="00A5431B">
        <w:t xml:space="preserve">s are derived by baseline values suggested for equipment failure, as per </w:t>
      </w:r>
      <w:r w:rsidRPr="00A5431B">
        <w:fldChar w:fldCharType="begin" w:fldLock="1"/>
      </w:r>
      <w:r w:rsidR="00B62AAE">
        <w:instrText>ADDIN CSL_CITATION {"citationItems":[{"id":"ITEM-1","itemData":{"author":[{"dropping-particle":"","family":"Uijt de Haag","given":"P A M","non-dropping-particle":"","parse-names":false,"suffix":""},{"dropping-particle":"","family":"Ale","given":"B J M","non-dropping-particle":"","parse-names":false,"suffix":""}],"id":"ITEM-1","issued":{"date-parts":[["1999"]]},"publisher":"Committee for the Prevention of Disasters","publisher-place":"the Hague (NL)","title":"Guidelines for quantitative risk assessment (Purple Book)","type":"book"},"uris":["http://www.mendeley.com/documents/?uuid=1dabb3b9-4983-445c-81f8-14f09552d66c","http://www.mendeley.com/documents/?uuid=5d2d9d0f-dc48-4d15-a912-1e1ce52b1069"]}],"mendeley":{"formattedCitation":"(Uijt de Haag and Ale, 1999)","manualFormatting":"Uijt de Haag and Ale (1999)","plainTextFormattedCitation":"(Uijt de Haag and Ale, 1999)","previouslyFormattedCitation":"(Uijt de Haag and Ale, 1999)"},"properties":{"noteIndex":0},"schema":"https://github.com/citation-style-language/schema/raw/master/csl-citation.json"}</w:instrText>
      </w:r>
      <w:r w:rsidRPr="00A5431B">
        <w:fldChar w:fldCharType="separate"/>
      </w:r>
      <w:r>
        <w:rPr>
          <w:noProof/>
        </w:rPr>
        <w:t>Uijt de Haag and Ale (</w:t>
      </w:r>
      <w:r w:rsidRPr="00A5431B">
        <w:rPr>
          <w:noProof/>
        </w:rPr>
        <w:t>1999)</w:t>
      </w:r>
      <w:r w:rsidRPr="00A5431B">
        <w:fldChar w:fldCharType="end"/>
      </w:r>
      <w:r w:rsidRPr="00A5431B">
        <w:t>.</w:t>
      </w:r>
    </w:p>
    <w:p w14:paraId="2B6E832D" w14:textId="77777777" w:rsidR="00C607E2" w:rsidRPr="00A5431B" w:rsidRDefault="00C607E2" w:rsidP="00C607E2">
      <w:pPr>
        <w:pStyle w:val="ListParagraph"/>
        <w:ind w:left="0"/>
      </w:pPr>
      <w:r w:rsidRPr="00A5431B">
        <w:t xml:space="preserve">Then Release Accident Scenarios (RASs) </w:t>
      </w:r>
      <w:r>
        <w:t xml:space="preserve">deriving from the critical events </w:t>
      </w:r>
      <w:r w:rsidRPr="00A5431B">
        <w:t>are identified by means of event trees which are associated to the j-th LOC considered for the i-th unit.</w:t>
      </w:r>
    </w:p>
    <w:p w14:paraId="49AB2FB6" w14:textId="0148E46A" w:rsidR="00C607E2" w:rsidRPr="00A5431B" w:rsidRDefault="00C607E2" w:rsidP="00C607E2">
      <w:pPr>
        <w:pStyle w:val="CETBodytext"/>
      </w:pPr>
      <w:r w:rsidRPr="00A5431B">
        <w:t xml:space="preserve">Each RAS effect is quantified through the evaluation of </w:t>
      </w:r>
      <w:r w:rsidR="00660BFF">
        <w:t>its</w:t>
      </w:r>
      <w:r w:rsidRPr="00A5431B">
        <w:t xml:space="preserve"> damage distance (DD), which is the distance at which the consequences of the scenario of concern equal a threshold value for the human target, which is specific for each dangerous phenomenon (radiation, overpressure, toxic concentration). The threshold values for fires, explosions and toxic clouds are reported by</w:t>
      </w:r>
      <w:r>
        <w:t xml:space="preserve"> </w:t>
      </w:r>
      <w:r>
        <w:fldChar w:fldCharType="begin" w:fldLock="1"/>
      </w:r>
      <w:r w:rsidR="00B62AAE">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et al., 2007)","manualFormatting":"Tugnoli et al. (2007)","plainTextFormattedCitation":"(Tugnoli et al., 2007)","previouslyFormattedCitation":"(Tugnoli et al., 2007)"},"properties":{"noteIndex":0},"schema":"https://github.com/citation-style-language/schema/raw/master/csl-citation.json"}</w:instrText>
      </w:r>
      <w:r>
        <w:fldChar w:fldCharType="separate"/>
      </w:r>
      <w:r>
        <w:rPr>
          <w:noProof/>
        </w:rPr>
        <w:t>Tugnoli et al. (</w:t>
      </w:r>
      <w:r w:rsidRPr="00A13504">
        <w:rPr>
          <w:noProof/>
        </w:rPr>
        <w:t>2007)</w:t>
      </w:r>
      <w:r>
        <w:fldChar w:fldCharType="end"/>
      </w:r>
      <w:r w:rsidR="00B84818">
        <w:t xml:space="preserve">; </w:t>
      </w:r>
      <w:r w:rsidR="00B618D5">
        <w:t>being the IDLH for</w:t>
      </w:r>
      <w:r w:rsidR="005233DC">
        <w:t xml:space="preserve"> DME</w:t>
      </w:r>
      <w:r w:rsidR="00B618D5">
        <w:t xml:space="preserve"> not yet determined</w:t>
      </w:r>
      <w:r w:rsidR="005233DC">
        <w:t xml:space="preserve">, the </w:t>
      </w:r>
      <w:r w:rsidR="00660BFF">
        <w:t>limit</w:t>
      </w:r>
      <w:r w:rsidR="005233DC">
        <w:t xml:space="preserve"> toxic concentration</w:t>
      </w:r>
      <w:r w:rsidR="00660BFF">
        <w:t xml:space="preserve"> considered</w:t>
      </w:r>
      <w:r w:rsidR="005233DC">
        <w:t xml:space="preserve"> is </w:t>
      </w:r>
      <w:r w:rsidR="005F7CC9">
        <w:t xml:space="preserve">144000 ppm, </w:t>
      </w:r>
      <w:r w:rsidR="00B618D5">
        <w:t>value</w:t>
      </w:r>
      <w:r w:rsidR="005F7CC9">
        <w:t xml:space="preserve"> found </w:t>
      </w:r>
      <w:r w:rsidR="00B618D5">
        <w:t xml:space="preserve">to provoke </w:t>
      </w:r>
      <w:r w:rsidR="00CB6F67">
        <w:t>loss of conscience</w:t>
      </w:r>
      <w:r w:rsidR="00B618D5">
        <w:t xml:space="preserve"> after 26</w:t>
      </w:r>
      <w:r w:rsidR="005F7CC9">
        <w:t xml:space="preserve"> minutes of exposure</w:t>
      </w:r>
      <w:r w:rsidR="00B618D5">
        <w:t xml:space="preserve"> </w:t>
      </w:r>
      <w:r w:rsidR="00B618D5">
        <w:fldChar w:fldCharType="begin" w:fldLock="1"/>
      </w:r>
      <w:r w:rsidR="00B62AAE">
        <w:instrText>ADDIN CSL_CITATION {"citationItems":[{"id":"ITEM-1","itemData":{"URL":"https://pubchem.ncbi.nlm.nih.gov/source/hsdb/354#section=Human-Toxicity-Excerpts-(Complete)","accessed":{"date-parts":[["2021","12","15"]]},"author":[{"dropping-particle":"","family":"PubChem","given":"","non-dropping-particle":"","parse-names":false,"suffix":""}],"container-title":"National Library of Medicine","id":"ITEM-1","issued":{"date-parts":[["2021"]]},"title":"Dimethyl ether","type":"webpage"},"uris":["http://www.mendeley.com/documents/?uuid=379c4e97-b478-40bd-a649-08b5e2043488"]}],"mendeley":{"formattedCitation":"(PubChem, 2021)","plainTextFormattedCitation":"(PubChem, 2021)","previouslyFormattedCitation":"(PubChem, 2021)"},"properties":{"noteIndex":0},"schema":"https://github.com/citation-style-language/schema/raw/master/csl-citation.json"}</w:instrText>
      </w:r>
      <w:r w:rsidR="00B618D5">
        <w:fldChar w:fldCharType="separate"/>
      </w:r>
      <w:r w:rsidR="009A057B" w:rsidRPr="009A057B">
        <w:rPr>
          <w:noProof/>
        </w:rPr>
        <w:t>(PubChem, 2021)</w:t>
      </w:r>
      <w:r w:rsidR="00B618D5">
        <w:fldChar w:fldCharType="end"/>
      </w:r>
      <w:r w:rsidR="005233DC">
        <w:t xml:space="preserve">. </w:t>
      </w:r>
    </w:p>
    <w:p w14:paraId="43FF8490" w14:textId="1BEEDECF" w:rsidR="00CC09BD" w:rsidRPr="00B95059" w:rsidRDefault="00C607E2" w:rsidP="00C607E2">
      <w:r w:rsidRPr="00A5431B">
        <w:rPr>
          <w:lang w:val="en-US"/>
        </w:rPr>
        <w:t xml:space="preserve">For the calculation of the DDs, </w:t>
      </w:r>
      <w:r w:rsidRPr="00A5431B">
        <w:t xml:space="preserve">the software PHAST v.6.5.4 </w:t>
      </w:r>
      <w:r w:rsidRPr="00A5431B">
        <w:fldChar w:fldCharType="begin" w:fldLock="1"/>
      </w:r>
      <w:r w:rsidR="00B62AAE">
        <w:instrText>ADDIN CSL_CITATION {"citationItems":[{"id":"ITEM-1","itemData":{"author":[{"dropping-particle":"","family":"DNV-GL","given":"","non-dropping-particle":"","parse-names":false,"suffix":""}],"id":"ITEM-1","issued":{"date-parts":[["2020"]]},"number":"6.4","title":"PHAST - Process Hazards Analysis Software, version 6.4","type":"article"},"uris":["http://www.mendeley.com/documents/?uuid=5ac5868e-aca4-485b-9fbc-292b0473b756","http://www.mendeley.com/documents/?uuid=1ce344f4-70d1-469e-bb61-a4601c2e6a40"]}],"mendeley":{"formattedCitation":"(DNV-GL, 2020)","plainTextFormattedCitation":"(DNV-GL, 2020)","previouslyFormattedCitation":"(DNV-GL, 2020)"},"properties":{"noteIndex":0},"schema":"https://github.com/citation-style-language/schema/raw/master/csl-citation.json"}</w:instrText>
      </w:r>
      <w:r w:rsidRPr="00A5431B">
        <w:fldChar w:fldCharType="separate"/>
      </w:r>
      <w:r w:rsidR="009A057B" w:rsidRPr="009A057B">
        <w:rPr>
          <w:noProof/>
        </w:rPr>
        <w:t>(DNV-GL, 2020)</w:t>
      </w:r>
      <w:r w:rsidRPr="00A5431B">
        <w:fldChar w:fldCharType="end"/>
      </w:r>
      <w:r w:rsidRPr="00A5431B">
        <w:t xml:space="preserve"> for consequences evaluation is used, applying reference environmental conditions (average wind speed of 1.5 m/s, Pasquill category F (i.e. night time, air temperature of 25 °C with 70 % of relative humidity, and surface temperature of 10 °C). Hazardous </w:t>
      </w:r>
      <w:r w:rsidRPr="00A5431B">
        <w:lastRenderedPageBreak/>
        <w:t xml:space="preserve">inventories less than </w:t>
      </w:r>
      <w:r w:rsidR="0084453E">
        <w:t>1</w:t>
      </w:r>
      <w:r w:rsidRPr="00A5431B">
        <w:t xml:space="preserve"> kg were not simulated; effects were registered at 1 m height from the ground level. Then after, </w:t>
      </w:r>
      <w:r>
        <w:t>IS-KPIs</w:t>
      </w:r>
      <w:r w:rsidRPr="00A5431B">
        <w:t xml:space="preserve"> are calculated for the i-th PHE as in Eqs. 1 </w:t>
      </w:r>
      <w:r w:rsidR="00660BFF">
        <w:t>to 4</w:t>
      </w:r>
      <w:r w:rsidRPr="00A5431B">
        <w:t>. The Unit Potential hazard Index (</w:t>
      </w:r>
      <m:oMath>
        <m:sSub>
          <m:sSubPr>
            <m:ctrlPr>
              <w:rPr>
                <w:rFonts w:ascii="Cambria Math" w:hAnsi="Cambria Math"/>
                <w:szCs w:val="24"/>
              </w:rPr>
            </m:ctrlPr>
          </m:sSubPr>
          <m:e>
            <m:r>
              <w:rPr>
                <w:rFonts w:ascii="Cambria Math" w:hAnsi="Cambria Math"/>
                <w:szCs w:val="24"/>
              </w:rPr>
              <m:t>UPI</m:t>
            </m:r>
          </m:e>
          <m:sub>
            <m:r>
              <w:rPr>
                <w:rFonts w:ascii="Cambria Math" w:hAnsi="Cambria Math"/>
                <w:szCs w:val="24"/>
              </w:rPr>
              <m:t>i</m:t>
            </m:r>
          </m:sub>
        </m:sSub>
      </m:oMath>
      <w:r w:rsidRPr="00A5431B">
        <w:t xml:space="preserve">) </w:t>
      </w:r>
      <w:r>
        <w:rPr>
          <w:szCs w:val="24"/>
        </w:rPr>
        <w:t>[</w:t>
      </w:r>
      <w:r w:rsidRPr="00A5431B">
        <w:rPr>
          <w:szCs w:val="24"/>
        </w:rPr>
        <w:t>m</w:t>
      </w:r>
      <w:r w:rsidRPr="00A5431B">
        <w:rPr>
          <w:szCs w:val="24"/>
          <w:vertAlign w:val="superscript"/>
        </w:rPr>
        <w:t>2</w:t>
      </w:r>
      <w:r>
        <w:rPr>
          <w:szCs w:val="24"/>
        </w:rPr>
        <w:t>]</w:t>
      </w:r>
      <w:r w:rsidRPr="00A5431B">
        <w:t xml:space="preserve"> is based on the comparison of all maximum damage distances h</w:t>
      </w:r>
      <w:r w:rsidRPr="00A5431B">
        <w:rPr>
          <w:i/>
          <w:iCs/>
          <w:vertAlign w:val="subscript"/>
        </w:rPr>
        <w:t>i,j</w:t>
      </w:r>
      <w:r w:rsidRPr="00A5431B">
        <w:t xml:space="preserve"> associated to the i-th PHE and derived by any j-th LOC, thus this indicator is a metric of the maximum impact area that could be affected by the worst-case scenario generated by the i-th PHE. The Unit inherent Hazard Index (</w:t>
      </w:r>
      <m:oMath>
        <m:sSub>
          <m:sSubPr>
            <m:ctrlPr>
              <w:rPr>
                <w:rFonts w:ascii="Cambria Math" w:hAnsi="Cambria Math"/>
                <w:szCs w:val="24"/>
              </w:rPr>
            </m:ctrlPr>
          </m:sSubPr>
          <m:e>
            <m:r>
              <w:rPr>
                <w:rFonts w:ascii="Cambria Math" w:hAnsi="Cambria Math"/>
                <w:szCs w:val="24"/>
              </w:rPr>
              <m:t>UHI</m:t>
            </m:r>
          </m:e>
          <m:sub>
            <m:r>
              <w:rPr>
                <w:rFonts w:ascii="Cambria Math" w:hAnsi="Cambria Math"/>
                <w:szCs w:val="24"/>
              </w:rPr>
              <m:t>i</m:t>
            </m:r>
          </m:sub>
        </m:sSub>
      </m:oMath>
      <w:r w:rsidRPr="00A5431B">
        <w:t xml:space="preserve">) </w:t>
      </w:r>
      <w:r>
        <w:rPr>
          <w:szCs w:val="24"/>
        </w:rPr>
        <w:t>[</w:t>
      </w:r>
      <w:r w:rsidRPr="00A5431B">
        <w:rPr>
          <w:szCs w:val="24"/>
        </w:rPr>
        <w:t>m</w:t>
      </w:r>
      <w:r w:rsidRPr="00A5431B">
        <w:rPr>
          <w:szCs w:val="24"/>
          <w:vertAlign w:val="superscript"/>
        </w:rPr>
        <w:t>2</w:t>
      </w:r>
      <w:r>
        <w:rPr>
          <w:szCs w:val="24"/>
        </w:rPr>
        <w:t>/y]</w:t>
      </w:r>
      <w:r w:rsidRPr="00A5431B">
        <w:rPr>
          <w:szCs w:val="24"/>
        </w:rPr>
        <w:t xml:space="preserve"> </w:t>
      </w:r>
      <w:r w:rsidRPr="00A5431B">
        <w:t xml:space="preserve">considers also the likelihood of the </w:t>
      </w:r>
      <w:r w:rsidR="0084453E">
        <w:t xml:space="preserve">worst </w:t>
      </w:r>
      <w:r w:rsidRPr="00A5431B">
        <w:t xml:space="preserve">release scenario </w:t>
      </w:r>
      <w:r w:rsidR="0084453E">
        <w:t>through the</w:t>
      </w:r>
      <w:r w:rsidRPr="00A5431B">
        <w:t xml:space="preserve"> </w:t>
      </w:r>
      <w:r w:rsidRPr="00A5431B">
        <w:rPr>
          <w:i/>
        </w:rPr>
        <w:t>C</w:t>
      </w:r>
      <w:r w:rsidRPr="00A5431B">
        <w:rPr>
          <w:i/>
          <w:vertAlign w:val="subscript"/>
        </w:rPr>
        <w:t>f</w:t>
      </w:r>
      <w:r w:rsidRPr="00A5431B">
        <w:t>s, thus being an expression of the risk associated to the equipment item.</w:t>
      </w:r>
      <w:r w:rsidR="0084453E">
        <w:t xml:space="preserve"> In order to deepen the consequence understanding, </w:t>
      </w:r>
      <w:r w:rsidR="00B95059">
        <w:t xml:space="preserve">also </w:t>
      </w:r>
      <w:r w:rsidR="0084453E">
        <w:t xml:space="preserve">the maximum fire scenario-derived DD and </w:t>
      </w:r>
      <w:r w:rsidR="00B95059">
        <w:t xml:space="preserve">toxic dispersion DD are associated </w:t>
      </w:r>
      <w:r w:rsidR="00660BFF">
        <w:t xml:space="preserve">to the </w:t>
      </w:r>
      <w:r w:rsidR="00660BFF" w:rsidRPr="00A5431B">
        <w:t>i-th PHE and j-th LOC</w:t>
      </w:r>
      <w:r w:rsidR="00660BFF">
        <w:t xml:space="preserve"> </w:t>
      </w:r>
      <w:r w:rsidR="00B95059">
        <w:t>and tagged as f</w:t>
      </w:r>
      <w:r w:rsidR="00B95059" w:rsidRPr="00A5431B">
        <w:rPr>
          <w:i/>
          <w:iCs/>
          <w:vertAlign w:val="subscript"/>
        </w:rPr>
        <w:t>i,j</w:t>
      </w:r>
      <w:r w:rsidR="00B95059">
        <w:rPr>
          <w:i/>
          <w:iCs/>
        </w:rPr>
        <w:t xml:space="preserve"> </w:t>
      </w:r>
      <w:r w:rsidR="00B95059" w:rsidRPr="00B95059">
        <w:t>and</w:t>
      </w:r>
      <w:r w:rsidR="00B95059">
        <w:rPr>
          <w:i/>
          <w:iCs/>
        </w:rPr>
        <w:t xml:space="preserve"> </w:t>
      </w:r>
      <w:r w:rsidR="00B95059">
        <w:t>t</w:t>
      </w:r>
      <w:r w:rsidR="00B95059" w:rsidRPr="00A5431B">
        <w:rPr>
          <w:i/>
          <w:iCs/>
          <w:vertAlign w:val="subscript"/>
        </w:rPr>
        <w:t>i,</w:t>
      </w:r>
      <w:r w:rsidR="00B95059">
        <w:rPr>
          <w:i/>
          <w:iCs/>
          <w:vertAlign w:val="subscript"/>
        </w:rPr>
        <w:t>j</w:t>
      </w:r>
      <w:r w:rsidR="00660BFF">
        <w:t xml:space="preserve"> respectively. These distances</w:t>
      </w:r>
      <w:r w:rsidR="00B95059">
        <w:t xml:space="preserve"> determine the quantification of the related indices in Eqs. 3 and 4, namely U</w:t>
      </w:r>
      <w:r w:rsidR="00B95059" w:rsidRPr="00A5431B">
        <w:t>nit</w:t>
      </w:r>
      <w:r w:rsidR="00B95059">
        <w:t xml:space="preserve"> Flammability</w:t>
      </w:r>
      <w:r w:rsidR="00B95059" w:rsidRPr="00A5431B">
        <w:t xml:space="preserve"> inherent Hazard Index (</w:t>
      </w:r>
      <m:oMath>
        <m:sSub>
          <m:sSubPr>
            <m:ctrlPr>
              <w:rPr>
                <w:rFonts w:ascii="Cambria Math" w:hAnsi="Cambria Math"/>
                <w:szCs w:val="24"/>
              </w:rPr>
            </m:ctrlPr>
          </m:sSubPr>
          <m:e>
            <m:r>
              <w:rPr>
                <w:rFonts w:ascii="Cambria Math" w:hAnsi="Cambria Math"/>
                <w:szCs w:val="24"/>
              </w:rPr>
              <m:t>UFHI</m:t>
            </m:r>
          </m:e>
          <m:sub>
            <m:r>
              <w:rPr>
                <w:rFonts w:ascii="Cambria Math" w:hAnsi="Cambria Math"/>
                <w:szCs w:val="24"/>
              </w:rPr>
              <m:t>i</m:t>
            </m:r>
          </m:sub>
        </m:sSub>
      </m:oMath>
      <w:r w:rsidR="00B95059" w:rsidRPr="00A5431B">
        <w:t xml:space="preserve">) </w:t>
      </w:r>
      <w:r w:rsidR="00B95059">
        <w:rPr>
          <w:szCs w:val="24"/>
        </w:rPr>
        <w:t>[</w:t>
      </w:r>
      <w:r w:rsidR="00B95059" w:rsidRPr="00A5431B">
        <w:rPr>
          <w:szCs w:val="24"/>
        </w:rPr>
        <w:t>m</w:t>
      </w:r>
      <w:r w:rsidR="00B95059" w:rsidRPr="00A5431B">
        <w:rPr>
          <w:szCs w:val="24"/>
          <w:vertAlign w:val="superscript"/>
        </w:rPr>
        <w:t>2</w:t>
      </w:r>
      <w:r w:rsidR="00B95059">
        <w:rPr>
          <w:szCs w:val="24"/>
        </w:rPr>
        <w:t xml:space="preserve">/y] and </w:t>
      </w:r>
      <w:r w:rsidR="00B95059">
        <w:t>U</w:t>
      </w:r>
      <w:r w:rsidR="00B95059" w:rsidRPr="00A5431B">
        <w:t>nit</w:t>
      </w:r>
      <w:r w:rsidR="00B95059">
        <w:t xml:space="preserve"> Toxicity </w:t>
      </w:r>
      <w:r w:rsidR="00B95059" w:rsidRPr="00A5431B">
        <w:t>inherent Hazard Index (</w:t>
      </w:r>
      <m:oMath>
        <m:sSub>
          <m:sSubPr>
            <m:ctrlPr>
              <w:rPr>
                <w:rFonts w:ascii="Cambria Math" w:hAnsi="Cambria Math"/>
                <w:szCs w:val="24"/>
              </w:rPr>
            </m:ctrlPr>
          </m:sSubPr>
          <m:e>
            <m:r>
              <w:rPr>
                <w:rFonts w:ascii="Cambria Math" w:hAnsi="Cambria Math"/>
                <w:szCs w:val="24"/>
              </w:rPr>
              <m:t>UTHI</m:t>
            </m:r>
          </m:e>
          <m:sub>
            <m:r>
              <w:rPr>
                <w:rFonts w:ascii="Cambria Math" w:hAnsi="Cambria Math"/>
                <w:szCs w:val="24"/>
              </w:rPr>
              <m:t>i</m:t>
            </m:r>
          </m:sub>
        </m:sSub>
      </m:oMath>
      <w:r w:rsidR="00B95059" w:rsidRPr="00A5431B">
        <w:t xml:space="preserve">) </w:t>
      </w:r>
      <w:r w:rsidR="00B95059">
        <w:rPr>
          <w:szCs w:val="24"/>
        </w:rPr>
        <w:t>[</w:t>
      </w:r>
      <w:r w:rsidR="00B95059" w:rsidRPr="00A5431B">
        <w:rPr>
          <w:szCs w:val="24"/>
        </w:rPr>
        <w:t>m</w:t>
      </w:r>
      <w:r w:rsidR="00B95059" w:rsidRPr="00A5431B">
        <w:rPr>
          <w:szCs w:val="24"/>
          <w:vertAlign w:val="superscript"/>
        </w:rPr>
        <w:t>2</w:t>
      </w:r>
      <w:r w:rsidR="00B95059">
        <w:rPr>
          <w:szCs w:val="24"/>
        </w:rPr>
        <w:t>/y]</w:t>
      </w:r>
      <w:r w:rsidR="00B95059">
        <w:t>.</w:t>
      </w:r>
    </w:p>
    <w:tbl>
      <w:tblPr>
        <w:tblW w:w="5000" w:type="pct"/>
        <w:tblLook w:val="04A0" w:firstRow="1" w:lastRow="0" w:firstColumn="1" w:lastColumn="0" w:noHBand="0" w:noVBand="1"/>
      </w:tblPr>
      <w:tblGrid>
        <w:gridCol w:w="7983"/>
        <w:gridCol w:w="804"/>
      </w:tblGrid>
      <w:tr w:rsidR="00C607E2" w:rsidRPr="00A5431B" w14:paraId="51780878" w14:textId="77777777" w:rsidTr="009A057B">
        <w:tc>
          <w:tcPr>
            <w:tcW w:w="8188" w:type="dxa"/>
            <w:shd w:val="clear" w:color="auto" w:fill="auto"/>
            <w:vAlign w:val="center"/>
          </w:tcPr>
          <w:p w14:paraId="37CFEECC" w14:textId="77777777" w:rsidR="00C607E2" w:rsidRPr="00A5431B" w:rsidRDefault="00D3122E" w:rsidP="009A057B">
            <w:pPr>
              <w:pStyle w:val="CETEquation"/>
            </w:pPr>
            <m:oMathPara>
              <m:oMathParaPr>
                <m:jc m:val="left"/>
              </m:oMathParaPr>
              <m:oMath>
                <m:sSub>
                  <m:sSubPr>
                    <m:ctrlPr>
                      <w:rPr>
                        <w:rFonts w:ascii="Cambria Math" w:hAnsi="Cambria Math"/>
                        <w:szCs w:val="24"/>
                      </w:rPr>
                    </m:ctrlPr>
                  </m:sSubPr>
                  <m:e>
                    <m:r>
                      <w:rPr>
                        <w:rFonts w:ascii="Cambria Math" w:hAnsi="Cambria Math"/>
                        <w:szCs w:val="24"/>
                      </w:rPr>
                      <m:t>UPI</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π max</m:t>
                    </m:r>
                  </m:e>
                  <m:sub>
                    <m:r>
                      <w:rPr>
                        <w:rFonts w:ascii="Cambria Math" w:hAnsi="Cambria Math"/>
                        <w:szCs w:val="24"/>
                      </w:rPr>
                      <m:t>j</m:t>
                    </m:r>
                  </m:sub>
                </m:sSub>
                <m:d>
                  <m:dPr>
                    <m:ctrlPr>
                      <w:rPr>
                        <w:rFonts w:ascii="Cambria Math" w:hAnsi="Cambria Math"/>
                        <w:szCs w:val="24"/>
                      </w:rPr>
                    </m:ctrlPr>
                  </m:dPr>
                  <m:e>
                    <m:sSup>
                      <m:sSupPr>
                        <m:ctrlPr>
                          <w:rPr>
                            <w:rFonts w:ascii="Cambria Math" w:hAnsi="Cambria Math"/>
                            <w:szCs w:val="24"/>
                          </w:rPr>
                        </m:ctrlPr>
                      </m:sSupPr>
                      <m:e>
                        <m:sSub>
                          <m:sSubPr>
                            <m:ctrlPr>
                              <w:rPr>
                                <w:rFonts w:ascii="Cambria Math" w:hAnsi="Cambria Math"/>
                                <w:szCs w:val="24"/>
                              </w:rPr>
                            </m:ctrlPr>
                          </m:sSubPr>
                          <m:e>
                            <m:r>
                              <w:rPr>
                                <w:rFonts w:ascii="Cambria Math" w:hAnsi="Cambria Math"/>
                                <w:szCs w:val="24"/>
                              </w:rPr>
                              <m:t>h</m:t>
                            </m:r>
                          </m:e>
                          <m:sub>
                            <m:r>
                              <w:rPr>
                                <w:rFonts w:ascii="Cambria Math" w:hAnsi="Cambria Math"/>
                                <w:szCs w:val="24"/>
                              </w:rPr>
                              <m:t>i</m:t>
                            </m:r>
                            <m:r>
                              <m:rPr>
                                <m:sty m:val="p"/>
                              </m:rPr>
                              <w:rPr>
                                <w:rFonts w:ascii="Cambria Math" w:hAnsi="Cambria Math"/>
                                <w:szCs w:val="24"/>
                              </w:rPr>
                              <m:t>,</m:t>
                            </m:r>
                            <m:r>
                              <w:rPr>
                                <w:rFonts w:ascii="Cambria Math" w:hAnsi="Cambria Math"/>
                                <w:szCs w:val="24"/>
                              </w:rPr>
                              <m:t>j</m:t>
                            </m:r>
                          </m:sub>
                        </m:sSub>
                      </m:e>
                      <m:sup>
                        <m:r>
                          <m:rPr>
                            <m:sty m:val="p"/>
                          </m:rPr>
                          <w:rPr>
                            <w:rFonts w:ascii="Cambria Math" w:hAnsi="Cambria Math"/>
                            <w:szCs w:val="24"/>
                          </w:rPr>
                          <m:t>2</m:t>
                        </m:r>
                      </m:sup>
                    </m:sSup>
                  </m:e>
                </m:d>
              </m:oMath>
            </m:oMathPara>
          </w:p>
        </w:tc>
        <w:tc>
          <w:tcPr>
            <w:tcW w:w="815" w:type="dxa"/>
            <w:shd w:val="clear" w:color="auto" w:fill="auto"/>
            <w:vAlign w:val="center"/>
          </w:tcPr>
          <w:p w14:paraId="3F08D8F5" w14:textId="77777777" w:rsidR="00C607E2" w:rsidRPr="00A5431B" w:rsidRDefault="00C607E2" w:rsidP="009A057B">
            <w:pPr>
              <w:pStyle w:val="CETEquation"/>
              <w:jc w:val="right"/>
            </w:pPr>
            <w:r w:rsidRPr="00A5431B">
              <w:t>(1)</w:t>
            </w:r>
          </w:p>
        </w:tc>
      </w:tr>
      <w:tr w:rsidR="00C607E2" w:rsidRPr="00A5431B" w14:paraId="0DF896CF" w14:textId="77777777" w:rsidTr="009A057B">
        <w:tc>
          <w:tcPr>
            <w:tcW w:w="8188" w:type="dxa"/>
            <w:shd w:val="clear" w:color="auto" w:fill="auto"/>
            <w:vAlign w:val="center"/>
          </w:tcPr>
          <w:p w14:paraId="04E9B8CB" w14:textId="77777777" w:rsidR="00C607E2" w:rsidRPr="00A5431B" w:rsidRDefault="00D3122E" w:rsidP="009A057B">
            <w:pPr>
              <w:pStyle w:val="CETEquation"/>
            </w:pPr>
            <m:oMathPara>
              <m:oMathParaPr>
                <m:jc m:val="left"/>
              </m:oMathParaPr>
              <m:oMath>
                <m:sSub>
                  <m:sSubPr>
                    <m:ctrlPr>
                      <w:rPr>
                        <w:rFonts w:ascii="Cambria Math" w:hAnsi="Cambria Math"/>
                        <w:szCs w:val="24"/>
                      </w:rPr>
                    </m:ctrlPr>
                  </m:sSubPr>
                  <m:e>
                    <m:r>
                      <w:rPr>
                        <w:rFonts w:ascii="Cambria Math" w:hAnsi="Cambria Math"/>
                        <w:szCs w:val="24"/>
                      </w:rPr>
                      <m:t>UHI</m:t>
                    </m:r>
                  </m:e>
                  <m:sub>
                    <m:r>
                      <w:rPr>
                        <w:rFonts w:ascii="Cambria Math" w:hAnsi="Cambria Math"/>
                        <w:szCs w:val="24"/>
                      </w:rPr>
                      <m:t>i</m:t>
                    </m:r>
                  </m:sub>
                </m:sSub>
                <m:r>
                  <m:rPr>
                    <m:sty m:val="p"/>
                  </m:rPr>
                  <w:rPr>
                    <w:rFonts w:ascii="Cambria Math" w:hAnsi="Cambria Math"/>
                    <w:szCs w:val="24"/>
                  </w:rPr>
                  <m:t xml:space="preserve">= </m:t>
                </m:r>
                <m:r>
                  <w:rPr>
                    <w:rFonts w:ascii="Cambria Math" w:hAnsi="Cambria Math"/>
                    <w:szCs w:val="24"/>
                  </w:rPr>
                  <m:t>π</m:t>
                </m:r>
                <m:nary>
                  <m:naryPr>
                    <m:chr m:val="∑"/>
                    <m:limLoc m:val="subSup"/>
                    <m:ctrlPr>
                      <w:rPr>
                        <w:rFonts w:ascii="Cambria Math" w:hAnsi="Cambria Math"/>
                        <w:szCs w:val="24"/>
                      </w:rPr>
                    </m:ctrlPr>
                  </m:naryPr>
                  <m:sub>
                    <m:r>
                      <w:rPr>
                        <w:rFonts w:ascii="Cambria Math" w:hAnsi="Cambria Math"/>
                        <w:szCs w:val="24"/>
                      </w:rPr>
                      <m:t>j</m:t>
                    </m:r>
                  </m:sub>
                  <m:sup>
                    <m:r>
                      <m:rPr>
                        <m:sty m:val="p"/>
                      </m:rPr>
                      <w:rPr>
                        <w:rFonts w:ascii="Cambria Math" w:hAnsi="Cambria Math"/>
                        <w:szCs w:val="24"/>
                      </w:rPr>
                      <m:t>LOC</m:t>
                    </m:r>
                  </m:sup>
                  <m:e>
                    <m:sSub>
                      <m:sSubPr>
                        <m:ctrlPr>
                          <w:rPr>
                            <w:rFonts w:ascii="Cambria Math" w:hAnsi="Cambria Math"/>
                            <w:szCs w:val="24"/>
                          </w:rPr>
                        </m:ctrlPr>
                      </m:sSubPr>
                      <m:e>
                        <m:r>
                          <w:rPr>
                            <w:rFonts w:ascii="Cambria Math" w:hAnsi="Cambria Math"/>
                            <w:szCs w:val="24"/>
                          </w:rPr>
                          <m:t>C</m:t>
                        </m:r>
                      </m:e>
                      <m:sub>
                        <m:r>
                          <w:rPr>
                            <w:rFonts w:ascii="Cambria Math" w:hAnsi="Cambria Math"/>
                            <w:szCs w:val="24"/>
                          </w:rPr>
                          <m:t>fi</m:t>
                        </m:r>
                        <m:r>
                          <m:rPr>
                            <m:sty m:val="p"/>
                          </m:rPr>
                          <w:rPr>
                            <w:rFonts w:ascii="Cambria Math" w:hAnsi="Cambria Math"/>
                            <w:szCs w:val="24"/>
                          </w:rPr>
                          <m:t>,</m:t>
                        </m:r>
                        <m:r>
                          <w:rPr>
                            <w:rFonts w:ascii="Cambria Math" w:hAnsi="Cambria Math"/>
                            <w:szCs w:val="24"/>
                          </w:rPr>
                          <m:t>j</m:t>
                        </m:r>
                      </m:sub>
                    </m:sSub>
                    <m: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m:rPr>
                                <m:sty m:val="p"/>
                              </m:rPr>
                              <w:rPr>
                                <w:rFonts w:ascii="Cambria Math" w:hAnsi="Cambria Math"/>
                                <w:szCs w:val="24"/>
                              </w:rPr>
                              <m:t xml:space="preserve"> </m:t>
                            </m:r>
                            <m:r>
                              <w:rPr>
                                <w:rFonts w:ascii="Cambria Math" w:hAnsi="Cambria Math"/>
                                <w:szCs w:val="24"/>
                              </w:rPr>
                              <m:t>h</m:t>
                            </m:r>
                          </m:e>
                          <m:sub>
                            <m:r>
                              <w:rPr>
                                <w:rFonts w:ascii="Cambria Math" w:hAnsi="Cambria Math"/>
                                <w:szCs w:val="24"/>
                              </w:rPr>
                              <m:t>i</m:t>
                            </m:r>
                            <m:r>
                              <m:rPr>
                                <m:sty m:val="p"/>
                              </m:rPr>
                              <w:rPr>
                                <w:rFonts w:ascii="Cambria Math" w:hAnsi="Cambria Math"/>
                                <w:szCs w:val="24"/>
                              </w:rPr>
                              <m:t>,</m:t>
                            </m:r>
                            <m:r>
                              <w:rPr>
                                <w:rFonts w:ascii="Cambria Math" w:hAnsi="Cambria Math"/>
                                <w:szCs w:val="24"/>
                              </w:rPr>
                              <m:t>j</m:t>
                            </m:r>
                          </m:sub>
                        </m:sSub>
                      </m:e>
                      <m:sup>
                        <m:r>
                          <m:rPr>
                            <m:sty m:val="p"/>
                          </m:rPr>
                          <w:rPr>
                            <w:rFonts w:ascii="Cambria Math" w:hAnsi="Cambria Math"/>
                            <w:szCs w:val="24"/>
                          </w:rPr>
                          <m:t>2</m:t>
                        </m:r>
                      </m:sup>
                    </m:sSup>
                  </m:e>
                </m:nary>
              </m:oMath>
            </m:oMathPara>
          </w:p>
        </w:tc>
        <w:tc>
          <w:tcPr>
            <w:tcW w:w="815" w:type="dxa"/>
            <w:shd w:val="clear" w:color="auto" w:fill="auto"/>
            <w:vAlign w:val="center"/>
          </w:tcPr>
          <w:p w14:paraId="1562E504" w14:textId="77777777" w:rsidR="00C607E2" w:rsidRPr="00A5431B" w:rsidRDefault="00C607E2" w:rsidP="009A057B">
            <w:pPr>
              <w:pStyle w:val="CETEquation"/>
              <w:jc w:val="right"/>
            </w:pPr>
            <w:r w:rsidRPr="00A5431B">
              <w:t>(2)</w:t>
            </w:r>
          </w:p>
        </w:tc>
      </w:tr>
      <w:tr w:rsidR="00990430" w:rsidRPr="00A5431B" w14:paraId="2C899DC5" w14:textId="77777777" w:rsidTr="009A057B">
        <w:tc>
          <w:tcPr>
            <w:tcW w:w="8188" w:type="dxa"/>
            <w:shd w:val="clear" w:color="auto" w:fill="auto"/>
            <w:vAlign w:val="center"/>
          </w:tcPr>
          <w:p w14:paraId="5087282B" w14:textId="6A2027C9" w:rsidR="00990430" w:rsidRPr="00990430" w:rsidRDefault="00D3122E" w:rsidP="00990430">
            <w:pPr>
              <w:pStyle w:val="CETEquation"/>
              <w:jc w:val="both"/>
              <w:rPr>
                <w:i/>
                <w:szCs w:val="24"/>
              </w:rPr>
            </w:pPr>
            <m:oMathPara>
              <m:oMathParaPr>
                <m:jc m:val="left"/>
              </m:oMathParaPr>
              <m:oMath>
                <m:sSub>
                  <m:sSubPr>
                    <m:ctrlPr>
                      <w:rPr>
                        <w:rFonts w:ascii="Cambria Math" w:hAnsi="Cambria Math"/>
                        <w:i/>
                        <w:szCs w:val="24"/>
                      </w:rPr>
                    </m:ctrlPr>
                  </m:sSubPr>
                  <m:e>
                    <m:r>
                      <w:rPr>
                        <w:rFonts w:ascii="Cambria Math" w:hAnsi="Cambria Math"/>
                        <w:szCs w:val="24"/>
                      </w:rPr>
                      <m:t>UFHI</m:t>
                    </m:r>
                  </m:e>
                  <m:sub>
                    <m:r>
                      <w:rPr>
                        <w:rFonts w:ascii="Cambria Math" w:hAnsi="Cambria Math"/>
                        <w:szCs w:val="24"/>
                      </w:rPr>
                      <m:t>i</m:t>
                    </m:r>
                  </m:sub>
                </m:sSub>
                <m:r>
                  <w:rPr>
                    <w:rFonts w:ascii="Cambria Math" w:hAnsi="Cambria Math"/>
                    <w:szCs w:val="24"/>
                  </w:rPr>
                  <m:t>= π</m:t>
                </m:r>
                <m:nary>
                  <m:naryPr>
                    <m:chr m:val="∑"/>
                    <m:limLoc m:val="subSup"/>
                    <m:ctrlPr>
                      <w:rPr>
                        <w:rFonts w:ascii="Cambria Math" w:hAnsi="Cambria Math"/>
                        <w:i/>
                        <w:szCs w:val="24"/>
                      </w:rPr>
                    </m:ctrlPr>
                  </m:naryPr>
                  <m:sub>
                    <m:r>
                      <w:rPr>
                        <w:rFonts w:ascii="Cambria Math" w:hAnsi="Cambria Math"/>
                        <w:szCs w:val="24"/>
                      </w:rPr>
                      <m:t>j</m:t>
                    </m:r>
                  </m:sub>
                  <m:sup>
                    <m:r>
                      <w:rPr>
                        <w:rFonts w:ascii="Cambria Math" w:hAnsi="Cambria Math"/>
                        <w:szCs w:val="24"/>
                      </w:rPr>
                      <m:t>LOC</m:t>
                    </m:r>
                  </m:sup>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fi,j</m:t>
                        </m:r>
                      </m:sub>
                    </m:sSub>
                    <m:r>
                      <w:rPr>
                        <w:rFonts w:ascii="Cambria Math" w:hAnsi="Cambria Math"/>
                        <w:szCs w:val="24"/>
                      </w:rPr>
                      <m:t>∙</m:t>
                    </m:r>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 xml:space="preserve"> f</m:t>
                            </m:r>
                          </m:e>
                          <m:sub>
                            <m:r>
                              <w:rPr>
                                <w:rFonts w:ascii="Cambria Math" w:hAnsi="Cambria Math"/>
                                <w:szCs w:val="24"/>
                              </w:rPr>
                              <m:t>i,j</m:t>
                            </m:r>
                          </m:sub>
                        </m:sSub>
                      </m:e>
                      <m:sup>
                        <m:r>
                          <w:rPr>
                            <w:rFonts w:ascii="Cambria Math" w:hAnsi="Cambria Math"/>
                            <w:szCs w:val="24"/>
                          </w:rPr>
                          <m:t>2</m:t>
                        </m:r>
                      </m:sup>
                    </m:sSup>
                  </m:e>
                </m:nary>
              </m:oMath>
            </m:oMathPara>
          </w:p>
        </w:tc>
        <w:tc>
          <w:tcPr>
            <w:tcW w:w="815" w:type="dxa"/>
            <w:shd w:val="clear" w:color="auto" w:fill="auto"/>
            <w:vAlign w:val="center"/>
          </w:tcPr>
          <w:p w14:paraId="6C1CEBA9" w14:textId="1908E57D" w:rsidR="00990430" w:rsidRPr="00A5431B" w:rsidRDefault="00990430" w:rsidP="00990430">
            <w:pPr>
              <w:pStyle w:val="CETEquation"/>
              <w:jc w:val="right"/>
            </w:pPr>
            <w:r w:rsidRPr="00A5431B">
              <w:t>(</w:t>
            </w:r>
            <w:r>
              <w:t>3</w:t>
            </w:r>
            <w:r w:rsidRPr="00A5431B">
              <w:t>)</w:t>
            </w:r>
          </w:p>
        </w:tc>
      </w:tr>
      <w:tr w:rsidR="00990430" w:rsidRPr="00A5431B" w14:paraId="01E7921D" w14:textId="77777777" w:rsidTr="009A057B">
        <w:tc>
          <w:tcPr>
            <w:tcW w:w="8188" w:type="dxa"/>
            <w:shd w:val="clear" w:color="auto" w:fill="auto"/>
            <w:vAlign w:val="center"/>
          </w:tcPr>
          <w:p w14:paraId="36764D48" w14:textId="6EA32CFF" w:rsidR="00990430" w:rsidRPr="00990430" w:rsidRDefault="00D3122E" w:rsidP="00990430">
            <w:pPr>
              <w:pStyle w:val="CETEquation"/>
              <w:jc w:val="both"/>
              <w:rPr>
                <w:i/>
                <w:szCs w:val="24"/>
              </w:rPr>
            </w:pPr>
            <m:oMathPara>
              <m:oMathParaPr>
                <m:jc m:val="left"/>
              </m:oMathParaPr>
              <m:oMath>
                <m:sSub>
                  <m:sSubPr>
                    <m:ctrlPr>
                      <w:rPr>
                        <w:rFonts w:ascii="Cambria Math" w:hAnsi="Cambria Math"/>
                        <w:i/>
                        <w:szCs w:val="24"/>
                      </w:rPr>
                    </m:ctrlPr>
                  </m:sSubPr>
                  <m:e>
                    <m:r>
                      <w:rPr>
                        <w:rFonts w:ascii="Cambria Math" w:hAnsi="Cambria Math"/>
                        <w:szCs w:val="24"/>
                      </w:rPr>
                      <m:t>UTHI</m:t>
                    </m:r>
                  </m:e>
                  <m:sub>
                    <m:r>
                      <w:rPr>
                        <w:rFonts w:ascii="Cambria Math" w:hAnsi="Cambria Math"/>
                        <w:szCs w:val="24"/>
                      </w:rPr>
                      <m:t>i</m:t>
                    </m:r>
                  </m:sub>
                </m:sSub>
                <m:r>
                  <w:rPr>
                    <w:rFonts w:ascii="Cambria Math" w:hAnsi="Cambria Math"/>
                    <w:szCs w:val="24"/>
                  </w:rPr>
                  <m:t>= π</m:t>
                </m:r>
                <m:nary>
                  <m:naryPr>
                    <m:chr m:val="∑"/>
                    <m:limLoc m:val="subSup"/>
                    <m:ctrlPr>
                      <w:rPr>
                        <w:rFonts w:ascii="Cambria Math" w:hAnsi="Cambria Math"/>
                        <w:i/>
                        <w:szCs w:val="24"/>
                      </w:rPr>
                    </m:ctrlPr>
                  </m:naryPr>
                  <m:sub>
                    <m:r>
                      <w:rPr>
                        <w:rFonts w:ascii="Cambria Math" w:hAnsi="Cambria Math"/>
                        <w:szCs w:val="24"/>
                      </w:rPr>
                      <m:t>j</m:t>
                    </m:r>
                  </m:sub>
                  <m:sup>
                    <m:r>
                      <w:rPr>
                        <w:rFonts w:ascii="Cambria Math" w:hAnsi="Cambria Math"/>
                        <w:szCs w:val="24"/>
                      </w:rPr>
                      <m:t>LOC</m:t>
                    </m:r>
                  </m:sup>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fi,j</m:t>
                        </m:r>
                      </m:sub>
                    </m:sSub>
                    <m:r>
                      <w:rPr>
                        <w:rFonts w:ascii="Cambria Math" w:hAnsi="Cambria Math"/>
                        <w:szCs w:val="24"/>
                      </w:rPr>
                      <m:t>∙</m:t>
                    </m:r>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 xml:space="preserve"> t</m:t>
                            </m:r>
                          </m:e>
                          <m:sub>
                            <m:r>
                              <w:rPr>
                                <w:rFonts w:ascii="Cambria Math" w:hAnsi="Cambria Math"/>
                                <w:szCs w:val="24"/>
                              </w:rPr>
                              <m:t>i,j</m:t>
                            </m:r>
                          </m:sub>
                        </m:sSub>
                      </m:e>
                      <m:sup>
                        <m:r>
                          <w:rPr>
                            <w:rFonts w:ascii="Cambria Math" w:hAnsi="Cambria Math"/>
                            <w:szCs w:val="24"/>
                          </w:rPr>
                          <m:t>2</m:t>
                        </m:r>
                      </m:sup>
                    </m:sSup>
                  </m:e>
                </m:nary>
              </m:oMath>
            </m:oMathPara>
          </w:p>
        </w:tc>
        <w:tc>
          <w:tcPr>
            <w:tcW w:w="815" w:type="dxa"/>
            <w:shd w:val="clear" w:color="auto" w:fill="auto"/>
            <w:vAlign w:val="center"/>
          </w:tcPr>
          <w:p w14:paraId="737F9E44" w14:textId="33B59C3E" w:rsidR="00990430" w:rsidRPr="00A5431B" w:rsidRDefault="00990430" w:rsidP="00990430">
            <w:pPr>
              <w:pStyle w:val="CETEquation"/>
              <w:jc w:val="right"/>
            </w:pPr>
            <w:r w:rsidRPr="00A5431B">
              <w:t>(</w:t>
            </w:r>
            <w:r>
              <w:t>4</w:t>
            </w:r>
            <w:r w:rsidRPr="00A5431B">
              <w:t>)</w:t>
            </w:r>
          </w:p>
        </w:tc>
      </w:tr>
    </w:tbl>
    <w:p w14:paraId="14BE3A33" w14:textId="582F1B76" w:rsidR="00C607E2" w:rsidRPr="00A5431B" w:rsidRDefault="00C607E2" w:rsidP="00C607E2">
      <w:pPr>
        <w:pStyle w:val="CETBodytext"/>
        <w:rPr>
          <w:lang w:val="en-GB"/>
        </w:rPr>
      </w:pPr>
      <w:r w:rsidRPr="00A5431B">
        <w:rPr>
          <w:lang w:val="en-GB"/>
        </w:rPr>
        <w:t>Finally, the unit metrics are unified in overall process IS-KPIs</w:t>
      </w:r>
      <w:r w:rsidR="00990430">
        <w:rPr>
          <w:lang w:val="en-GB"/>
        </w:rPr>
        <w:t xml:space="preserve"> (</w:t>
      </w:r>
      <m:oMath>
        <m:r>
          <w:rPr>
            <w:rFonts w:ascii="Cambria Math" w:hAnsi="Cambria Math"/>
            <w:szCs w:val="24"/>
          </w:rPr>
          <m:t>PI,</m:t>
        </m:r>
      </m:oMath>
      <w:r w:rsidRPr="00A5431B">
        <w:rPr>
          <w:lang w:val="en-GB"/>
        </w:rPr>
        <w:t xml:space="preserve"> </w:t>
      </w:r>
      <m:oMath>
        <m:r>
          <w:rPr>
            <w:rFonts w:ascii="Cambria Math" w:hAnsi="Cambria Math"/>
            <w:szCs w:val="24"/>
          </w:rPr>
          <m:t>HI</m:t>
        </m:r>
      </m:oMath>
      <w:r w:rsidRPr="00A5431B">
        <w:rPr>
          <w:lang w:val="en-GB"/>
        </w:rPr>
        <w:t xml:space="preserve">, </w:t>
      </w:r>
      <m:oMath>
        <m:r>
          <w:rPr>
            <w:rFonts w:ascii="Cambria Math" w:hAnsi="Cambria Math"/>
            <w:szCs w:val="24"/>
            <w:lang w:val="en-GB"/>
          </w:rPr>
          <m:t>FH</m:t>
        </m:r>
        <m:r>
          <w:rPr>
            <w:rFonts w:ascii="Cambria Math" w:hAnsi="Cambria Math"/>
            <w:szCs w:val="24"/>
          </w:rPr>
          <m:t>I,</m:t>
        </m:r>
      </m:oMath>
      <w:r w:rsidR="00990430" w:rsidRPr="00A5431B">
        <w:rPr>
          <w:lang w:val="en-GB"/>
        </w:rPr>
        <w:t xml:space="preserve"> </w:t>
      </w:r>
      <m:oMath>
        <m:r>
          <w:rPr>
            <w:rFonts w:ascii="Cambria Math" w:hAnsi="Cambria Math"/>
            <w:lang w:val="en-GB"/>
          </w:rPr>
          <m:t>T</m:t>
        </m:r>
        <m:r>
          <w:rPr>
            <w:rFonts w:ascii="Cambria Math" w:hAnsi="Cambria Math"/>
            <w:szCs w:val="24"/>
          </w:rPr>
          <m:t>HI</m:t>
        </m:r>
      </m:oMath>
      <w:r w:rsidR="00990430">
        <w:rPr>
          <w:szCs w:val="24"/>
        </w:rPr>
        <w:t>)</w:t>
      </w:r>
      <w:r w:rsidR="00990430" w:rsidRPr="00A5431B">
        <w:rPr>
          <w:lang w:val="en-GB"/>
        </w:rPr>
        <w:t xml:space="preserve"> </w:t>
      </w:r>
      <w:r w:rsidRPr="00A5431B">
        <w:rPr>
          <w:lang w:val="en-GB"/>
        </w:rPr>
        <w:t xml:space="preserve">through a summation on all PHEs identified, which allow the discussion </w:t>
      </w:r>
      <w:r w:rsidR="00990430">
        <w:rPr>
          <w:lang w:val="en-GB"/>
        </w:rPr>
        <w:t>about</w:t>
      </w:r>
      <w:r>
        <w:rPr>
          <w:lang w:val="en-GB"/>
        </w:rPr>
        <w:t xml:space="preserve"> process </w:t>
      </w:r>
      <w:r w:rsidRPr="00A5431B">
        <w:rPr>
          <w:lang w:val="en-GB"/>
        </w:rPr>
        <w:t>alternatives and their ranking</w:t>
      </w:r>
      <w:r w:rsidR="00621C9A">
        <w:rPr>
          <w:lang w:val="en-GB"/>
        </w:rPr>
        <w:t xml:space="preserve"> from the inherent safety</w:t>
      </w:r>
      <w:r w:rsidR="00990430">
        <w:rPr>
          <w:lang w:val="en-GB"/>
        </w:rPr>
        <w:t xml:space="preserve"> standpoint</w:t>
      </w:r>
      <w:r w:rsidRPr="00A5431B">
        <w:rPr>
          <w:lang w:val="en-GB"/>
        </w:rPr>
        <w:t>.</w:t>
      </w:r>
    </w:p>
    <w:p w14:paraId="60CB7671" w14:textId="77777777" w:rsidR="00C607E2" w:rsidRPr="00A5431B" w:rsidRDefault="00C607E2" w:rsidP="00C607E2">
      <w:pPr>
        <w:pStyle w:val="CETHeading1"/>
        <w:tabs>
          <w:tab w:val="clear" w:pos="360"/>
          <w:tab w:val="right" w:pos="7100"/>
        </w:tabs>
        <w:jc w:val="both"/>
        <w:rPr>
          <w:lang w:val="en-GB"/>
        </w:rPr>
      </w:pPr>
      <w:r w:rsidRPr="00A5431B">
        <w:rPr>
          <w:lang w:val="en-GB"/>
        </w:rPr>
        <w:t>Process Schemes</w:t>
      </w:r>
    </w:p>
    <w:p w14:paraId="1EDCFFBE" w14:textId="4CBF9DF0" w:rsidR="00C607E2" w:rsidRPr="00C607E2" w:rsidRDefault="00C607E2" w:rsidP="00C607E2">
      <w:pPr>
        <w:pStyle w:val="CETBodytext"/>
        <w:rPr>
          <w:highlight w:val="yellow"/>
          <w:lang w:val="en-GB"/>
        </w:rPr>
      </w:pPr>
      <w:r w:rsidRPr="000426B7">
        <w:rPr>
          <w:lang w:val="en-GB"/>
        </w:rPr>
        <w:t xml:space="preserve">The design of the </w:t>
      </w:r>
      <w:r w:rsidR="00D776E5" w:rsidRPr="000426B7">
        <w:rPr>
          <w:lang w:val="en-GB"/>
        </w:rPr>
        <w:t>process</w:t>
      </w:r>
      <w:r w:rsidR="00660BFF">
        <w:rPr>
          <w:lang w:val="en-GB"/>
        </w:rPr>
        <w:t>es</w:t>
      </w:r>
      <w:r w:rsidR="00D776E5" w:rsidRPr="000426B7">
        <w:rPr>
          <w:lang w:val="en-GB"/>
        </w:rPr>
        <w:t xml:space="preserve"> for the production of methanol and DME from CO</w:t>
      </w:r>
      <w:r w:rsidR="00D776E5" w:rsidRPr="000426B7">
        <w:rPr>
          <w:vertAlign w:val="subscript"/>
          <w:lang w:val="en-GB"/>
        </w:rPr>
        <w:t>2</w:t>
      </w:r>
      <w:r w:rsidR="00D776E5" w:rsidRPr="000426B7">
        <w:rPr>
          <w:lang w:val="en-GB"/>
        </w:rPr>
        <w:t xml:space="preserve"> hydrogenation</w:t>
      </w:r>
      <w:r w:rsidRPr="000426B7">
        <w:rPr>
          <w:lang w:val="en-GB"/>
        </w:rPr>
        <w:t xml:space="preserve"> was based on a productivity equal to </w:t>
      </w:r>
      <w:r w:rsidR="000426B7" w:rsidRPr="000426B7">
        <w:rPr>
          <w:lang w:val="en-GB"/>
        </w:rPr>
        <w:t>500 t/y</w:t>
      </w:r>
      <w:r w:rsidR="00990430">
        <w:rPr>
          <w:lang w:val="en-GB"/>
        </w:rPr>
        <w:t xml:space="preserve"> and </w:t>
      </w:r>
      <w:r w:rsidR="00660BFF">
        <w:rPr>
          <w:lang w:val="en-GB"/>
        </w:rPr>
        <w:t xml:space="preserve">on a </w:t>
      </w:r>
      <w:r w:rsidR="00990430">
        <w:rPr>
          <w:lang w:val="en-GB"/>
        </w:rPr>
        <w:t>products purity of 98 % molar basis.</w:t>
      </w:r>
      <w:r w:rsidR="000426B7" w:rsidRPr="000426B7">
        <w:rPr>
          <w:lang w:val="en-GB"/>
        </w:rPr>
        <w:t xml:space="preserve"> </w:t>
      </w:r>
    </w:p>
    <w:p w14:paraId="39C10154" w14:textId="12915433" w:rsidR="000626C4" w:rsidRDefault="00C607E2" w:rsidP="00A70BBF">
      <w:pPr>
        <w:pStyle w:val="CETBodytext"/>
      </w:pPr>
      <w:r w:rsidRPr="00C14971">
        <w:rPr>
          <w:lang w:val="en-GB"/>
        </w:rPr>
        <w:t xml:space="preserve">The simplified process schemes are reported in </w:t>
      </w:r>
      <w:r w:rsidRPr="00C14971">
        <w:rPr>
          <w:lang w:val="en-GB"/>
        </w:rPr>
        <w:fldChar w:fldCharType="begin"/>
      </w:r>
      <w:r w:rsidRPr="00C14971">
        <w:rPr>
          <w:lang w:val="en-GB"/>
        </w:rPr>
        <w:instrText xml:space="preserve"> REF _Ref90622956 \h  \* MERGEFORMAT </w:instrText>
      </w:r>
      <w:r w:rsidRPr="00C14971">
        <w:rPr>
          <w:lang w:val="en-GB"/>
        </w:rPr>
      </w:r>
      <w:r w:rsidRPr="00C14971">
        <w:rPr>
          <w:lang w:val="en-GB"/>
        </w:rPr>
        <w:fldChar w:fldCharType="separate"/>
      </w:r>
      <w:r w:rsidRPr="00C14971">
        <w:t xml:space="preserve">Figure </w:t>
      </w:r>
      <w:r w:rsidRPr="00C14971">
        <w:rPr>
          <w:noProof/>
        </w:rPr>
        <w:t>1</w:t>
      </w:r>
      <w:r w:rsidRPr="00C14971">
        <w:rPr>
          <w:lang w:val="en-GB"/>
        </w:rPr>
        <w:fldChar w:fldCharType="end"/>
      </w:r>
      <w:r w:rsidRPr="00C14971">
        <w:rPr>
          <w:lang w:val="en-GB"/>
        </w:rPr>
        <w:t xml:space="preserve"> and </w:t>
      </w:r>
      <w:r w:rsidRPr="00C14971">
        <w:rPr>
          <w:lang w:val="en-GB"/>
        </w:rPr>
        <w:fldChar w:fldCharType="begin"/>
      </w:r>
      <w:r w:rsidRPr="00C14971">
        <w:rPr>
          <w:lang w:val="en-GB"/>
        </w:rPr>
        <w:instrText xml:space="preserve"> REF _Ref90622976 \h  \* MERGEFORMAT </w:instrText>
      </w:r>
      <w:r w:rsidRPr="00C14971">
        <w:rPr>
          <w:lang w:val="en-GB"/>
        </w:rPr>
      </w:r>
      <w:r w:rsidRPr="00C14971">
        <w:rPr>
          <w:lang w:val="en-GB"/>
        </w:rPr>
        <w:fldChar w:fldCharType="separate"/>
      </w:r>
      <w:r w:rsidRPr="00C14971">
        <w:t xml:space="preserve">Figure </w:t>
      </w:r>
      <w:r w:rsidRPr="00C14971">
        <w:rPr>
          <w:noProof/>
        </w:rPr>
        <w:t>2</w:t>
      </w:r>
      <w:r w:rsidRPr="00C14971">
        <w:rPr>
          <w:lang w:val="en-GB"/>
        </w:rPr>
        <w:fldChar w:fldCharType="end"/>
      </w:r>
      <w:r w:rsidRPr="00C14971">
        <w:rPr>
          <w:lang w:val="en-GB"/>
        </w:rPr>
        <w:t>, where PHEs, i.e. equipment containing h</w:t>
      </w:r>
      <w:r w:rsidR="00990430" w:rsidRPr="00C14971">
        <w:rPr>
          <w:lang w:val="en-GB"/>
        </w:rPr>
        <w:t>azardous</w:t>
      </w:r>
      <w:r w:rsidRPr="00C14971">
        <w:rPr>
          <w:lang w:val="en-GB"/>
        </w:rPr>
        <w:t xml:space="preserve"> inventories, are highlighted. </w:t>
      </w:r>
    </w:p>
    <w:p w14:paraId="4C425021" w14:textId="77777777" w:rsidR="000626C4" w:rsidRPr="00547BA0" w:rsidRDefault="000626C4" w:rsidP="00A70BBF">
      <w:pPr>
        <w:pStyle w:val="CETBodytext"/>
      </w:pPr>
    </w:p>
    <w:p w14:paraId="3D01F50A" w14:textId="749A3763" w:rsidR="00C607E2" w:rsidRPr="00A81B27" w:rsidRDefault="00E43C2B" w:rsidP="00A81B27">
      <w:pPr>
        <w:pStyle w:val="CETBodytext"/>
        <w:keepNext/>
        <w:jc w:val="left"/>
      </w:pPr>
      <w:r>
        <w:rPr>
          <w:noProof/>
          <w:lang w:val="en-GB" w:eastAsia="en-GB"/>
        </w:rPr>
        <w:drawing>
          <wp:inline distT="0" distB="0" distL="0" distR="0" wp14:anchorId="69E002C8" wp14:editId="07059E70">
            <wp:extent cx="5562600" cy="2460014"/>
            <wp:effectExtent l="0" t="0" r="0" b="0"/>
            <wp:docPr id="1" name="Immagin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3947" cy="2465032"/>
                    </a:xfrm>
                    <a:prstGeom prst="rect">
                      <a:avLst/>
                    </a:prstGeom>
                    <a:noFill/>
                    <a:ln>
                      <a:noFill/>
                    </a:ln>
                  </pic:spPr>
                </pic:pic>
              </a:graphicData>
            </a:graphic>
          </wp:inline>
        </w:drawing>
      </w:r>
    </w:p>
    <w:p w14:paraId="0F2258E7" w14:textId="5E98EC18" w:rsidR="00C607E2" w:rsidRDefault="00C607E2" w:rsidP="00C607E2">
      <w:pPr>
        <w:pStyle w:val="CETCaption"/>
      </w:pPr>
      <w:bookmarkStart w:id="1" w:name="_Ref90622956"/>
      <w:r w:rsidRPr="005C7D85">
        <w:t xml:space="preserve">Figure </w:t>
      </w:r>
      <w:r w:rsidRPr="005C7D85">
        <w:fldChar w:fldCharType="begin"/>
      </w:r>
      <w:r w:rsidRPr="005C7D85">
        <w:instrText xml:space="preserve"> SEQ Figure \* ARABIC </w:instrText>
      </w:r>
      <w:r w:rsidRPr="005C7D85">
        <w:fldChar w:fldCharType="separate"/>
      </w:r>
      <w:r w:rsidR="00A84C32">
        <w:rPr>
          <w:noProof/>
        </w:rPr>
        <w:t>1</w:t>
      </w:r>
      <w:r w:rsidRPr="005C7D85">
        <w:fldChar w:fldCharType="end"/>
      </w:r>
      <w:bookmarkEnd w:id="1"/>
      <w:r w:rsidRPr="005C7D85">
        <w:t xml:space="preserve">: </w:t>
      </w:r>
      <w:r w:rsidR="000A1EB6">
        <w:t xml:space="preserve">Process scheme </w:t>
      </w:r>
      <w:r w:rsidR="00C13CFC">
        <w:t>for</w:t>
      </w:r>
      <w:r w:rsidR="00A70BBF" w:rsidRPr="005C7D85">
        <w:t xml:space="preserve"> methanol </w:t>
      </w:r>
      <w:r w:rsidR="00C13CFC">
        <w:t>production</w:t>
      </w:r>
      <w:r w:rsidR="00A70BBF" w:rsidRPr="005C7D85">
        <w:t xml:space="preserve"> (a</w:t>
      </w:r>
      <w:r w:rsidR="00C13CFC">
        <w:t>dapted from</w:t>
      </w:r>
      <w:r w:rsidR="00A70BBF" w:rsidRPr="005C7D85">
        <w:t xml:space="preserve"> </w:t>
      </w:r>
      <w:r w:rsidR="00A70BBF" w:rsidRPr="00725DF2">
        <w:rPr>
          <w:rStyle w:val="FootnoteReference"/>
        </w:rPr>
        <w:fldChar w:fldCharType="begin" w:fldLock="1"/>
      </w:r>
      <w:r w:rsidR="00B62AAE">
        <w:rPr>
          <w:i w:val="0"/>
        </w:rPr>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et al., 2015)","manualFormatting":"Matzen et al., 2015","plainTextFormattedCitation":"(Matzen et al., 2015)","previouslyFormattedCitation":"(Matzen et al., 2015)"},"properties":{"noteIndex":0},"schema":"https://github.com/citation-style-language/schema/raw/master/csl-citation.json"}</w:instrText>
      </w:r>
      <w:r w:rsidR="00A70BBF" w:rsidRPr="00725DF2">
        <w:rPr>
          <w:rStyle w:val="FootnoteReference"/>
        </w:rPr>
        <w:fldChar w:fldCharType="separate"/>
      </w:r>
      <w:r w:rsidR="00A70BBF" w:rsidRPr="00725DF2">
        <w:rPr>
          <w:noProof/>
        </w:rPr>
        <w:t>Matzen et al., 2015</w:t>
      </w:r>
      <w:r w:rsidR="00A70BBF" w:rsidRPr="00725DF2">
        <w:rPr>
          <w:rStyle w:val="FootnoteReference"/>
        </w:rPr>
        <w:fldChar w:fldCharType="end"/>
      </w:r>
      <w:r w:rsidR="00A70BBF" w:rsidRPr="00725DF2">
        <w:t>).</w:t>
      </w:r>
    </w:p>
    <w:p w14:paraId="3A19574E" w14:textId="77777777" w:rsidR="00660BFF" w:rsidRDefault="00144A43" w:rsidP="00144A43">
      <w:pPr>
        <w:pStyle w:val="CETBodytext"/>
      </w:pPr>
      <w:r w:rsidRPr="009E69FE">
        <w:t xml:space="preserve">In </w:t>
      </w:r>
      <w:r w:rsidRPr="009E69FE">
        <w:fldChar w:fldCharType="begin"/>
      </w:r>
      <w:r w:rsidRPr="009E69FE">
        <w:instrText xml:space="preserve"> REF _Ref90622956 \h </w:instrText>
      </w:r>
      <w:r>
        <w:instrText xml:space="preserve"> \* MERGEFORMAT </w:instrText>
      </w:r>
      <w:r w:rsidRPr="009E69FE">
        <w:fldChar w:fldCharType="separate"/>
      </w:r>
      <w:r w:rsidRPr="009E69FE">
        <w:t xml:space="preserve">Figure </w:t>
      </w:r>
      <w:r w:rsidRPr="009E69FE">
        <w:rPr>
          <w:noProof/>
        </w:rPr>
        <w:t>1</w:t>
      </w:r>
      <w:r w:rsidRPr="009E69FE">
        <w:fldChar w:fldCharType="end"/>
      </w:r>
      <w:r w:rsidRPr="009E69FE">
        <w:t xml:space="preserve"> the catalytic hydrogenation of CO</w:t>
      </w:r>
      <w:r w:rsidRPr="009E69FE">
        <w:rPr>
          <w:vertAlign w:val="subscript"/>
        </w:rPr>
        <w:t>2</w:t>
      </w:r>
      <w:r w:rsidRPr="009E69FE">
        <w:t xml:space="preserve"> to methanol is run in a low-pressure isothermal packed reactor operating at 235 °C and 50 bar </w:t>
      </w:r>
      <w:r w:rsidRPr="009E69FE">
        <w:rPr>
          <w:rStyle w:val="FootnoteReference"/>
        </w:rPr>
        <w:fldChar w:fldCharType="begin" w:fldLock="1"/>
      </w:r>
      <w:r w:rsidR="00B62AAE">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et al., 2015)","manualFormatting":"(Matzen et al., 2015)","plainTextFormattedCitation":"(Matzen et al., 2015)","previouslyFormattedCitation":"(Matzen et al., 2015)"},"properties":{"noteIndex":0},"schema":"https://github.com/citation-style-language/schema/raw/master/csl-citation.json"}</w:instrText>
      </w:r>
      <w:r w:rsidRPr="009E69FE">
        <w:rPr>
          <w:rStyle w:val="FootnoteReference"/>
        </w:rPr>
        <w:fldChar w:fldCharType="separate"/>
      </w:r>
      <w:r w:rsidRPr="009E69FE">
        <w:rPr>
          <w:noProof/>
        </w:rPr>
        <w:t>(Matzen et al., 2015)</w:t>
      </w:r>
      <w:r w:rsidRPr="009E69FE">
        <w:rPr>
          <w:rStyle w:val="FootnoteReference"/>
        </w:rPr>
        <w:fldChar w:fldCharType="end"/>
      </w:r>
      <w:r w:rsidRPr="009E69FE">
        <w:t>. The catalyst used is Cu/ZnO/Al</w:t>
      </w:r>
      <w:r w:rsidRPr="009E69FE">
        <w:rPr>
          <w:vertAlign w:val="subscript"/>
        </w:rPr>
        <w:t>2</w:t>
      </w:r>
      <w:r w:rsidRPr="009E69FE">
        <w:t>O</w:t>
      </w:r>
      <w:r w:rsidRPr="009E69FE">
        <w:rPr>
          <w:vertAlign w:val="subscript"/>
        </w:rPr>
        <w:t>3</w:t>
      </w:r>
      <w:r w:rsidRPr="009E69FE">
        <w:t xml:space="preserve"> and the H</w:t>
      </w:r>
      <w:r w:rsidRPr="009E69FE">
        <w:rPr>
          <w:vertAlign w:val="subscript"/>
        </w:rPr>
        <w:t>2</w:t>
      </w:r>
      <w:r w:rsidRPr="009E69FE">
        <w:t>/CO</w:t>
      </w:r>
      <w:r w:rsidRPr="009E69FE">
        <w:rPr>
          <w:vertAlign w:val="subscript"/>
        </w:rPr>
        <w:t>2</w:t>
      </w:r>
      <w:r w:rsidRPr="009E69FE">
        <w:t xml:space="preserve"> ratio at the reactor inlet is 2.8. The achieved CO</w:t>
      </w:r>
      <w:r w:rsidRPr="009E69FE">
        <w:rPr>
          <w:vertAlign w:val="subscript"/>
        </w:rPr>
        <w:t>2</w:t>
      </w:r>
      <w:r w:rsidRPr="009E69FE">
        <w:t xml:space="preserve"> pass conversion is 47 % with 99.7 % methanol selectivity. In the upstream section, H</w:t>
      </w:r>
      <w:r w:rsidRPr="009E69FE">
        <w:rPr>
          <w:vertAlign w:val="subscript"/>
        </w:rPr>
        <w:t>2</w:t>
      </w:r>
      <w:r w:rsidRPr="009E69FE">
        <w:t xml:space="preserve"> and CO</w:t>
      </w:r>
      <w:r w:rsidRPr="009E69FE">
        <w:rPr>
          <w:vertAlign w:val="subscript"/>
        </w:rPr>
        <w:t>2</w:t>
      </w:r>
      <w:r w:rsidRPr="009E69FE">
        <w:t xml:space="preserve"> are pressurized up to 50 bar, mixed and pre-heated to gain the reactor temperature. In the downstream section, the process stream is </w:t>
      </w:r>
      <w:r w:rsidR="00660BFF">
        <w:t xml:space="preserve">cooled </w:t>
      </w:r>
      <w:r w:rsidRPr="009E69FE">
        <w:t xml:space="preserve">in order to obtain methanol’s and water’s condensation in two steps </w:t>
      </w:r>
      <w:r w:rsidRPr="009E69FE">
        <w:rPr>
          <w:rStyle w:val="FootnoteReference"/>
        </w:rPr>
        <w:fldChar w:fldCharType="begin" w:fldLock="1"/>
      </w:r>
      <w:r w:rsidR="00B62AAE">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et al., 2015)","manualFormatting":"(Matzen et al., 2015)","plainTextFormattedCitation":"(Matzen et al., 2015)","previouslyFormattedCitation":"(Matzen et al., 2015)"},"properties":{"noteIndex":0},"schema":"https://github.com/citation-style-language/schema/raw/master/csl-citation.json"}</w:instrText>
      </w:r>
      <w:r w:rsidRPr="009E69FE">
        <w:rPr>
          <w:rStyle w:val="FootnoteReference"/>
        </w:rPr>
        <w:fldChar w:fldCharType="separate"/>
      </w:r>
      <w:r w:rsidRPr="009E69FE">
        <w:rPr>
          <w:noProof/>
        </w:rPr>
        <w:t>(Matzen et al., 2015)</w:t>
      </w:r>
      <w:r w:rsidRPr="009E69FE">
        <w:rPr>
          <w:rStyle w:val="FootnoteReference"/>
        </w:rPr>
        <w:fldChar w:fldCharType="end"/>
      </w:r>
      <w:r w:rsidRPr="009E69FE">
        <w:t>. H</w:t>
      </w:r>
      <w:r w:rsidRPr="009E69FE">
        <w:rPr>
          <w:vertAlign w:val="subscript"/>
        </w:rPr>
        <w:t>2</w:t>
      </w:r>
      <w:r w:rsidRPr="009E69FE">
        <w:t xml:space="preserve"> and CO</w:t>
      </w:r>
      <w:r w:rsidRPr="009E69FE">
        <w:rPr>
          <w:vertAlign w:val="subscript"/>
        </w:rPr>
        <w:t xml:space="preserve">2 </w:t>
      </w:r>
      <w:r w:rsidRPr="009E69FE">
        <w:t xml:space="preserve">present in the vapor phase are recycled back to </w:t>
      </w:r>
      <w:r w:rsidRPr="009E69FE">
        <w:lastRenderedPageBreak/>
        <w:t>the reactor, whereas the liquid phase is gradually expanded to ambient pressure and methanol purified in the final distillation column.</w:t>
      </w:r>
      <w:r>
        <w:t xml:space="preserve"> </w:t>
      </w:r>
    </w:p>
    <w:p w14:paraId="4D3C2C72" w14:textId="793716B6" w:rsidR="00144A43" w:rsidRPr="00140EA2" w:rsidRDefault="00144A43" w:rsidP="00144A43">
      <w:pPr>
        <w:pStyle w:val="CETBodytext"/>
      </w:pPr>
      <w:r>
        <w:t xml:space="preserve">The optimized conditions and parameters for the DME process design (in </w:t>
      </w:r>
      <w:r>
        <w:fldChar w:fldCharType="begin"/>
      </w:r>
      <w:r>
        <w:instrText xml:space="preserve"> REF _Ref90622976 \h </w:instrText>
      </w:r>
      <w:r>
        <w:fldChar w:fldCharType="separate"/>
      </w:r>
      <w:r w:rsidRPr="005C7D85">
        <w:t xml:space="preserve">Figure </w:t>
      </w:r>
      <w:r>
        <w:rPr>
          <w:noProof/>
        </w:rPr>
        <w:t>2</w:t>
      </w:r>
      <w:r>
        <w:fldChar w:fldCharType="end"/>
      </w:r>
      <w:r>
        <w:t xml:space="preserve">) were found in the study of </w:t>
      </w:r>
      <w:r>
        <w:fldChar w:fldCharType="begin" w:fldLock="1"/>
      </w:r>
      <w:r w:rsidR="00B62AAE">
        <w:instrText>ADDIN CSL_CITATION {"citationItems":[{"id":"ITEM-1","itemData":{"DOI":"10.1155/2020/9716417","ISSN":"16878078","abstract":"Increase in the world energy demand also increases the concentration of CO2 in the atmosphere, which contributes to global warming and ocean acidification. This study proposed the simulation process to utilize CO2 released from the acid gas removal unit in one of gas processing plants in Indonesia to enhance the production of dimethyl ether (DME) through unreacted gas recycle that can be beneficial in reducing CO2 emission to the atmosphere. Simulation was developed in Unisim R390.1 using Peng-Robinson-Stryjek-Vera (PRSV) as a fluid package. Simulation was validated by several studies conducted by many researchers and giving satisfactory results especially in terms of productivity, conversion, and selectivity as a function of reactor temperatures in the indirect and the direct DME synthesis processes. Simulation results show that the DME production was enhanced by around 49.6% and 65.1% for indirect and direct processes, respectively, at a recycling rate of 7 MMSCFD. Compressor is required to increase the unreacted gas pressure to the desired pressure in the methanol reactor or dual methanol-DME reactor in both processes. Specific power consumption (SPC) was used as a tested parameter for the effectiveness of recycling unreacted gas. Based on the simulation, the direct DME synthesis process is superior over the indirect process in terms of DME and methanol productions, SPCs, and system energy efficiencies.","author":[{"dropping-particle":"","family":"Kartohardjono","given":"Sutrasno","non-dropping-particle":"","parse-names":false,"suffix":""},{"dropping-particle":"","family":"Adji","given":"Bayu Sari","non-dropping-particle":"","parse-names":false,"suffix":""},{"dropping-particle":"","family":"Muharam","given":"Yuswan","non-dropping-particle":"","parse-names":false,"suffix":""}],"container-title":"International Journal of Chemical Engineering","id":"ITEM-1","issued":{"date-parts":[["2020"]]},"page":"16-19","title":"CO2 Utilization Process Simulation for Enhancing Production of Dimethyl Ether (DME)","type":"article-journal","volume":"2020"},"uris":["http://www.mendeley.com/documents/?uuid=f2cff927-6597-4f86-aab4-c24cda66a87b"]}],"mendeley":{"formattedCitation":"(Kartohardjono et al., 2020)","manualFormatting":"Kartohardjono et al. (2020)","plainTextFormattedCitation":"(Kartohardjono et al., 2020)","previouslyFormattedCitation":"(Kartohardjono et al., 2020)"},"properties":{"noteIndex":0},"schema":"https://github.com/citation-style-language/schema/raw/master/csl-citation.json"}</w:instrText>
      </w:r>
      <w:r>
        <w:fldChar w:fldCharType="separate"/>
      </w:r>
      <w:r>
        <w:rPr>
          <w:noProof/>
        </w:rPr>
        <w:t>Kartohardjono et al. (</w:t>
      </w:r>
      <w:r w:rsidRPr="003E1B04">
        <w:rPr>
          <w:noProof/>
        </w:rPr>
        <w:t>2020)</w:t>
      </w:r>
      <w:r>
        <w:fldChar w:fldCharType="end"/>
      </w:r>
      <w:r>
        <w:t xml:space="preserve"> for DME </w:t>
      </w:r>
      <w:r w:rsidRPr="00E41BC5">
        <w:t>one-pot synthesis</w:t>
      </w:r>
      <w:r>
        <w:t xml:space="preserve">, as previously reported also by </w:t>
      </w:r>
      <w:r>
        <w:fldChar w:fldCharType="begin" w:fldLock="1"/>
      </w:r>
      <w:r w:rsidR="00B62AAE">
        <w:instrText>ADDIN CSL_CITATION {"citationItems":[{"id":"ITEM-1","itemData":{"DOI":"10.1016/j.fuproc.2018.09.024","ISSN":"03783820","abstract":"A kinetic model has been established for the direct synthesis of dimethyl ether (DME) from syngas and CO2 feeds. The kinetic parameters have been determined fitting the experimental results obtained using a CuO</w:instrText>
      </w:r>
      <w:r w:rsidR="00B62AAE">
        <w:rPr>
          <w:rFonts w:ascii="Cambria Math" w:hAnsi="Cambria Math" w:cs="Cambria Math"/>
        </w:rPr>
        <w:instrText>‑</w:instrText>
      </w:r>
      <w:r w:rsidR="00B62AAE">
        <w:instrText>ZnO</w:instrText>
      </w:r>
      <w:r w:rsidR="00B62AAE">
        <w:rPr>
          <w:rFonts w:ascii="Cambria Math" w:hAnsi="Cambria Math" w:cs="Cambria Math"/>
        </w:rPr>
        <w:instrText>‑</w:instrText>
      </w:r>
      <w:r w:rsidR="00B62AAE">
        <w:instrText>MnO/SAPO</w:instrText>
      </w:r>
      <w:r w:rsidR="00B62AAE">
        <w:rPr>
          <w:rFonts w:ascii="Cambria Math" w:hAnsi="Cambria Math" w:cs="Cambria Math"/>
        </w:rPr>
        <w:instrText>‑</w:instrText>
      </w:r>
      <w:r w:rsidR="00B62AAE">
        <w:instrText>18 (CZMn/S) bifunctional catalyst in a fixed</w:instrText>
      </w:r>
      <w:r w:rsidR="00B62AAE">
        <w:rPr>
          <w:rFonts w:ascii="Cambria Math" w:hAnsi="Cambria Math" w:cs="Cambria Math"/>
        </w:rPr>
        <w:instrText>‑</w:instrText>
      </w:r>
      <w:r w:rsidR="00B62AAE">
        <w:instrText>bed isothermal reactor, under a wide range of operating conditions: 250</w:instrText>
      </w:r>
      <w:r w:rsidR="00B62AAE">
        <w:rPr>
          <w:rFonts w:cs="Arial"/>
        </w:rPr>
        <w:instrText>–</w:instrText>
      </w:r>
      <w:r w:rsidR="00B62AAE">
        <w:instrText xml:space="preserve">350 </w:instrText>
      </w:r>
      <w:r w:rsidR="00B62AAE">
        <w:rPr>
          <w:rFonts w:cs="Arial"/>
        </w:rPr>
        <w:instrText>°</w:instrText>
      </w:r>
      <w:r w:rsidR="00B62AAE">
        <w:instrText>C; 10</w:instrText>
      </w:r>
      <w:r w:rsidR="00B62AAE">
        <w:rPr>
          <w:rFonts w:cs="Arial"/>
        </w:rPr>
        <w:instrText>–</w:instrText>
      </w:r>
      <w:r w:rsidR="00B62AAE">
        <w:instrText>40 bar; CO2/CO molar ratio in the feed, between 0 and 1; H2/COX molar ratio in the feed, 3/1 and 4/1; space time, from 1.25 gcath(molC)−1, up to 20 gcath(molC)−1; time on stream, up to 30 h. The model considers the kinetic equations of the individual reactions of methanol synthesis from CO and CO2, the dehydration of methanol to DME, the water gas shift reaction (WGS) and the formation of paraffins, along with the deactivation kinetics. The attenuation of the reaction rates of methanol and paraffins synthesis has been considered by the competitive adsorption of CO2 and H2O in the metallic sites with respect to the adsorption of CO (more reactive than CO2 in the synthesis of methanol). The deactivation by coke has been quantified by a kinetic equation dependent on the concentrations of methanol and DME, and the attenuation of the deactivation by the competitive adsorption of CO2 and H2O has also been considered in this equation. The kinetic model allows predicting satisfactorily the evolution with time on stream of the concentration of the components in the reaction medium (methanol, DME, unreacted CO and CO2, and paraffins formed as by</w:instrText>
      </w:r>
      <w:r w:rsidR="00B62AAE">
        <w:rPr>
          <w:rFonts w:ascii="Cambria Math" w:hAnsi="Cambria Math" w:cs="Cambria Math"/>
        </w:rPr>
        <w:instrText>‑</w:instrText>
      </w:r>
      <w:r w:rsidR="00B62AAE">
        <w:instrText>products). In addition, the model has been used to simulate the reactor, determining the effect of the reaction conditions on the conversion of CO2. This conversion, in contrast to the yield of DME, increases with increasing CO2 concentration in the reactor feed.","author":[{"dropping-particle":"","family":"Ateka","given":"Ainara","non-dropping-particle":"","parse-names":false,"suffix":""},{"dropping-particle":"","family":"Ereña","given":"Javier","non-dropping-particle":"","parse-names":false,"suffix":""},{"dropping-particle":"","family":"Bilbao","given":"Javier","non-dropping-particle":"","parse-names":false,"suffix":""},{"dropping-particle":"","family":"Aguayo","given":"Andrés T.","non-dropping-particle":"","parse-names":false,"suffix":""}],"container-title":"Fuel Processing Technology","id":"ITEM-1","issue":"October","issued":{"date-parts":[["2018"]]},"page":"233-243","publisher":"Elsevier","title":"Kinetic modeling of the direct synthesis of dimethyl ether over a CuO</w:instrText>
      </w:r>
      <w:r w:rsidR="00B62AAE">
        <w:rPr>
          <w:rFonts w:ascii="Cambria Math" w:hAnsi="Cambria Math" w:cs="Cambria Math"/>
        </w:rPr>
        <w:instrText>‑</w:instrText>
      </w:r>
      <w:r w:rsidR="00B62AAE">
        <w:instrText>ZnO</w:instrText>
      </w:r>
      <w:r w:rsidR="00B62AAE">
        <w:rPr>
          <w:rFonts w:ascii="Cambria Math" w:hAnsi="Cambria Math" w:cs="Cambria Math"/>
        </w:rPr>
        <w:instrText>‑</w:instrText>
      </w:r>
      <w:r w:rsidR="00B62AAE">
        <w:instrText>MnO/SAPO</w:instrText>
      </w:r>
      <w:r w:rsidR="00B62AAE">
        <w:rPr>
          <w:rFonts w:ascii="Cambria Math" w:hAnsi="Cambria Math" w:cs="Cambria Math"/>
        </w:rPr>
        <w:instrText>‑</w:instrText>
      </w:r>
      <w:r w:rsidR="00B62AAE">
        <w:instrText>18 catalyst and assessment of the CO2 conversion","type":"article-journal","volume":"181"},"uris":["http://www.mendeley.com/documents/?uuid=23e1dcb8-c2db-4ac5-8476-f7aee70f92c0"]}],"mendeley":{"formattedCitation":"(Ateka et al., 2018)","manualFormatting":"Ateka et al. (2018)","plainTextFormattedCitation":"(Ateka et al., 2018)","previouslyFormattedCitation":"(Ateka et al., 2018)"},"properties":{"noteIndex":0},"schema":"https://github.com/citation-style-language/schema/raw/master/csl-citation.json"}</w:instrText>
      </w:r>
      <w:r>
        <w:fldChar w:fldCharType="separate"/>
      </w:r>
      <w:r>
        <w:rPr>
          <w:noProof/>
        </w:rPr>
        <w:t>Ateka et al. (</w:t>
      </w:r>
      <w:r w:rsidRPr="00E41BC5">
        <w:rPr>
          <w:noProof/>
        </w:rPr>
        <w:t>2018)</w:t>
      </w:r>
      <w:r>
        <w:fldChar w:fldCharType="end"/>
      </w:r>
      <w:r w:rsidRPr="00E41BC5">
        <w:t>. The reactor operates at 40 bar, 267 °C in presen</w:t>
      </w:r>
      <w:r w:rsidR="00660BFF">
        <w:t>ce of a</w:t>
      </w:r>
      <w:r w:rsidRPr="00E41BC5">
        <w:t xml:space="preserve"> hybrid catalyst and an optimal H</w:t>
      </w:r>
      <w:r w:rsidRPr="00E41BC5">
        <w:rPr>
          <w:vertAlign w:val="subscript"/>
        </w:rPr>
        <w:t>2</w:t>
      </w:r>
      <w:r w:rsidRPr="00E41BC5">
        <w:t>:CO</w:t>
      </w:r>
      <w:r w:rsidRPr="00E41BC5">
        <w:rPr>
          <w:vertAlign w:val="subscript"/>
        </w:rPr>
        <w:t>2</w:t>
      </w:r>
      <w:r w:rsidRPr="00E41BC5">
        <w:t xml:space="preserve"> ratio of 2.3; the CO</w:t>
      </w:r>
      <w:r w:rsidRPr="00E41BC5">
        <w:rPr>
          <w:vertAlign w:val="subscript"/>
        </w:rPr>
        <w:t>2</w:t>
      </w:r>
      <w:r w:rsidRPr="00E41BC5">
        <w:t xml:space="preserve"> pass conversion is 14 %, the selectivities to DME and methanol are 59 % and 38 % respectively. </w:t>
      </w:r>
    </w:p>
    <w:p w14:paraId="5B61AD24" w14:textId="516F39FB" w:rsidR="00144A43" w:rsidRPr="00725DF2" w:rsidRDefault="00144A43" w:rsidP="00144A43">
      <w:pPr>
        <w:pStyle w:val="CETBodytext"/>
      </w:pPr>
      <w:r>
        <w:t xml:space="preserve">Similarly to the methanol process, the substrates are heated and compressed up to the reactors conditions; the stream exiting the reactor is gradually cooled down and undergoes distillation to recover DME with separation from the methanol solution at the bottom and from the light gases at the top. To improve DME purity a sequence of expansions and cooling is furtherly needed </w:t>
      </w:r>
      <w:r>
        <w:fldChar w:fldCharType="begin" w:fldLock="1"/>
      </w:r>
      <w:r w:rsidR="00B62AAE">
        <w:instrText>ADDIN CSL_CITATION {"citationItems":[{"id":"ITEM-1","itemData":{"DOI":"10.1016/j.cherd.2011.10.007","ISSN":"02638762","abstract":"Dimethyl ether (DME), as a solution to environmental pollution and diminishing energy supplies, can be synthesized more efficiently, compared to conventional methods, using a catalytic distillation column for methanol dehydration to DME over an active and selective catalyst. In this work, using an autoclave batch reactor, a variety of commercial catalysts are investigated to find a proper catalyst for this reaction at moderate temperature and pressure (110-135°C and 900. kPa). Among the γ-alumina, zeolites (HY, HZSM-5 and HM) and ion exchange resins (Amberlyst 15, Amberlyst 35, Amberlyst 36 and Amberlyst 70), Amberlysts 35 and 36 demonstrate good activity for the studied reaction at the desired temperature and pressure. Then, the kinetics of the reaction over Amberlyst 35 is determined. The experimental data are described well by Langmuir-Hinshelwood kinetic expression, for which the surface reaction is the rate determining step. The calculated apparent activation energy for this study is 98. kJ/mol. © 2011 The Institution of Chemical Engineers.","author":[{"dropping-particle":"","family":"Hosseininejad","given":"S.","non-dropping-particle":"","parse-names":false,"suffix":""},{"dropping-particle":"","family":"Afacan","given":"A.","non-dropping-particle":"","parse-names":false,"suffix":""},{"dropping-particle":"","family":"Hayes","given":"R. E.","non-dropping-particle":"","parse-names":false,"suffix":""}],"container-title":"Chemical Engineering Research and Design","id":"ITEM-1","issue":"6","issued":{"date-parts":[["2012"]]},"page":"825-833","title":"Catalytic and kinetic study of methanol dehydration to dimethyl ether","type":"article-journal","volume":"90"},"uris":["http://www.mendeley.com/documents/?uuid=06824ad9-22b9-4641-8a5a-7e5170ab626d"]}],"mendeley":{"formattedCitation":"(Hosseininejad et al., 2012)","plainTextFormattedCitation":"(Hosseininejad et al., 2012)","previouslyFormattedCitation":"(Hosseininejad et al., 2012)"},"properties":{"noteIndex":0},"schema":"https://github.com/citation-style-language/schema/raw/master/csl-citation.json"}</w:instrText>
      </w:r>
      <w:r>
        <w:fldChar w:fldCharType="separate"/>
      </w:r>
      <w:r w:rsidR="00B62AAE" w:rsidRPr="00B62AAE">
        <w:rPr>
          <w:noProof/>
        </w:rPr>
        <w:t>(Hosseininejad et al., 2012)</w:t>
      </w:r>
      <w:r>
        <w:fldChar w:fldCharType="end"/>
      </w:r>
      <w:r>
        <w:t>.</w:t>
      </w:r>
    </w:p>
    <w:p w14:paraId="33B94859" w14:textId="698E8C1E" w:rsidR="00C607E2" w:rsidRPr="00C607E2" w:rsidRDefault="00E43C2B" w:rsidP="00C607E2">
      <w:pPr>
        <w:pStyle w:val="CETCaption"/>
        <w:keepNext/>
        <w:rPr>
          <w:highlight w:val="yellow"/>
        </w:rPr>
      </w:pPr>
      <w:r>
        <w:rPr>
          <w:noProof/>
          <w:lang w:eastAsia="en-GB"/>
        </w:rPr>
        <w:drawing>
          <wp:inline distT="0" distB="0" distL="0" distR="0" wp14:anchorId="04399714" wp14:editId="01820538">
            <wp:extent cx="5638950" cy="2562225"/>
            <wp:effectExtent l="0" t="0" r="0" b="0"/>
            <wp:docPr id="2" name="Immagin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0683" cy="2572100"/>
                    </a:xfrm>
                    <a:prstGeom prst="rect">
                      <a:avLst/>
                    </a:prstGeom>
                    <a:noFill/>
                    <a:ln>
                      <a:noFill/>
                    </a:ln>
                  </pic:spPr>
                </pic:pic>
              </a:graphicData>
            </a:graphic>
          </wp:inline>
        </w:drawing>
      </w:r>
    </w:p>
    <w:p w14:paraId="6692C865" w14:textId="09B61015" w:rsidR="003A0F70" w:rsidRPr="000426B7" w:rsidRDefault="00C607E2" w:rsidP="00A70BBF">
      <w:pPr>
        <w:pStyle w:val="CETCaption"/>
      </w:pPr>
      <w:bookmarkStart w:id="2" w:name="_Ref90622976"/>
      <w:r w:rsidRPr="005C7D85">
        <w:t xml:space="preserve">Figure </w:t>
      </w:r>
      <w:r w:rsidRPr="005C7D85">
        <w:fldChar w:fldCharType="begin"/>
      </w:r>
      <w:r w:rsidRPr="005C7D85">
        <w:instrText xml:space="preserve"> SEQ Figure \* ARABIC </w:instrText>
      </w:r>
      <w:r w:rsidRPr="005C7D85">
        <w:fldChar w:fldCharType="separate"/>
      </w:r>
      <w:r w:rsidR="00A84C32">
        <w:rPr>
          <w:noProof/>
        </w:rPr>
        <w:t>2</w:t>
      </w:r>
      <w:r w:rsidRPr="005C7D85">
        <w:fldChar w:fldCharType="end"/>
      </w:r>
      <w:bookmarkEnd w:id="2"/>
      <w:r w:rsidRPr="005C7D85">
        <w:t xml:space="preserve">: </w:t>
      </w:r>
      <w:r w:rsidR="000A1EB6">
        <w:t xml:space="preserve">Process scheme </w:t>
      </w:r>
      <w:r w:rsidR="00C13CFC">
        <w:t xml:space="preserve">for </w:t>
      </w:r>
      <w:r w:rsidR="00A70BBF" w:rsidRPr="005C7D85">
        <w:t xml:space="preserve">DME </w:t>
      </w:r>
      <w:r w:rsidR="00C13CFC">
        <w:t>production</w:t>
      </w:r>
      <w:r w:rsidR="00A70BBF" w:rsidRPr="005C7D85">
        <w:t xml:space="preserve"> (a</w:t>
      </w:r>
      <w:r w:rsidR="00C13CFC">
        <w:t>dapted from</w:t>
      </w:r>
      <w:r w:rsidR="006A2DBB">
        <w:t xml:space="preserve"> </w:t>
      </w:r>
      <w:r w:rsidR="006A2DBB">
        <w:fldChar w:fldCharType="begin" w:fldLock="1"/>
      </w:r>
      <w:r w:rsidR="00B62AAE">
        <w:instrText>ADDIN CSL_CITATION {"citationItems":[{"id":"ITEM-1","itemData":{"DOI":"10.1155/2020/9716417","ISSN":"16878078","abstract":"Increase in the world energy demand also increases the concentration of CO2 in the atmosphere, which contributes to global warming and ocean acidification. This study proposed the simulation process to utilize CO2 released from the acid gas removal unit in one of gas processing plants in Indonesia to enhance the production of dimethyl ether (DME) through unreacted gas recycle that can be beneficial in reducing CO2 emission to the atmosphere. Simulation was developed in Unisim R390.1 using Peng-Robinson-Stryjek-Vera (PRSV) as a fluid package. Simulation was validated by several studies conducted by many researchers and giving satisfactory results especially in terms of productivity, conversion, and selectivity as a function of reactor temperatures in the indirect and the direct DME synthesis processes. Simulation results show that the DME production was enhanced by around 49.6% and 65.1% for indirect and direct processes, respectively, at a recycling rate of 7 MMSCFD. Compressor is required to increase the unreacted gas pressure to the desired pressure in the methanol reactor or dual methanol-DME reactor in both processes. Specific power consumption (SPC) was used as a tested parameter for the effectiveness of recycling unreacted gas. Based on the simulation, the direct DME synthesis process is superior over the indirect process in terms of DME and methanol productions, SPCs, and system energy efficiencies.","author":[{"dropping-particle":"","family":"Kartohardjono","given":"Sutrasno","non-dropping-particle":"","parse-names":false,"suffix":""},{"dropping-particle":"","family":"Adji","given":"Bayu Sari","non-dropping-particle":"","parse-names":false,"suffix":""},{"dropping-particle":"","family":"Muharam","given":"Yuswan","non-dropping-particle":"","parse-names":false,"suffix":""}],"container-title":"International Journal of Chemical Engineering","id":"ITEM-1","issued":{"date-parts":[["2020"]]},"page":"16-19","title":"CO2 Utilization Process Simulation for Enhancing Production of Dimethyl Ether (DME)","type":"article-journal","volume":"2020"},"uris":["http://www.mendeley.com/documents/?uuid=f2cff927-6597-4f86-aab4-c24cda66a87b"]}],"mendeley":{"formattedCitation":"(Kartohardjono et al., 2020)","manualFormatting":"Kartohardjono et al. 2020)","plainTextFormattedCitation":"(Kartohardjono et al., 2020)","previouslyFormattedCitation":"(Kartohardjono et al., 2020)"},"properties":{"noteIndex":0},"schema":"https://github.com/citation-style-language/schema/raw/master/csl-citation.json"}</w:instrText>
      </w:r>
      <w:r w:rsidR="006A2DBB">
        <w:fldChar w:fldCharType="separate"/>
      </w:r>
      <w:r w:rsidR="006A2DBB" w:rsidRPr="00892341">
        <w:rPr>
          <w:noProof/>
        </w:rPr>
        <w:t>Kartohardj</w:t>
      </w:r>
      <w:r w:rsidR="00892341">
        <w:rPr>
          <w:noProof/>
        </w:rPr>
        <w:t xml:space="preserve">ono et al. </w:t>
      </w:r>
      <w:r w:rsidR="006A2DBB" w:rsidRPr="00892341">
        <w:rPr>
          <w:noProof/>
        </w:rPr>
        <w:t>2020)</w:t>
      </w:r>
      <w:r w:rsidR="006A2DBB">
        <w:fldChar w:fldCharType="end"/>
      </w:r>
      <w:r w:rsidR="00A70BBF" w:rsidRPr="005C7D85">
        <w:t>.</w:t>
      </w:r>
    </w:p>
    <w:p w14:paraId="70FFF3B4" w14:textId="7D253AA3" w:rsidR="00C607E2" w:rsidRPr="00A70BBF" w:rsidRDefault="00C607E2" w:rsidP="00A70BBF">
      <w:pPr>
        <w:pStyle w:val="CETHeading1"/>
      </w:pPr>
      <w:r w:rsidRPr="00A70BBF">
        <w:t>Results and discussion</w:t>
      </w:r>
    </w:p>
    <w:p w14:paraId="00F68CF7" w14:textId="5A0F5E5F" w:rsidR="005B7FA7" w:rsidRDefault="005B7FA7" w:rsidP="00C607E2">
      <w:pPr>
        <w:pStyle w:val="CETBodytext"/>
      </w:pPr>
      <w:r w:rsidRPr="005B7FA7">
        <w:t xml:space="preserve">From </w:t>
      </w:r>
      <w:r w:rsidRPr="005B7FA7">
        <w:fldChar w:fldCharType="begin"/>
      </w:r>
      <w:r w:rsidRPr="005B7FA7">
        <w:instrText xml:space="preserve"> REF _Ref90607204 \h </w:instrText>
      </w:r>
      <w:r>
        <w:instrText xml:space="preserve"> \* MERGEFORMAT </w:instrText>
      </w:r>
      <w:r w:rsidRPr="005B7FA7">
        <w:fldChar w:fldCharType="separate"/>
      </w:r>
      <w:r w:rsidRPr="005B7FA7">
        <w:t xml:space="preserve">Figure </w:t>
      </w:r>
      <w:r w:rsidRPr="005B7FA7">
        <w:rPr>
          <w:noProof/>
        </w:rPr>
        <w:t>3</w:t>
      </w:r>
      <w:r w:rsidRPr="005B7FA7">
        <w:fldChar w:fldCharType="end"/>
      </w:r>
      <w:r w:rsidR="00C13CFC">
        <w:t>,</w:t>
      </w:r>
      <w:r w:rsidRPr="005B7FA7">
        <w:t xml:space="preserve"> reporting the resulting IS-KPIs, it can be </w:t>
      </w:r>
      <w:r w:rsidR="005D384B">
        <w:t>observed</w:t>
      </w:r>
      <w:r w:rsidRPr="005B7FA7">
        <w:t xml:space="preserve"> that in each index category the inherent safety performance of the DME</w:t>
      </w:r>
      <w:r w:rsidR="00C600C2">
        <w:t xml:space="preserve"> process</w:t>
      </w:r>
      <w:r w:rsidR="003941FC">
        <w:t xml:space="preserve"> is worse</w:t>
      </w:r>
      <w:r w:rsidR="00660BFF">
        <w:t xml:space="preserve"> than the methanol process’ one</w:t>
      </w:r>
      <w:r w:rsidR="003941FC">
        <w:t xml:space="preserve">. It is due </w:t>
      </w:r>
      <w:r w:rsidR="00660BFF">
        <w:t>to both</w:t>
      </w:r>
      <w:r w:rsidRPr="005B7FA7">
        <w:t xml:space="preserve"> </w:t>
      </w:r>
      <w:r w:rsidR="005244A0">
        <w:t>p</w:t>
      </w:r>
      <w:r w:rsidR="00352347">
        <w:t>resence of DME</w:t>
      </w:r>
      <w:r w:rsidR="00A412ED">
        <w:t xml:space="preserve">, </w:t>
      </w:r>
      <w:r w:rsidRPr="005B7FA7">
        <w:t>absent in the methanol scheme</w:t>
      </w:r>
      <w:r w:rsidR="00A412ED">
        <w:t xml:space="preserve">, and to </w:t>
      </w:r>
      <w:r w:rsidR="003941FC" w:rsidRPr="005B7FA7">
        <w:t xml:space="preserve">the higher number of PHEs, </w:t>
      </w:r>
      <w:r w:rsidR="006E0B1C">
        <w:t xml:space="preserve">i.e. higher inventories, </w:t>
      </w:r>
      <w:r w:rsidR="003941FC" w:rsidRPr="005B7FA7">
        <w:t xml:space="preserve">as displayed in </w:t>
      </w:r>
      <w:r w:rsidR="003941FC" w:rsidRPr="005B7FA7">
        <w:fldChar w:fldCharType="begin"/>
      </w:r>
      <w:r w:rsidR="003941FC" w:rsidRPr="005B7FA7">
        <w:instrText xml:space="preserve"> REF _Ref90622976 \h </w:instrText>
      </w:r>
      <w:r w:rsidR="003941FC">
        <w:instrText xml:space="preserve"> \* MERGEFORMAT </w:instrText>
      </w:r>
      <w:r w:rsidR="003941FC" w:rsidRPr="005B7FA7">
        <w:fldChar w:fldCharType="separate"/>
      </w:r>
      <w:r w:rsidR="003941FC" w:rsidRPr="005B7FA7">
        <w:t xml:space="preserve">Figure </w:t>
      </w:r>
      <w:r w:rsidR="003941FC" w:rsidRPr="005B7FA7">
        <w:rPr>
          <w:noProof/>
        </w:rPr>
        <w:t>2</w:t>
      </w:r>
      <w:r w:rsidR="003941FC" w:rsidRPr="005B7FA7">
        <w:fldChar w:fldCharType="end"/>
      </w:r>
      <w:r w:rsidR="00732CAF">
        <w:t>.</w:t>
      </w:r>
      <w:r w:rsidR="00E5266B">
        <w:t xml:space="preserve"> </w:t>
      </w:r>
      <w:r w:rsidR="00732CAF">
        <w:t xml:space="preserve">Although the core operation conditions for one-pot DME synthesis occur at </w:t>
      </w:r>
      <w:r w:rsidR="00A412ED">
        <w:t>similar</w:t>
      </w:r>
      <w:r w:rsidR="00732CAF">
        <w:t xml:space="preserve"> conditions </w:t>
      </w:r>
      <w:r w:rsidR="00A412ED">
        <w:t>of</w:t>
      </w:r>
      <w:r w:rsidR="00732CAF">
        <w:t xml:space="preserve"> the methanol scheme, </w:t>
      </w:r>
      <w:r w:rsidR="0094065B">
        <w:t>t</w:t>
      </w:r>
      <w:r w:rsidR="00660BFF">
        <w:t>he yield in the desired produ</w:t>
      </w:r>
      <w:r w:rsidR="0094065B">
        <w:t xml:space="preserve">ct is scarcer, thus the ether is diluted in the reaction mixture made of unreacted compounds and by products. Therefore </w:t>
      </w:r>
      <w:r w:rsidR="00732CAF">
        <w:t>th</w:t>
      </w:r>
      <w:r w:rsidR="003941FC">
        <w:t xml:space="preserve">e intensification performed in the </w:t>
      </w:r>
      <w:r w:rsidR="00A412ED">
        <w:t>DME reactor</w:t>
      </w:r>
      <w:r w:rsidR="0094065B">
        <w:t xml:space="preserve"> </w:t>
      </w:r>
      <w:r w:rsidR="003941FC">
        <w:t>lead</w:t>
      </w:r>
      <w:r w:rsidR="00A412ED">
        <w:t>s</w:t>
      </w:r>
      <w:r w:rsidR="003941FC">
        <w:t xml:space="preserve"> to the design of a complex downstream</w:t>
      </w:r>
      <w:r w:rsidR="0094065B">
        <w:t xml:space="preserve"> section</w:t>
      </w:r>
      <w:r w:rsidR="003941FC">
        <w:t xml:space="preserve"> for the product purification</w:t>
      </w:r>
      <w:r w:rsidR="0094065B">
        <w:t>, also considering that</w:t>
      </w:r>
      <w:r w:rsidR="00C600C2">
        <w:t xml:space="preserve"> DME </w:t>
      </w:r>
      <w:r w:rsidR="00732CAF">
        <w:t xml:space="preserve">is extremely miscible with methanol but </w:t>
      </w:r>
      <w:r w:rsidR="0079051F">
        <w:t xml:space="preserve">is </w:t>
      </w:r>
      <w:r w:rsidR="00732CAF">
        <w:t xml:space="preserve">also </w:t>
      </w:r>
      <w:r w:rsidR="0079051F">
        <w:t xml:space="preserve">very </w:t>
      </w:r>
      <w:r w:rsidR="00732CAF">
        <w:t>volatile</w:t>
      </w:r>
      <w:r w:rsidR="00C600C2">
        <w:t xml:space="preserve"> to be easily lost with light compounds.</w:t>
      </w:r>
    </w:p>
    <w:p w14:paraId="2864DE87" w14:textId="77777777" w:rsidR="00C413E6" w:rsidRDefault="00C413E6" w:rsidP="00C607E2">
      <w:pPr>
        <w:pStyle w:val="CETBodytext"/>
      </w:pPr>
    </w:p>
    <w:p w14:paraId="4176599C" w14:textId="40B9BA35" w:rsidR="00C607E2" w:rsidRPr="005B307C" w:rsidRDefault="00C413E6" w:rsidP="00C413E6">
      <w:pPr>
        <w:pStyle w:val="CETBodytext"/>
      </w:pPr>
      <w:r>
        <w:rPr>
          <w:noProof/>
          <w:lang w:val="en-GB" w:eastAsia="en-GB"/>
        </w:rPr>
        <w:drawing>
          <wp:inline distT="0" distB="0" distL="0" distR="0" wp14:anchorId="344B9143" wp14:editId="1639395E">
            <wp:extent cx="2772000" cy="1934376"/>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000" cy="1934376"/>
                    </a:xfrm>
                    <a:prstGeom prst="rect">
                      <a:avLst/>
                    </a:prstGeom>
                    <a:noFill/>
                  </pic:spPr>
                </pic:pic>
              </a:graphicData>
            </a:graphic>
          </wp:inline>
        </w:drawing>
      </w:r>
      <w:r w:rsidR="00E5266B">
        <w:rPr>
          <w:noProof/>
          <w:lang w:val="en-GB" w:eastAsia="en-GB"/>
        </w:rPr>
        <w:drawing>
          <wp:inline distT="0" distB="0" distL="0" distR="0" wp14:anchorId="582179D5" wp14:editId="40DFCB30">
            <wp:extent cx="2772000" cy="193437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000" cy="1934376"/>
                    </a:xfrm>
                    <a:prstGeom prst="rect">
                      <a:avLst/>
                    </a:prstGeom>
                    <a:noFill/>
                  </pic:spPr>
                </pic:pic>
              </a:graphicData>
            </a:graphic>
          </wp:inline>
        </w:drawing>
      </w:r>
    </w:p>
    <w:p w14:paraId="16DA43A9" w14:textId="71020BCC" w:rsidR="00A84C32" w:rsidRDefault="00C607E2" w:rsidP="00C607E2">
      <w:pPr>
        <w:pStyle w:val="CETCaption"/>
      </w:pPr>
      <w:bookmarkStart w:id="3" w:name="_Ref90607204"/>
      <w:r w:rsidRPr="00DF3E2A">
        <w:t xml:space="preserve">Figure </w:t>
      </w:r>
      <w:r w:rsidRPr="00DF3E2A">
        <w:fldChar w:fldCharType="begin"/>
      </w:r>
      <w:r w:rsidRPr="00DF3E2A">
        <w:instrText xml:space="preserve"> SEQ Figure \* ARABIC </w:instrText>
      </w:r>
      <w:r w:rsidRPr="00DF3E2A">
        <w:fldChar w:fldCharType="separate"/>
      </w:r>
      <w:r w:rsidR="00A84C32" w:rsidRPr="00DF3E2A">
        <w:rPr>
          <w:noProof/>
        </w:rPr>
        <w:t>3</w:t>
      </w:r>
      <w:r w:rsidRPr="00DF3E2A">
        <w:fldChar w:fldCharType="end"/>
      </w:r>
      <w:bookmarkEnd w:id="3"/>
      <w:r w:rsidRPr="00DF3E2A">
        <w:t xml:space="preserve">. </w:t>
      </w:r>
      <w:r w:rsidR="00B11F60">
        <w:t>IS-KPIs</w:t>
      </w:r>
      <w:r w:rsidRPr="00DF3E2A">
        <w:t xml:space="preserve"> for the </w:t>
      </w:r>
      <w:r w:rsidR="005B307C" w:rsidRPr="00DF3E2A">
        <w:t xml:space="preserve">two </w:t>
      </w:r>
      <w:r w:rsidRPr="00DF3E2A">
        <w:t>processes considered</w:t>
      </w:r>
      <w:r w:rsidR="00352347">
        <w:t>:</w:t>
      </w:r>
      <w:r w:rsidR="00C413E6">
        <w:t xml:space="preserve"> a) PI and HI; b) THI and F</w:t>
      </w:r>
      <w:r w:rsidR="00352347">
        <w:t>HI.</w:t>
      </w:r>
    </w:p>
    <w:p w14:paraId="223D52B0" w14:textId="77777777" w:rsidR="00621C9A" w:rsidRDefault="00621C9A" w:rsidP="00621C9A">
      <w:pPr>
        <w:pStyle w:val="CETBodytext"/>
      </w:pPr>
      <w:r>
        <w:lastRenderedPageBreak/>
        <w:t xml:space="preserve">The breakdown of the HI overall indices according to each originating PHE is reported in </w:t>
      </w:r>
      <w:r>
        <w:fldChar w:fldCharType="begin"/>
      </w:r>
      <w:r>
        <w:instrText xml:space="preserve"> REF _Ref92132731 \h  \* MERGEFORMAT </w:instrText>
      </w:r>
      <w:r>
        <w:fldChar w:fldCharType="separate"/>
      </w:r>
      <w:r w:rsidRPr="00A412ED">
        <w:t>Figure 4</w:t>
      </w:r>
      <w:r>
        <w:fldChar w:fldCharType="end"/>
      </w:r>
      <w:r>
        <w:t xml:space="preserve">a, highlighting that in the methanol process there are two main equipment items responsible for the whole risk picture of the scheme, namely the reactor PFR-1 and the first separation knock-out drum V-1; on the counterpart, several equipment determine the overall process risk in the DME facility, with the separator V-1 and the distillation tower T-1 presenting the worst UHIs. It is also important to identify the RAS mostly contributing to PI, HI and FHI as displayed in </w:t>
      </w:r>
      <w:r>
        <w:fldChar w:fldCharType="begin"/>
      </w:r>
      <w:r>
        <w:instrText xml:space="preserve"> REF _Ref92132731 \h  \* MERGEFORMAT </w:instrText>
      </w:r>
      <w:r>
        <w:fldChar w:fldCharType="separate"/>
      </w:r>
      <w:r w:rsidRPr="00A412ED">
        <w:t>Figure 4</w:t>
      </w:r>
      <w:r>
        <w:fldChar w:fldCharType="end"/>
      </w:r>
      <w:r>
        <w:t>b (for THI the only scenario is toxic cloud dispersion).</w:t>
      </w:r>
    </w:p>
    <w:p w14:paraId="63E6ADE9" w14:textId="1E5C5451" w:rsidR="00621C9A" w:rsidRPr="00621C9A" w:rsidRDefault="00621C9A" w:rsidP="00621C9A">
      <w:pPr>
        <w:pStyle w:val="CETBodytext"/>
      </w:pPr>
      <w:r>
        <w:t xml:space="preserve">In fact, the acknowledgement of the consequences of highest entities helps in adopting proper safety preventive actions in the control strategy of the equipment. Among the worst fire scenarios accounted in the FHI index, jet fires are the riskiest RASs in both process schemes, due to methanol’s presence. In the HI and PI indices, in contrast, toxic clouds represent both the most severe and risky final scenarios for both production processes, with a higher impact in the methanol scheme; in the DME process scheme toxic dispersion scenarios contribute up to 70 % and 80 % in HI and PI indices respectively, the remaining parts being due to possible occurrences of jet fires. </w:t>
      </w:r>
    </w:p>
    <w:p w14:paraId="3C6B9B6C" w14:textId="6B73E134" w:rsidR="00A84C32" w:rsidRPr="00DF3E2A" w:rsidRDefault="00E43C2B" w:rsidP="00A84C32">
      <w:pPr>
        <w:pStyle w:val="CETCaption"/>
        <w:keepNext/>
      </w:pPr>
      <w:r>
        <w:rPr>
          <w:noProof/>
          <w:lang w:eastAsia="en-GB"/>
        </w:rPr>
        <w:drawing>
          <wp:inline distT="0" distB="0" distL="0" distR="0" wp14:anchorId="2C41E717" wp14:editId="692B2508">
            <wp:extent cx="2395482" cy="3996000"/>
            <wp:effectExtent l="0" t="0" r="5080" b="5080"/>
            <wp:docPr id="3" name="Immagine 3" descr="figure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5482" cy="3996000"/>
                    </a:xfrm>
                    <a:prstGeom prst="rect">
                      <a:avLst/>
                    </a:prstGeom>
                    <a:noFill/>
                    <a:ln>
                      <a:noFill/>
                    </a:ln>
                  </pic:spPr>
                </pic:pic>
              </a:graphicData>
            </a:graphic>
          </wp:inline>
        </w:drawing>
      </w:r>
      <w:r>
        <w:rPr>
          <w:noProof/>
          <w:lang w:eastAsia="en-GB"/>
        </w:rPr>
        <w:drawing>
          <wp:inline distT="0" distB="0" distL="0" distR="0" wp14:anchorId="356F0C93" wp14:editId="351690D4">
            <wp:extent cx="3168000" cy="4019887"/>
            <wp:effectExtent l="0" t="0" r="0" b="0"/>
            <wp:docPr id="4" name="Immagine 4" descr="FIGURE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000" cy="4019887"/>
                    </a:xfrm>
                    <a:prstGeom prst="rect">
                      <a:avLst/>
                    </a:prstGeom>
                    <a:noFill/>
                    <a:ln>
                      <a:noFill/>
                    </a:ln>
                  </pic:spPr>
                </pic:pic>
              </a:graphicData>
            </a:graphic>
          </wp:inline>
        </w:drawing>
      </w:r>
    </w:p>
    <w:p w14:paraId="3ACCA956" w14:textId="21AADEFD" w:rsidR="00A84C32" w:rsidRPr="00004940" w:rsidRDefault="00A84C32" w:rsidP="00004940">
      <w:pPr>
        <w:pStyle w:val="Caption"/>
        <w:rPr>
          <w:b w:val="0"/>
          <w:bCs w:val="0"/>
          <w:i/>
          <w:color w:val="auto"/>
          <w:szCs w:val="20"/>
        </w:rPr>
      </w:pPr>
      <w:bookmarkStart w:id="4" w:name="_Ref92132731"/>
      <w:r w:rsidRPr="00DF3E2A">
        <w:rPr>
          <w:b w:val="0"/>
          <w:bCs w:val="0"/>
          <w:i/>
          <w:color w:val="auto"/>
          <w:szCs w:val="20"/>
        </w:rPr>
        <w:t xml:space="preserve">Figure </w:t>
      </w:r>
      <w:r w:rsidRPr="00DF3E2A">
        <w:rPr>
          <w:b w:val="0"/>
          <w:bCs w:val="0"/>
          <w:i/>
          <w:color w:val="auto"/>
          <w:szCs w:val="20"/>
        </w:rPr>
        <w:fldChar w:fldCharType="begin"/>
      </w:r>
      <w:r w:rsidRPr="00DF3E2A">
        <w:rPr>
          <w:b w:val="0"/>
          <w:bCs w:val="0"/>
          <w:i/>
          <w:color w:val="auto"/>
          <w:szCs w:val="20"/>
        </w:rPr>
        <w:instrText xml:space="preserve"> SEQ Figure \* ARABIC </w:instrText>
      </w:r>
      <w:r w:rsidRPr="00DF3E2A">
        <w:rPr>
          <w:b w:val="0"/>
          <w:bCs w:val="0"/>
          <w:i/>
          <w:color w:val="auto"/>
          <w:szCs w:val="20"/>
        </w:rPr>
        <w:fldChar w:fldCharType="separate"/>
      </w:r>
      <w:r w:rsidRPr="00DF3E2A">
        <w:rPr>
          <w:b w:val="0"/>
          <w:bCs w:val="0"/>
          <w:i/>
          <w:color w:val="auto"/>
          <w:szCs w:val="20"/>
        </w:rPr>
        <w:t>4</w:t>
      </w:r>
      <w:r w:rsidRPr="00DF3E2A">
        <w:rPr>
          <w:b w:val="0"/>
          <w:bCs w:val="0"/>
          <w:i/>
          <w:color w:val="auto"/>
          <w:szCs w:val="20"/>
        </w:rPr>
        <w:fldChar w:fldCharType="end"/>
      </w:r>
      <w:bookmarkEnd w:id="4"/>
      <w:r w:rsidRPr="00DF3E2A">
        <w:rPr>
          <w:b w:val="0"/>
          <w:bCs w:val="0"/>
          <w:i/>
          <w:color w:val="auto"/>
          <w:szCs w:val="20"/>
        </w:rPr>
        <w:t xml:space="preserve">. a) </w:t>
      </w:r>
      <w:r w:rsidR="00004940">
        <w:rPr>
          <w:b w:val="0"/>
          <w:bCs w:val="0"/>
          <w:i/>
          <w:color w:val="auto"/>
          <w:szCs w:val="20"/>
        </w:rPr>
        <w:t>C</w:t>
      </w:r>
      <w:r w:rsidRPr="00DF3E2A">
        <w:rPr>
          <w:b w:val="0"/>
          <w:bCs w:val="0"/>
          <w:i/>
          <w:color w:val="auto"/>
          <w:szCs w:val="20"/>
        </w:rPr>
        <w:t>ontribution of the PHEs to the process HI indi</w:t>
      </w:r>
      <w:r w:rsidR="00004940">
        <w:rPr>
          <w:b w:val="0"/>
          <w:bCs w:val="0"/>
          <w:i/>
          <w:color w:val="auto"/>
          <w:szCs w:val="20"/>
        </w:rPr>
        <w:t xml:space="preserve">ces; </w:t>
      </w:r>
      <w:r w:rsidRPr="00004940">
        <w:rPr>
          <w:b w:val="0"/>
          <w:bCs w:val="0"/>
          <w:i/>
          <w:color w:val="auto"/>
          <w:szCs w:val="20"/>
        </w:rPr>
        <w:t xml:space="preserve">b) </w:t>
      </w:r>
      <w:r w:rsidR="00004940">
        <w:rPr>
          <w:b w:val="0"/>
          <w:bCs w:val="0"/>
          <w:i/>
          <w:color w:val="auto"/>
          <w:szCs w:val="20"/>
        </w:rPr>
        <w:t xml:space="preserve">Percentage </w:t>
      </w:r>
      <w:r w:rsidR="00004940" w:rsidRPr="00004940">
        <w:rPr>
          <w:b w:val="0"/>
          <w:bCs w:val="0"/>
          <w:i/>
          <w:color w:val="auto"/>
          <w:szCs w:val="20"/>
        </w:rPr>
        <w:t>c</w:t>
      </w:r>
      <w:r w:rsidRPr="00004940">
        <w:rPr>
          <w:b w:val="0"/>
          <w:bCs w:val="0"/>
          <w:i/>
          <w:color w:val="auto"/>
          <w:szCs w:val="20"/>
        </w:rPr>
        <w:t>ontribution o</w:t>
      </w:r>
      <w:r w:rsidR="00587313">
        <w:rPr>
          <w:b w:val="0"/>
          <w:bCs w:val="0"/>
          <w:i/>
          <w:color w:val="auto"/>
          <w:szCs w:val="20"/>
        </w:rPr>
        <w:t>f each RAS to the final indices</w:t>
      </w:r>
      <w:r w:rsidR="0094065B">
        <w:rPr>
          <w:b w:val="0"/>
          <w:bCs w:val="0"/>
          <w:i/>
          <w:color w:val="auto"/>
          <w:szCs w:val="20"/>
        </w:rPr>
        <w:t xml:space="preserve"> FHI, HI and PI</w:t>
      </w:r>
      <w:r w:rsidR="00587313">
        <w:rPr>
          <w:b w:val="0"/>
          <w:bCs w:val="0"/>
          <w:i/>
          <w:color w:val="auto"/>
          <w:szCs w:val="20"/>
        </w:rPr>
        <w:t>.</w:t>
      </w:r>
    </w:p>
    <w:p w14:paraId="04B46432" w14:textId="77777777" w:rsidR="00C607E2" w:rsidRPr="0088418A" w:rsidRDefault="00C607E2" w:rsidP="00C607E2">
      <w:pPr>
        <w:pStyle w:val="CETHeading1"/>
        <w:rPr>
          <w:lang w:val="en-GB"/>
        </w:rPr>
      </w:pPr>
      <w:r w:rsidRPr="0088418A">
        <w:rPr>
          <w:lang w:val="en-GB"/>
        </w:rPr>
        <w:t>Conclusions</w:t>
      </w:r>
    </w:p>
    <w:p w14:paraId="740EDA48" w14:textId="77777777" w:rsidR="00CE3267" w:rsidRDefault="009E69FE" w:rsidP="00DA6F10">
      <w:pPr>
        <w:pStyle w:val="CETBodytext"/>
        <w:rPr>
          <w:lang w:val="en-GB"/>
        </w:rPr>
      </w:pPr>
      <w:r w:rsidRPr="0088418A">
        <w:rPr>
          <w:lang w:val="en-GB"/>
        </w:rPr>
        <w:t>The investigation on novel production process</w:t>
      </w:r>
      <w:r w:rsidR="00144A43">
        <w:rPr>
          <w:lang w:val="en-GB"/>
        </w:rPr>
        <w:t>es for alternative fuels</w:t>
      </w:r>
      <w:r w:rsidRPr="0088418A">
        <w:rPr>
          <w:lang w:val="en-GB"/>
        </w:rPr>
        <w:t xml:space="preserve"> is essential in the framework of the present energy transition. Methanol and DME have huge potentialities as substitutes of traditional fuels</w:t>
      </w:r>
      <w:r w:rsidR="0088418A" w:rsidRPr="0088418A">
        <w:rPr>
          <w:lang w:val="en-GB"/>
        </w:rPr>
        <w:t xml:space="preserve"> within PtL strategies integrated t</w:t>
      </w:r>
      <w:r w:rsidR="005D384B">
        <w:rPr>
          <w:lang w:val="en-GB"/>
        </w:rPr>
        <w:t>o renewable energy harvesting and as CCU products. Given these reasons, several research efforts have been oriented to their sustainable synthesis from CO</w:t>
      </w:r>
      <w:r w:rsidR="005D384B" w:rsidRPr="005D384B">
        <w:rPr>
          <w:vertAlign w:val="subscript"/>
          <w:lang w:val="en-GB"/>
        </w:rPr>
        <w:t>2</w:t>
      </w:r>
      <w:r w:rsidR="005D384B">
        <w:rPr>
          <w:lang w:val="en-GB"/>
        </w:rPr>
        <w:t xml:space="preserve"> and H</w:t>
      </w:r>
      <w:r w:rsidR="005D384B" w:rsidRPr="005D384B">
        <w:rPr>
          <w:vertAlign w:val="subscript"/>
          <w:lang w:val="en-GB"/>
        </w:rPr>
        <w:t>2</w:t>
      </w:r>
      <w:r w:rsidR="005D384B">
        <w:rPr>
          <w:lang w:val="en-GB"/>
        </w:rPr>
        <w:t xml:space="preserve"> via catalytic hydrogenation.</w:t>
      </w:r>
      <w:r w:rsidR="00F417C0">
        <w:rPr>
          <w:lang w:val="en-GB"/>
        </w:rPr>
        <w:t xml:space="preserve"> </w:t>
      </w:r>
      <w:r w:rsidR="00C13CFC">
        <w:rPr>
          <w:lang w:val="en-GB"/>
        </w:rPr>
        <w:t>T</w:t>
      </w:r>
      <w:r w:rsidR="00F417C0">
        <w:rPr>
          <w:lang w:val="en-GB"/>
        </w:rPr>
        <w:t xml:space="preserve">he </w:t>
      </w:r>
      <w:r w:rsidR="00937E19">
        <w:rPr>
          <w:lang w:val="en-GB"/>
        </w:rPr>
        <w:t>one-pot DME synthesis appears</w:t>
      </w:r>
      <w:r w:rsidR="00F417C0">
        <w:rPr>
          <w:lang w:val="en-GB"/>
        </w:rPr>
        <w:t xml:space="preserve"> a </w:t>
      </w:r>
      <w:r w:rsidR="00937E19">
        <w:rPr>
          <w:lang w:val="en-GB"/>
        </w:rPr>
        <w:t xml:space="preserve">very </w:t>
      </w:r>
      <w:r w:rsidR="00F417C0">
        <w:rPr>
          <w:lang w:val="en-GB"/>
        </w:rPr>
        <w:t>promising route applying reaction intensification. Nevertheless, only a quantitative consequence-based inherent safety assessment can effectively depict the safety performance of the one-pot DME production with respect to the base methanol process</w:t>
      </w:r>
      <w:r w:rsidR="00B31E1F">
        <w:rPr>
          <w:lang w:val="en-GB"/>
        </w:rPr>
        <w:t>,</w:t>
      </w:r>
      <w:r w:rsidR="00F417C0">
        <w:rPr>
          <w:lang w:val="en-GB"/>
        </w:rPr>
        <w:t xml:space="preserve"> starting from the same substrates. </w:t>
      </w:r>
    </w:p>
    <w:p w14:paraId="591B52E3" w14:textId="78D8EB0C" w:rsidR="0088418A" w:rsidRPr="00DA6F10" w:rsidRDefault="00937E19" w:rsidP="00DA6F10">
      <w:pPr>
        <w:pStyle w:val="CETBodytext"/>
        <w:rPr>
          <w:lang w:val="en-GB"/>
        </w:rPr>
      </w:pPr>
      <w:r>
        <w:rPr>
          <w:lang w:val="en-GB"/>
        </w:rPr>
        <w:t xml:space="preserve">This study, </w:t>
      </w:r>
      <w:r w:rsidR="00B31E1F">
        <w:rPr>
          <w:lang w:val="en-GB"/>
        </w:rPr>
        <w:t xml:space="preserve">by </w:t>
      </w:r>
      <w:r>
        <w:rPr>
          <w:lang w:val="en-GB"/>
        </w:rPr>
        <w:t>applying the aforementioned approach</w:t>
      </w:r>
      <w:r w:rsidR="00B31E1F">
        <w:rPr>
          <w:lang w:val="en-GB"/>
        </w:rPr>
        <w:t>,</w:t>
      </w:r>
      <w:r>
        <w:rPr>
          <w:lang w:val="en-GB"/>
        </w:rPr>
        <w:t xml:space="preserve"> revealed the criticalities hidden behind the full process design of the DME facility, where the nume</w:t>
      </w:r>
      <w:r w:rsidR="00712528">
        <w:rPr>
          <w:lang w:val="en-GB"/>
        </w:rPr>
        <w:t xml:space="preserve">rous downstream equipment items are </w:t>
      </w:r>
      <w:r>
        <w:rPr>
          <w:lang w:val="en-GB"/>
        </w:rPr>
        <w:t>characterized by non-negligible risks at the eventual verification of loss of containments.</w:t>
      </w:r>
      <w:r w:rsidR="00A412ED">
        <w:rPr>
          <w:lang w:val="en-GB"/>
        </w:rPr>
        <w:t xml:space="preserve"> The inherent safety assessment</w:t>
      </w:r>
      <w:r w:rsidR="00B31E1F">
        <w:rPr>
          <w:lang w:val="en-GB"/>
        </w:rPr>
        <w:t xml:space="preserve"> was </w:t>
      </w:r>
      <w:r w:rsidR="00B31E1F">
        <w:rPr>
          <w:lang w:val="en-GB"/>
        </w:rPr>
        <w:lastRenderedPageBreak/>
        <w:t xml:space="preserve">confirmed again </w:t>
      </w:r>
      <w:r w:rsidR="00A412ED">
        <w:rPr>
          <w:lang w:val="en-GB"/>
        </w:rPr>
        <w:t>a</w:t>
      </w:r>
      <w:r w:rsidR="00C13CFC">
        <w:rPr>
          <w:lang w:val="en-GB"/>
        </w:rPr>
        <w:t>s a</w:t>
      </w:r>
      <w:r w:rsidR="00B31E1F">
        <w:rPr>
          <w:lang w:val="en-GB"/>
        </w:rPr>
        <w:t>n extremely</w:t>
      </w:r>
      <w:r w:rsidR="00A412ED">
        <w:rPr>
          <w:lang w:val="en-GB"/>
        </w:rPr>
        <w:t xml:space="preserve"> useful tool helping the decision-makers </w:t>
      </w:r>
      <w:r w:rsidR="00B31E1F">
        <w:rPr>
          <w:lang w:val="en-GB"/>
        </w:rPr>
        <w:t xml:space="preserve">under the societal aspect, </w:t>
      </w:r>
      <w:r w:rsidR="00A412ED">
        <w:rPr>
          <w:lang w:val="en-GB"/>
        </w:rPr>
        <w:t>tow</w:t>
      </w:r>
      <w:r w:rsidR="00B31E1F">
        <w:rPr>
          <w:lang w:val="en-GB"/>
        </w:rPr>
        <w:t>ards the selection of the most sustainable</w:t>
      </w:r>
      <w:r w:rsidR="00A412ED">
        <w:rPr>
          <w:lang w:val="en-GB"/>
        </w:rPr>
        <w:t xml:space="preserve"> process alternative.</w:t>
      </w:r>
    </w:p>
    <w:p w14:paraId="6DCA2424" w14:textId="77777777" w:rsidR="00C607E2" w:rsidRDefault="00C607E2" w:rsidP="00C607E2">
      <w:pPr>
        <w:pStyle w:val="CETReference"/>
      </w:pPr>
      <w:r w:rsidRPr="00A5431B">
        <w:t>References</w:t>
      </w:r>
    </w:p>
    <w:p w14:paraId="607E9690" w14:textId="77777777" w:rsidR="00144A43" w:rsidRPr="007E1DE7" w:rsidRDefault="00144A43" w:rsidP="00144A43">
      <w:pPr>
        <w:pStyle w:val="CETReferencetext"/>
      </w:pPr>
      <w:r>
        <w:t>AspenTech, 2020,</w:t>
      </w:r>
      <w:r w:rsidRPr="007E1DE7">
        <w:t xml:space="preserve"> Aspen HYSYS, version 11 </w:t>
      </w:r>
    </w:p>
    <w:p w14:paraId="736302DA" w14:textId="77777777" w:rsidR="00144A43" w:rsidRDefault="00144A43" w:rsidP="00144A43">
      <w:pPr>
        <w:pStyle w:val="CETReferencetext"/>
      </w:pPr>
      <w:r w:rsidRPr="007E1DE7">
        <w:t>&lt;www.aspentech.com/en/products/engineering/aspen-hysys&gt; accessed</w:t>
      </w:r>
      <w:r>
        <w:t xml:space="preserve"> 04.01.2020.</w:t>
      </w:r>
    </w:p>
    <w:p w14:paraId="38715EA8" w14:textId="77777777" w:rsidR="00144A43" w:rsidRDefault="00144A43" w:rsidP="00144A43">
      <w:pPr>
        <w:pStyle w:val="CETReferencetext"/>
      </w:pPr>
      <w:r>
        <w:t>Ateka A., Ereña J., Bilbao J., Aguayo A. T., 2018, Kinetic modeling of the direct synthesis of dimethyl ether over a CuO</w:t>
      </w:r>
      <w:r>
        <w:rPr>
          <w:rFonts w:ascii="Cambria Math" w:hAnsi="Cambria Math" w:cs="Cambria Math"/>
        </w:rPr>
        <w:t>‑</w:t>
      </w:r>
      <w:r>
        <w:t>ZnO</w:t>
      </w:r>
      <w:r>
        <w:rPr>
          <w:rFonts w:ascii="Cambria Math" w:hAnsi="Cambria Math" w:cs="Cambria Math"/>
        </w:rPr>
        <w:t>‑</w:t>
      </w:r>
      <w:r>
        <w:t>MnO/SAPO</w:t>
      </w:r>
      <w:r>
        <w:rPr>
          <w:rFonts w:ascii="Cambria Math" w:hAnsi="Cambria Math" w:cs="Cambria Math"/>
        </w:rPr>
        <w:t>‑</w:t>
      </w:r>
      <w:r>
        <w:t>18 catalyst and assessment of the CO</w:t>
      </w:r>
      <w:r w:rsidRPr="00B31E1F">
        <w:rPr>
          <w:vertAlign w:val="subscript"/>
        </w:rPr>
        <w:t>2</w:t>
      </w:r>
      <w:r>
        <w:t xml:space="preserve"> conversion, Fuel Processing Technology, 181, 233</w:t>
      </w:r>
      <w:r>
        <w:rPr>
          <w:rFonts w:ascii="Calibri" w:hAnsi="Calibri" w:cs="Calibri"/>
        </w:rPr>
        <w:t>–</w:t>
      </w:r>
      <w:r>
        <w:t>243.</w:t>
      </w:r>
    </w:p>
    <w:p w14:paraId="70491770" w14:textId="77777777" w:rsidR="00144A43" w:rsidRDefault="00144A43" w:rsidP="00144A43">
      <w:pPr>
        <w:pStyle w:val="CETReferencetext"/>
      </w:pPr>
      <w:r>
        <w:t xml:space="preserve">Bizzo W. A., de Calan B., Myers R., Hannecart T., 2004, Safety issues for clean liquid and gaseous fuels for cooking in the scope of sustainable development. Energy for Sustainable Development, 8(3), 60–67. </w:t>
      </w:r>
    </w:p>
    <w:p w14:paraId="3F151DAC" w14:textId="77777777" w:rsidR="00144A43" w:rsidRPr="00AC24D9" w:rsidRDefault="00144A43" w:rsidP="00144A43">
      <w:pPr>
        <w:pStyle w:val="CETReferencetext"/>
      </w:pPr>
      <w:r>
        <w:t xml:space="preserve">Bonan G. B., Doney S. C., 2018, Climate, ecosystems, and planetary futures: The challenge to predict life in Earth system models, </w:t>
      </w:r>
      <w:r w:rsidRPr="00AC24D9">
        <w:t xml:space="preserve">Science, 359(6375). </w:t>
      </w:r>
    </w:p>
    <w:p w14:paraId="28201E3C" w14:textId="53298121" w:rsidR="00144A43" w:rsidRDefault="00144A43" w:rsidP="00144A43">
      <w:pPr>
        <w:pStyle w:val="CETReferencetext"/>
      </w:pPr>
      <w:r w:rsidRPr="00AC24D9">
        <w:t xml:space="preserve">Cipolletta M., Moreno V. C., Cozzani V., 2020, </w:t>
      </w:r>
      <w:r>
        <w:t xml:space="preserve">Inherent safety assessment for two solar-based fuels production processes: Methanol via </w:t>
      </w:r>
      <w:r w:rsidR="0023053E">
        <w:t>CO</w:t>
      </w:r>
      <w:r w:rsidRPr="0023053E">
        <w:rPr>
          <w:vertAlign w:val="subscript"/>
        </w:rPr>
        <w:t>2</w:t>
      </w:r>
      <w:r>
        <w:t xml:space="preserve"> catalytic hydrogenation and biodiesel from microalgal oil, Chemical Engineering Transactions, 82(August), 85–90. </w:t>
      </w:r>
    </w:p>
    <w:p w14:paraId="7334B9F6" w14:textId="77777777" w:rsidR="00144A43" w:rsidRPr="00AC24D9" w:rsidRDefault="00144A43" w:rsidP="00144A43">
      <w:pPr>
        <w:pStyle w:val="CETReferencetext"/>
      </w:pPr>
      <w:r w:rsidRPr="00AC24D9">
        <w:t xml:space="preserve">Cipolletta M., Moreno V. C., Tugnoli A., Cozzani V., 2020, </w:t>
      </w:r>
      <w:r>
        <w:t xml:space="preserve">Comparing energy efficiency for emerging fuel production technologies: 3rd generation biodiesel vs methanol from solar power, Chemical Engineering Transactions, 80, 355–360. </w:t>
      </w:r>
    </w:p>
    <w:p w14:paraId="48CF0E39" w14:textId="77777777" w:rsidR="00144A43" w:rsidRDefault="00144A43" w:rsidP="00144A43">
      <w:pPr>
        <w:pStyle w:val="CETReferencetext"/>
      </w:pPr>
      <w:r w:rsidRPr="0036149F">
        <w:t xml:space="preserve">DinAli M. N., Dincer I., 2019, </w:t>
      </w:r>
      <w:r>
        <w:t xml:space="preserve">Performance assessment of a new solar energy based cogeneration system for dimethyl-ether and electricity production, Solar Energy, 190, 337–349. </w:t>
      </w:r>
    </w:p>
    <w:p w14:paraId="4A618449" w14:textId="77777777" w:rsidR="00144A43" w:rsidRDefault="00144A43" w:rsidP="00144A43">
      <w:pPr>
        <w:pStyle w:val="CETReferencetext"/>
      </w:pPr>
      <w:r>
        <w:t>DNV-GL, 2020, PHAST - Process Hazards Analysis Software, version 6.4</w:t>
      </w:r>
    </w:p>
    <w:p w14:paraId="1A1CCDB9" w14:textId="77777777" w:rsidR="00144A43" w:rsidRDefault="00144A43" w:rsidP="00144A43">
      <w:pPr>
        <w:pStyle w:val="CETReferencetext"/>
      </w:pPr>
      <w:r>
        <w:t>&lt;www.dnvgl.com&gt; accessed 04.01.2020.</w:t>
      </w:r>
    </w:p>
    <w:p w14:paraId="5E0CE695" w14:textId="77777777" w:rsidR="00144A43" w:rsidRDefault="00144A43" w:rsidP="00144A43">
      <w:pPr>
        <w:pStyle w:val="CETReferencetext"/>
      </w:pPr>
      <w:r>
        <w:t xml:space="preserve">Hosseininejad S., Afacan A., Hayes R. E., 2012, Catalytic and kinetic study of methanol dehydration to dimethyl ether, Chemical Engineering Research and Design, 90(6), 825–833. </w:t>
      </w:r>
    </w:p>
    <w:p w14:paraId="2FF6BAB2" w14:textId="77777777" w:rsidR="00144A43" w:rsidRDefault="00144A43" w:rsidP="00144A43">
      <w:pPr>
        <w:pStyle w:val="CETReferencetext"/>
      </w:pPr>
      <w:r>
        <w:t>Kartohardjono S., Adji B. S., Muharam Y., 2020, CO</w:t>
      </w:r>
      <w:r w:rsidRPr="0023053E">
        <w:rPr>
          <w:vertAlign w:val="subscript"/>
        </w:rPr>
        <w:t>2</w:t>
      </w:r>
      <w:r>
        <w:t xml:space="preserve"> Utilization Process Simulation for Enhancing Production of Dimethyl Ether (DME), International Journal of Chemical Engineering, 2020, 16–19. </w:t>
      </w:r>
    </w:p>
    <w:p w14:paraId="27650CF7" w14:textId="77777777" w:rsidR="00144A43" w:rsidRDefault="00144A43" w:rsidP="00144A43">
      <w:pPr>
        <w:pStyle w:val="CETReferencetext"/>
      </w:pPr>
      <w:r>
        <w:t>Kornas A., Grabowski R., Śliwa M., Samson K., Ruggiero-Mikołajczyk M., Żelazny A., 2017, Dimethyl ether synthesis from CO</w:t>
      </w:r>
      <w:r w:rsidRPr="0023053E">
        <w:rPr>
          <w:vertAlign w:val="subscript"/>
        </w:rPr>
        <w:t>2</w:t>
      </w:r>
      <w:r>
        <w:t xml:space="preserve"> hydrogenation over hybrid catalysts: effects of preparation methods. Reaction Kinetics, Mechanisms and Catalysis, 121(1), 317–327. </w:t>
      </w:r>
    </w:p>
    <w:p w14:paraId="6AAF3273" w14:textId="77777777" w:rsidR="00144A43" w:rsidRDefault="00144A43" w:rsidP="00144A43">
      <w:pPr>
        <w:pStyle w:val="CETReferencetext"/>
      </w:pPr>
      <w:r>
        <w:t xml:space="preserve">Matzen M., Alhajji M., Demirel Y., 2015, Chemical storage of wind energy by renewable methanol production : Feasibility analysis using a multi-criteria decision matrix. Energy, 93, 343–353. </w:t>
      </w:r>
    </w:p>
    <w:p w14:paraId="5E2F53FF" w14:textId="77777777" w:rsidR="00144A43" w:rsidRDefault="00144A43" w:rsidP="00144A43">
      <w:pPr>
        <w:pStyle w:val="CETReferencetext"/>
      </w:pPr>
      <w:r>
        <w:t xml:space="preserve">Matzen M., Demirel Y., 2016, Methanol and dimethyl ether from renewable hydrogen and carbon dioxide: Alternative fuels production and life-cycle assessment, Journal of Cleaner Production, 139. </w:t>
      </w:r>
    </w:p>
    <w:p w14:paraId="58B63EE4" w14:textId="77777777" w:rsidR="00144A43" w:rsidRDefault="00144A43" w:rsidP="00144A43">
      <w:pPr>
        <w:pStyle w:val="CETReferencetext"/>
      </w:pPr>
      <w:r w:rsidRPr="0036149F">
        <w:t xml:space="preserve">Mota N., Ordoñez E. M., Pawelec B., Fierro J. L. G., Navarro R. M., 2021, </w:t>
      </w:r>
      <w:r>
        <w:t xml:space="preserve">Direct synthesis of dimethyl ether from co2: Recent advances in bifunctional/hybrid catalytic systems, Catalysts, 11(4). </w:t>
      </w:r>
    </w:p>
    <w:p w14:paraId="56D48A94" w14:textId="48E67BE6" w:rsidR="0081794C" w:rsidRPr="00B11F60" w:rsidRDefault="00B11F60" w:rsidP="0081794C">
      <w:pPr>
        <w:widowControl w:val="0"/>
        <w:autoSpaceDE w:val="0"/>
        <w:autoSpaceDN w:val="0"/>
        <w:adjustRightInd w:val="0"/>
        <w:spacing w:line="240" w:lineRule="auto"/>
        <w:ind w:left="480" w:hanging="480"/>
        <w:rPr>
          <w:rFonts w:cs="Arial"/>
          <w:noProof/>
          <w:szCs w:val="24"/>
        </w:rPr>
      </w:pPr>
      <w:r w:rsidRPr="00B11F60">
        <w:rPr>
          <w:rFonts w:cs="Arial"/>
          <w:noProof/>
          <w:szCs w:val="24"/>
        </w:rPr>
        <w:t>WebWISER, 2022, Methanol,  NIH-</w:t>
      </w:r>
      <w:r w:rsidR="0081794C" w:rsidRPr="00B11F60">
        <w:rPr>
          <w:rFonts w:cs="Arial"/>
          <w:noProof/>
          <w:szCs w:val="24"/>
        </w:rPr>
        <w:t>Nat</w:t>
      </w:r>
      <w:r w:rsidRPr="00B11F60">
        <w:rPr>
          <w:rFonts w:cs="Arial"/>
          <w:noProof/>
          <w:szCs w:val="24"/>
        </w:rPr>
        <w:t>ional Library of Medicine, website: &lt;</w:t>
      </w:r>
      <w:r w:rsidR="0081794C" w:rsidRPr="00B11F60">
        <w:rPr>
          <w:rFonts w:cs="Arial"/>
          <w:noProof/>
          <w:szCs w:val="24"/>
        </w:rPr>
        <w:t>webwiser.nlm.nih.gov/substance?substanceId=1</w:t>
      </w:r>
      <w:r w:rsidR="0081794C" w:rsidRPr="00B11F60">
        <w:rPr>
          <w:rFonts w:cs="Arial"/>
          <w:noProof/>
          <w:szCs w:val="24"/>
        </w:rPr>
        <w:t>9&amp;catId=242</w:t>
      </w:r>
      <w:r w:rsidRPr="00B11F60">
        <w:rPr>
          <w:rFonts w:cs="Arial"/>
          <w:noProof/>
          <w:szCs w:val="24"/>
        </w:rPr>
        <w:t xml:space="preserve">&gt; </w:t>
      </w:r>
      <w:r w:rsidR="0081794C" w:rsidRPr="00B11F60">
        <w:rPr>
          <w:rFonts w:cs="Arial"/>
          <w:noProof/>
          <w:szCs w:val="24"/>
        </w:rPr>
        <w:t>accessed</w:t>
      </w:r>
      <w:r w:rsidRPr="00B11F60">
        <w:rPr>
          <w:rFonts w:cs="Arial"/>
          <w:noProof/>
          <w:szCs w:val="24"/>
        </w:rPr>
        <w:t>: 2.22.22</w:t>
      </w:r>
    </w:p>
    <w:p w14:paraId="6297A830" w14:textId="77777777" w:rsidR="00144A43" w:rsidRDefault="00144A43" w:rsidP="00144A43">
      <w:pPr>
        <w:pStyle w:val="CETReferencetext"/>
      </w:pPr>
      <w:r w:rsidRPr="00B11F60">
        <w:t>Pontzen F., Liebner W., Gronemann V., Rothaemel M., Ahlers B., 2011, CO</w:t>
      </w:r>
      <w:r w:rsidRPr="00B11F60">
        <w:rPr>
          <w:vertAlign w:val="subscript"/>
        </w:rPr>
        <w:t>2</w:t>
      </w:r>
      <w:r w:rsidRPr="00B11F60">
        <w:t>-based</w:t>
      </w:r>
      <w:r>
        <w:t xml:space="preserve"> methanol and DME - Efficient technologies for industrial scale production, Catalysis Today, 171(1), 242–250. </w:t>
      </w:r>
    </w:p>
    <w:p w14:paraId="6F1C20D6" w14:textId="56B8836A" w:rsidR="00144A43" w:rsidRPr="00BC434A" w:rsidRDefault="005F0D54" w:rsidP="00144A43">
      <w:pPr>
        <w:pStyle w:val="CETReferencetext"/>
      </w:pPr>
      <w:r>
        <w:t>PubChem, 2021, Dimethyl ether,</w:t>
      </w:r>
      <w:r w:rsidR="00144A43">
        <w:t xml:space="preserve"> National Library of Medicine website: </w:t>
      </w:r>
      <w:r w:rsidR="00144A43" w:rsidRPr="00BC434A">
        <w:t>&lt;pubchem.ncbi.nlm.nih.gov/source/hsdb/354#section=Human-Toxicity-Excerpts-(Complete)&gt; accessed: 15.12.21</w:t>
      </w:r>
    </w:p>
    <w:p w14:paraId="2524A50F" w14:textId="77777777" w:rsidR="00144A43" w:rsidRPr="00BC434A" w:rsidRDefault="00144A43" w:rsidP="00144A43">
      <w:pPr>
        <w:pStyle w:val="CETReferencetext"/>
        <w:rPr>
          <w:highlight w:val="yellow"/>
        </w:rPr>
      </w:pPr>
      <w:r w:rsidRPr="00BC434A">
        <w:t>Sheng Q., Ye R. P., Gong W., Shi X., Xu B., Argyle M., Adidharma H., Fan M., 2020, Mechanism and catalytic performance for direct dimethyl ether synthesis by CO</w:t>
      </w:r>
      <w:r w:rsidRPr="0023053E">
        <w:rPr>
          <w:vertAlign w:val="subscript"/>
        </w:rPr>
        <w:t>2</w:t>
      </w:r>
      <w:r w:rsidRPr="00BC434A">
        <w:t xml:space="preserve"> hydrogenation</w:t>
      </w:r>
      <w:r>
        <w:t xml:space="preserve"> over CuZnZr/ferrierite hybrid catalyst, Journal of Environmental Sciences (China), 92, 106–117. </w:t>
      </w:r>
    </w:p>
    <w:p w14:paraId="09DCF8E9" w14:textId="77777777" w:rsidR="00144A43" w:rsidRDefault="00144A43" w:rsidP="00144A43">
      <w:pPr>
        <w:pStyle w:val="CETReferencetext"/>
      </w:pPr>
      <w:r w:rsidRPr="0036149F">
        <w:t xml:space="preserve">Tugnoli A., Cozzani V., Landucci G., 2007, </w:t>
      </w:r>
      <w:r>
        <w:t xml:space="preserve">A Consequence Based Approach to the Quantitative Assessment of Inherent Safety, A.I. Chemical Engineering Journal, 53(12), 3171–3182. </w:t>
      </w:r>
    </w:p>
    <w:p w14:paraId="7D45A88E" w14:textId="3420206B" w:rsidR="00144A43" w:rsidRDefault="00144A43" w:rsidP="00144A43">
      <w:pPr>
        <w:pStyle w:val="CETReferencetext"/>
      </w:pPr>
      <w:r w:rsidRPr="0036149F">
        <w:t xml:space="preserve">Tugnoli A., </w:t>
      </w:r>
      <w:r w:rsidR="00E5266B">
        <w:t>Landucci G.</w:t>
      </w:r>
      <w:r w:rsidRPr="0036149F">
        <w:t xml:space="preserve">, </w:t>
      </w:r>
      <w:r w:rsidR="00E5266B">
        <w:t>Salzano E., Cozzani V., 2012</w:t>
      </w:r>
      <w:r w:rsidRPr="0036149F">
        <w:t xml:space="preserve">, </w:t>
      </w:r>
      <w:r w:rsidR="00E5266B" w:rsidRPr="00E5266B">
        <w:t>Supporting the selection of process and plant design options by Inherent Safety KPIs</w:t>
      </w:r>
      <w:r w:rsidR="00E5266B">
        <w:t xml:space="preserve">, </w:t>
      </w:r>
      <w:r w:rsidR="00E5266B" w:rsidRPr="00E5266B">
        <w:t>Journal of Loss Prevention in the Process Industries</w:t>
      </w:r>
      <w:r w:rsidR="00E5266B">
        <w:t>, 25, 830-</w:t>
      </w:r>
      <w:r w:rsidR="00E5266B" w:rsidRPr="00E5266B">
        <w:t>842</w:t>
      </w:r>
      <w:r w:rsidR="00E5266B">
        <w:t>.</w:t>
      </w:r>
      <w:r w:rsidR="00E5266B" w:rsidRPr="00E5266B">
        <w:t xml:space="preserve"> </w:t>
      </w:r>
    </w:p>
    <w:p w14:paraId="74604C57" w14:textId="77777777" w:rsidR="00144A43" w:rsidRDefault="00144A43" w:rsidP="00144A43">
      <w:pPr>
        <w:pStyle w:val="CETReferencetext"/>
      </w:pPr>
      <w:r>
        <w:t xml:space="preserve">Uijt de Haag P. A. M., Ale B. J. M, 1999, Guidelines for quantitative risk assessment (Purple Book), the Hague, Netherlands. </w:t>
      </w:r>
    </w:p>
    <w:p w14:paraId="2D5D9014" w14:textId="77777777" w:rsidR="00144A43" w:rsidRDefault="00144A43" w:rsidP="00144A43">
      <w:pPr>
        <w:pStyle w:val="CETReferencetext"/>
      </w:pPr>
      <w:r w:rsidRPr="001F6000">
        <w:t>Van den Bosch C. J. H., Weterings R. A. P. M., TNO, 1997, Methods for the calculation of physical effects: due to releases of hazardous materials (liquids and gases), Yellow book, The Hague, Netherlands.</w:t>
      </w:r>
    </w:p>
    <w:p w14:paraId="53893A22" w14:textId="01BCC03B" w:rsidR="0081794C" w:rsidRDefault="00144A43" w:rsidP="0081794C">
      <w:pPr>
        <w:pStyle w:val="CETReferencetext"/>
      </w:pPr>
      <w:r>
        <w:t>Wallace S. J., 2007, The case for inherent safety: A review of the principles of inherent safety and case studies of tragedies, ASSE Professional Development Conference 2007, (513).</w:t>
      </w:r>
    </w:p>
    <w:p w14:paraId="0E348E1B" w14:textId="77777777" w:rsidR="00E839FD" w:rsidRDefault="00E839FD" w:rsidP="0081794C">
      <w:pPr>
        <w:pStyle w:val="CETReferencetext"/>
      </w:pPr>
    </w:p>
    <w:sectPr w:rsidR="00E839FD"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C331" w16cex:dateUtc="2022-01-07T17:48:00Z"/>
  <w16cex:commentExtensible w16cex:durableId="2582D50C" w16cex:dateUtc="2022-01-07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9C1DC" w16cid:durableId="25E564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692B" w14:textId="77777777" w:rsidR="00D3122E" w:rsidRDefault="00D3122E" w:rsidP="004F5E36">
      <w:r>
        <w:separator/>
      </w:r>
    </w:p>
  </w:endnote>
  <w:endnote w:type="continuationSeparator" w:id="0">
    <w:p w14:paraId="3CEB37C8" w14:textId="77777777" w:rsidR="00D3122E" w:rsidRDefault="00D3122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5B9C" w14:textId="77777777" w:rsidR="00D3122E" w:rsidRDefault="00D3122E" w:rsidP="004F5E36">
      <w:r>
        <w:separator/>
      </w:r>
    </w:p>
  </w:footnote>
  <w:footnote w:type="continuationSeparator" w:id="0">
    <w:p w14:paraId="19F8DD40" w14:textId="77777777" w:rsidR="00D3122E" w:rsidRDefault="00D3122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940"/>
    <w:rsid w:val="000052FB"/>
    <w:rsid w:val="00005A83"/>
    <w:rsid w:val="00011143"/>
    <w:rsid w:val="000117CB"/>
    <w:rsid w:val="00020F30"/>
    <w:rsid w:val="0003148D"/>
    <w:rsid w:val="00031EEC"/>
    <w:rsid w:val="000426B7"/>
    <w:rsid w:val="00051566"/>
    <w:rsid w:val="000626C4"/>
    <w:rsid w:val="00062A9A"/>
    <w:rsid w:val="00065058"/>
    <w:rsid w:val="00086C39"/>
    <w:rsid w:val="000870A2"/>
    <w:rsid w:val="000A03B2"/>
    <w:rsid w:val="000A1EB6"/>
    <w:rsid w:val="000A441C"/>
    <w:rsid w:val="000B353C"/>
    <w:rsid w:val="000C7C75"/>
    <w:rsid w:val="000D0268"/>
    <w:rsid w:val="000D34BE"/>
    <w:rsid w:val="000E102F"/>
    <w:rsid w:val="000E36F1"/>
    <w:rsid w:val="000E3A73"/>
    <w:rsid w:val="000E414A"/>
    <w:rsid w:val="000F093C"/>
    <w:rsid w:val="000F787B"/>
    <w:rsid w:val="00110044"/>
    <w:rsid w:val="0012091F"/>
    <w:rsid w:val="00126BC2"/>
    <w:rsid w:val="001308B6"/>
    <w:rsid w:val="0013121F"/>
    <w:rsid w:val="00131389"/>
    <w:rsid w:val="00131FE6"/>
    <w:rsid w:val="0013263F"/>
    <w:rsid w:val="001331DF"/>
    <w:rsid w:val="00134DE4"/>
    <w:rsid w:val="0014034D"/>
    <w:rsid w:val="00140EA2"/>
    <w:rsid w:val="00144A43"/>
    <w:rsid w:val="00144D16"/>
    <w:rsid w:val="00150E59"/>
    <w:rsid w:val="00152DE3"/>
    <w:rsid w:val="00164CF9"/>
    <w:rsid w:val="001665B6"/>
    <w:rsid w:val="001667A6"/>
    <w:rsid w:val="00184AD6"/>
    <w:rsid w:val="001954B3"/>
    <w:rsid w:val="001A4AF7"/>
    <w:rsid w:val="001B0349"/>
    <w:rsid w:val="001B1E93"/>
    <w:rsid w:val="001B65C1"/>
    <w:rsid w:val="001C4E40"/>
    <w:rsid w:val="001C684B"/>
    <w:rsid w:val="001D0CFB"/>
    <w:rsid w:val="001D53FC"/>
    <w:rsid w:val="001D68B6"/>
    <w:rsid w:val="001D6CD0"/>
    <w:rsid w:val="001F42A5"/>
    <w:rsid w:val="001F7B9D"/>
    <w:rsid w:val="00201C93"/>
    <w:rsid w:val="002020A2"/>
    <w:rsid w:val="002224B4"/>
    <w:rsid w:val="0023053E"/>
    <w:rsid w:val="00236935"/>
    <w:rsid w:val="002447EF"/>
    <w:rsid w:val="00251550"/>
    <w:rsid w:val="00263B05"/>
    <w:rsid w:val="0027221A"/>
    <w:rsid w:val="00275B61"/>
    <w:rsid w:val="00280FAF"/>
    <w:rsid w:val="00282656"/>
    <w:rsid w:val="00294C02"/>
    <w:rsid w:val="00296B83"/>
    <w:rsid w:val="002B2AE6"/>
    <w:rsid w:val="002B4015"/>
    <w:rsid w:val="002B78CE"/>
    <w:rsid w:val="002C2FB6"/>
    <w:rsid w:val="002E5FA7"/>
    <w:rsid w:val="002F3309"/>
    <w:rsid w:val="003008CE"/>
    <w:rsid w:val="003009B7"/>
    <w:rsid w:val="00300E56"/>
    <w:rsid w:val="003029A0"/>
    <w:rsid w:val="0030469C"/>
    <w:rsid w:val="0031323D"/>
    <w:rsid w:val="00313A94"/>
    <w:rsid w:val="00321CA6"/>
    <w:rsid w:val="00322F4E"/>
    <w:rsid w:val="00323763"/>
    <w:rsid w:val="00334C09"/>
    <w:rsid w:val="00352347"/>
    <w:rsid w:val="00365C73"/>
    <w:rsid w:val="003676A5"/>
    <w:rsid w:val="003723D4"/>
    <w:rsid w:val="00381905"/>
    <w:rsid w:val="00384CC8"/>
    <w:rsid w:val="003871FD"/>
    <w:rsid w:val="003941FC"/>
    <w:rsid w:val="003A0F70"/>
    <w:rsid w:val="003A1E30"/>
    <w:rsid w:val="003A2829"/>
    <w:rsid w:val="003A7D1C"/>
    <w:rsid w:val="003B304B"/>
    <w:rsid w:val="003B3146"/>
    <w:rsid w:val="003D0EFC"/>
    <w:rsid w:val="003D226F"/>
    <w:rsid w:val="003E1B04"/>
    <w:rsid w:val="003F015E"/>
    <w:rsid w:val="003F1301"/>
    <w:rsid w:val="003F7FCF"/>
    <w:rsid w:val="00400414"/>
    <w:rsid w:val="0041446B"/>
    <w:rsid w:val="0044329C"/>
    <w:rsid w:val="00453E24"/>
    <w:rsid w:val="00454EB4"/>
    <w:rsid w:val="00456EE6"/>
    <w:rsid w:val="00457456"/>
    <w:rsid w:val="004577FE"/>
    <w:rsid w:val="00457B9C"/>
    <w:rsid w:val="0046164A"/>
    <w:rsid w:val="004628D2"/>
    <w:rsid w:val="00462DCD"/>
    <w:rsid w:val="004648AD"/>
    <w:rsid w:val="004703A9"/>
    <w:rsid w:val="004760DE"/>
    <w:rsid w:val="004763D7"/>
    <w:rsid w:val="0049650D"/>
    <w:rsid w:val="004A004E"/>
    <w:rsid w:val="004A24CF"/>
    <w:rsid w:val="004A5E41"/>
    <w:rsid w:val="004B10CD"/>
    <w:rsid w:val="004C3D1D"/>
    <w:rsid w:val="004C7913"/>
    <w:rsid w:val="004D797F"/>
    <w:rsid w:val="004E4DD6"/>
    <w:rsid w:val="004F5E36"/>
    <w:rsid w:val="00507B47"/>
    <w:rsid w:val="00507BEF"/>
    <w:rsid w:val="00507CC9"/>
    <w:rsid w:val="00507DD4"/>
    <w:rsid w:val="005119A5"/>
    <w:rsid w:val="005233DC"/>
    <w:rsid w:val="005244A0"/>
    <w:rsid w:val="005278B7"/>
    <w:rsid w:val="00532016"/>
    <w:rsid w:val="005346C8"/>
    <w:rsid w:val="00543E7D"/>
    <w:rsid w:val="0054639B"/>
    <w:rsid w:val="00547A68"/>
    <w:rsid w:val="00547BA0"/>
    <w:rsid w:val="005531C9"/>
    <w:rsid w:val="00570C43"/>
    <w:rsid w:val="00587313"/>
    <w:rsid w:val="00595B5A"/>
    <w:rsid w:val="005B2110"/>
    <w:rsid w:val="005B307C"/>
    <w:rsid w:val="005B61E6"/>
    <w:rsid w:val="005B7896"/>
    <w:rsid w:val="005B7FA7"/>
    <w:rsid w:val="005C4DDE"/>
    <w:rsid w:val="005C77E1"/>
    <w:rsid w:val="005C7D85"/>
    <w:rsid w:val="005D384B"/>
    <w:rsid w:val="005D668A"/>
    <w:rsid w:val="005D6A2F"/>
    <w:rsid w:val="005E1A82"/>
    <w:rsid w:val="005E794C"/>
    <w:rsid w:val="005F0A28"/>
    <w:rsid w:val="005F0D54"/>
    <w:rsid w:val="005F0E5E"/>
    <w:rsid w:val="005F7CC9"/>
    <w:rsid w:val="00600535"/>
    <w:rsid w:val="00610CD6"/>
    <w:rsid w:val="00620DEE"/>
    <w:rsid w:val="00621C9A"/>
    <w:rsid w:val="00621F92"/>
    <w:rsid w:val="0062280A"/>
    <w:rsid w:val="00625639"/>
    <w:rsid w:val="00631B33"/>
    <w:rsid w:val="00640E7A"/>
    <w:rsid w:val="0064184D"/>
    <w:rsid w:val="006422CC"/>
    <w:rsid w:val="006562BA"/>
    <w:rsid w:val="006572C3"/>
    <w:rsid w:val="00660BFF"/>
    <w:rsid w:val="00660E3E"/>
    <w:rsid w:val="00662E74"/>
    <w:rsid w:val="006669C8"/>
    <w:rsid w:val="00677553"/>
    <w:rsid w:val="00680C23"/>
    <w:rsid w:val="00690605"/>
    <w:rsid w:val="006911F0"/>
    <w:rsid w:val="006925FD"/>
    <w:rsid w:val="00693766"/>
    <w:rsid w:val="006A2DBB"/>
    <w:rsid w:val="006A3281"/>
    <w:rsid w:val="006B4888"/>
    <w:rsid w:val="006C2E45"/>
    <w:rsid w:val="006C359C"/>
    <w:rsid w:val="006C5579"/>
    <w:rsid w:val="006D60E6"/>
    <w:rsid w:val="006D6E8B"/>
    <w:rsid w:val="006E0B1C"/>
    <w:rsid w:val="006E737D"/>
    <w:rsid w:val="00712528"/>
    <w:rsid w:val="00713973"/>
    <w:rsid w:val="007202A0"/>
    <w:rsid w:val="00720A24"/>
    <w:rsid w:val="00720E96"/>
    <w:rsid w:val="00725DF2"/>
    <w:rsid w:val="00732386"/>
    <w:rsid w:val="00732CAF"/>
    <w:rsid w:val="0073514D"/>
    <w:rsid w:val="007356A2"/>
    <w:rsid w:val="00736240"/>
    <w:rsid w:val="007447F3"/>
    <w:rsid w:val="0075499F"/>
    <w:rsid w:val="0076081B"/>
    <w:rsid w:val="00762176"/>
    <w:rsid w:val="007661C8"/>
    <w:rsid w:val="0077098D"/>
    <w:rsid w:val="0079051F"/>
    <w:rsid w:val="007931FA"/>
    <w:rsid w:val="007A4861"/>
    <w:rsid w:val="007A7BBA"/>
    <w:rsid w:val="007B0C50"/>
    <w:rsid w:val="007B48F9"/>
    <w:rsid w:val="007C1A43"/>
    <w:rsid w:val="007E40FA"/>
    <w:rsid w:val="007E45CE"/>
    <w:rsid w:val="0080013E"/>
    <w:rsid w:val="00813288"/>
    <w:rsid w:val="008168FC"/>
    <w:rsid w:val="00816A5E"/>
    <w:rsid w:val="0081794C"/>
    <w:rsid w:val="00830996"/>
    <w:rsid w:val="008317ED"/>
    <w:rsid w:val="008345F1"/>
    <w:rsid w:val="0084453E"/>
    <w:rsid w:val="008524D5"/>
    <w:rsid w:val="00865B07"/>
    <w:rsid w:val="008667EA"/>
    <w:rsid w:val="00873703"/>
    <w:rsid w:val="0087637F"/>
    <w:rsid w:val="0088418A"/>
    <w:rsid w:val="008846AA"/>
    <w:rsid w:val="00892341"/>
    <w:rsid w:val="00892AD5"/>
    <w:rsid w:val="008A1512"/>
    <w:rsid w:val="008B47CC"/>
    <w:rsid w:val="008D32B9"/>
    <w:rsid w:val="008D433B"/>
    <w:rsid w:val="008E566E"/>
    <w:rsid w:val="0090161A"/>
    <w:rsid w:val="00901EB6"/>
    <w:rsid w:val="00904C62"/>
    <w:rsid w:val="00922BA8"/>
    <w:rsid w:val="00924DAC"/>
    <w:rsid w:val="00927058"/>
    <w:rsid w:val="00937E19"/>
    <w:rsid w:val="0094065B"/>
    <w:rsid w:val="00940ED6"/>
    <w:rsid w:val="0094111A"/>
    <w:rsid w:val="00942750"/>
    <w:rsid w:val="009450CE"/>
    <w:rsid w:val="00947179"/>
    <w:rsid w:val="0095164B"/>
    <w:rsid w:val="00954090"/>
    <w:rsid w:val="00956949"/>
    <w:rsid w:val="009573E7"/>
    <w:rsid w:val="009625E1"/>
    <w:rsid w:val="00963E05"/>
    <w:rsid w:val="00966E6E"/>
    <w:rsid w:val="00967843"/>
    <w:rsid w:val="00967D54"/>
    <w:rsid w:val="00967F05"/>
    <w:rsid w:val="00971028"/>
    <w:rsid w:val="00986363"/>
    <w:rsid w:val="00990430"/>
    <w:rsid w:val="00993B84"/>
    <w:rsid w:val="00996483"/>
    <w:rsid w:val="00996F5A"/>
    <w:rsid w:val="009A057B"/>
    <w:rsid w:val="009A3A3C"/>
    <w:rsid w:val="009A546E"/>
    <w:rsid w:val="009B041A"/>
    <w:rsid w:val="009C37C3"/>
    <w:rsid w:val="009C7C86"/>
    <w:rsid w:val="009D2FF7"/>
    <w:rsid w:val="009D6B2F"/>
    <w:rsid w:val="009E0DE0"/>
    <w:rsid w:val="009E69FE"/>
    <w:rsid w:val="009E7884"/>
    <w:rsid w:val="009E788A"/>
    <w:rsid w:val="009F0E08"/>
    <w:rsid w:val="00A1763D"/>
    <w:rsid w:val="00A17CEC"/>
    <w:rsid w:val="00A22972"/>
    <w:rsid w:val="00A27EF0"/>
    <w:rsid w:val="00A412ED"/>
    <w:rsid w:val="00A42361"/>
    <w:rsid w:val="00A50B20"/>
    <w:rsid w:val="00A51390"/>
    <w:rsid w:val="00A6054A"/>
    <w:rsid w:val="00A60D13"/>
    <w:rsid w:val="00A70BBF"/>
    <w:rsid w:val="00A72745"/>
    <w:rsid w:val="00A76EFC"/>
    <w:rsid w:val="00A81B27"/>
    <w:rsid w:val="00A83A8C"/>
    <w:rsid w:val="00A84C32"/>
    <w:rsid w:val="00A91010"/>
    <w:rsid w:val="00A92F1D"/>
    <w:rsid w:val="00A97F29"/>
    <w:rsid w:val="00AA702E"/>
    <w:rsid w:val="00AB0184"/>
    <w:rsid w:val="00AB0964"/>
    <w:rsid w:val="00AB5011"/>
    <w:rsid w:val="00AC7368"/>
    <w:rsid w:val="00AD16B9"/>
    <w:rsid w:val="00AE377D"/>
    <w:rsid w:val="00AF0EBA"/>
    <w:rsid w:val="00B0247B"/>
    <w:rsid w:val="00B02C8A"/>
    <w:rsid w:val="00B11F60"/>
    <w:rsid w:val="00B17FBD"/>
    <w:rsid w:val="00B26A0D"/>
    <w:rsid w:val="00B315A6"/>
    <w:rsid w:val="00B31813"/>
    <w:rsid w:val="00B31E1F"/>
    <w:rsid w:val="00B33365"/>
    <w:rsid w:val="00B57B36"/>
    <w:rsid w:val="00B57E6F"/>
    <w:rsid w:val="00B618D5"/>
    <w:rsid w:val="00B62AAE"/>
    <w:rsid w:val="00B84818"/>
    <w:rsid w:val="00B8686D"/>
    <w:rsid w:val="00B93F69"/>
    <w:rsid w:val="00B95059"/>
    <w:rsid w:val="00B97242"/>
    <w:rsid w:val="00BA4F72"/>
    <w:rsid w:val="00BB1DDC"/>
    <w:rsid w:val="00BC30C9"/>
    <w:rsid w:val="00BC33F3"/>
    <w:rsid w:val="00BD077D"/>
    <w:rsid w:val="00BE3E58"/>
    <w:rsid w:val="00C01616"/>
    <w:rsid w:val="00C0162B"/>
    <w:rsid w:val="00C068ED"/>
    <w:rsid w:val="00C11CCD"/>
    <w:rsid w:val="00C13CFC"/>
    <w:rsid w:val="00C13E47"/>
    <w:rsid w:val="00C14971"/>
    <w:rsid w:val="00C22E0C"/>
    <w:rsid w:val="00C345B1"/>
    <w:rsid w:val="00C3612D"/>
    <w:rsid w:val="00C40142"/>
    <w:rsid w:val="00C413E6"/>
    <w:rsid w:val="00C51239"/>
    <w:rsid w:val="00C52C3C"/>
    <w:rsid w:val="00C5327E"/>
    <w:rsid w:val="00C57182"/>
    <w:rsid w:val="00C57863"/>
    <w:rsid w:val="00C600C2"/>
    <w:rsid w:val="00C607E2"/>
    <w:rsid w:val="00C655FD"/>
    <w:rsid w:val="00C75407"/>
    <w:rsid w:val="00C870A8"/>
    <w:rsid w:val="00C90F14"/>
    <w:rsid w:val="00C94434"/>
    <w:rsid w:val="00CA0D75"/>
    <w:rsid w:val="00CA1C95"/>
    <w:rsid w:val="00CA3C3E"/>
    <w:rsid w:val="00CA5A9C"/>
    <w:rsid w:val="00CB6F67"/>
    <w:rsid w:val="00CC09BD"/>
    <w:rsid w:val="00CC4C20"/>
    <w:rsid w:val="00CD0078"/>
    <w:rsid w:val="00CD3517"/>
    <w:rsid w:val="00CD5FE2"/>
    <w:rsid w:val="00CE0672"/>
    <w:rsid w:val="00CE3267"/>
    <w:rsid w:val="00CE35D9"/>
    <w:rsid w:val="00CE7C68"/>
    <w:rsid w:val="00D02B4C"/>
    <w:rsid w:val="00D040C4"/>
    <w:rsid w:val="00D27739"/>
    <w:rsid w:val="00D27CB8"/>
    <w:rsid w:val="00D3122E"/>
    <w:rsid w:val="00D414F7"/>
    <w:rsid w:val="00D41A90"/>
    <w:rsid w:val="00D46B7E"/>
    <w:rsid w:val="00D5279D"/>
    <w:rsid w:val="00D57C84"/>
    <w:rsid w:val="00D6057D"/>
    <w:rsid w:val="00D776E5"/>
    <w:rsid w:val="00D836C5"/>
    <w:rsid w:val="00D84576"/>
    <w:rsid w:val="00DA1399"/>
    <w:rsid w:val="00DA24C6"/>
    <w:rsid w:val="00DA4D7B"/>
    <w:rsid w:val="00DA6F10"/>
    <w:rsid w:val="00DC1DE1"/>
    <w:rsid w:val="00DE264A"/>
    <w:rsid w:val="00DF2A59"/>
    <w:rsid w:val="00DF3E2A"/>
    <w:rsid w:val="00DF5072"/>
    <w:rsid w:val="00DF58B0"/>
    <w:rsid w:val="00E02D18"/>
    <w:rsid w:val="00E03645"/>
    <w:rsid w:val="00E041E7"/>
    <w:rsid w:val="00E17220"/>
    <w:rsid w:val="00E20FAA"/>
    <w:rsid w:val="00E23CA1"/>
    <w:rsid w:val="00E409A8"/>
    <w:rsid w:val="00E41BC5"/>
    <w:rsid w:val="00E43C2B"/>
    <w:rsid w:val="00E50C12"/>
    <w:rsid w:val="00E5266B"/>
    <w:rsid w:val="00E65B91"/>
    <w:rsid w:val="00E7209D"/>
    <w:rsid w:val="00E72EAD"/>
    <w:rsid w:val="00E77223"/>
    <w:rsid w:val="00E839FD"/>
    <w:rsid w:val="00E8528B"/>
    <w:rsid w:val="00E85B94"/>
    <w:rsid w:val="00E978D0"/>
    <w:rsid w:val="00EA4613"/>
    <w:rsid w:val="00EA7F91"/>
    <w:rsid w:val="00EB122D"/>
    <w:rsid w:val="00EB1523"/>
    <w:rsid w:val="00EB343A"/>
    <w:rsid w:val="00EC0E49"/>
    <w:rsid w:val="00EC101F"/>
    <w:rsid w:val="00EC1D9F"/>
    <w:rsid w:val="00EE0131"/>
    <w:rsid w:val="00EE17B0"/>
    <w:rsid w:val="00EF06D9"/>
    <w:rsid w:val="00F23EF4"/>
    <w:rsid w:val="00F24087"/>
    <w:rsid w:val="00F30C64"/>
    <w:rsid w:val="00F32BA2"/>
    <w:rsid w:val="00F32CDB"/>
    <w:rsid w:val="00F417C0"/>
    <w:rsid w:val="00F565FE"/>
    <w:rsid w:val="00F63A70"/>
    <w:rsid w:val="00F65332"/>
    <w:rsid w:val="00F66084"/>
    <w:rsid w:val="00F7534E"/>
    <w:rsid w:val="00FA21D0"/>
    <w:rsid w:val="00FA5F5F"/>
    <w:rsid w:val="00FB730C"/>
    <w:rsid w:val="00FC03E0"/>
    <w:rsid w:val="00FC2695"/>
    <w:rsid w:val="00FC3E03"/>
    <w:rsid w:val="00FC3FC1"/>
    <w:rsid w:val="00FC73DE"/>
    <w:rsid w:val="00FE2578"/>
    <w:rsid w:val="00FE679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3860D88-6765-410E-B70B-FE98B606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FootnoteReference">
    <w:name w:val="footnote reference"/>
    <w:basedOn w:val="DefaultParagraphFont"/>
    <w:uiPriority w:val="99"/>
    <w:semiHidden/>
    <w:unhideWhenUsed/>
    <w:rsid w:val="000870A2"/>
    <w:rPr>
      <w:vertAlign w:val="superscript"/>
    </w:rPr>
  </w:style>
  <w:style w:type="paragraph" w:styleId="Revision">
    <w:name w:val="Revision"/>
    <w:hidden/>
    <w:uiPriority w:val="99"/>
    <w:semiHidden/>
    <w:rsid w:val="009D6B2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A188-8598-4105-BD86-7F1A6DD0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12030</Words>
  <Characters>68572</Characters>
  <Application>Microsoft Office Word</Application>
  <DocSecurity>0</DocSecurity>
  <Lines>571</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Mariasole Cipolletta</cp:lastModifiedBy>
  <cp:revision>5</cp:revision>
  <cp:lastPrinted>2015-05-12T18:31:00Z</cp:lastPrinted>
  <dcterms:created xsi:type="dcterms:W3CDTF">2022-03-23T09:13:00Z</dcterms:created>
  <dcterms:modified xsi:type="dcterms:W3CDTF">2022-03-23T09:56:00Z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http://www.zotero.org/styles/applied-energy</vt:lpwstr>
  </property>
  <property fmtid="{D5CDD505-2E9C-101B-9397-08002B2CF9AE}" pid="7" name="Mendeley Recent Style Name 1_1">
    <vt:lpwstr>Applied Energy</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http://www.zotero.org/styles/elsevier-harvard2</vt:lpwstr>
  </property>
  <property fmtid="{D5CDD505-2E9C-101B-9397-08002B2CF9AE}" pid="11" name="Mendeley Recent Style Name 3_1">
    <vt:lpwstr>Elsevier - Harvard 2</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http://www.zotero.org/styles/journal-of-cleaner-production</vt:lpwstr>
  </property>
  <property fmtid="{D5CDD505-2E9C-101B-9397-08002B2CF9AE}" pid="17" name="Mendeley Recent Style Name 6_1">
    <vt:lpwstr>Journal of Cleaner Production</vt:lpwstr>
  </property>
  <property fmtid="{D5CDD505-2E9C-101B-9397-08002B2CF9AE}" pid="18" name="Mendeley Recent Style Id 7_1">
    <vt:lpwstr>http://www.zotero.org/styles/journal-of-loss-prevention-in-the-process-industries</vt:lpwstr>
  </property>
  <property fmtid="{D5CDD505-2E9C-101B-9397-08002B2CF9AE}" pid="19" name="Mendeley Recent Style Name 7_1">
    <vt:lpwstr>Journal of Loss Prevention in the Process Industries</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http://www.zotero.org/styles/renewable-energy</vt:lpwstr>
  </property>
  <property fmtid="{D5CDD505-2E9C-101B-9397-08002B2CF9AE}" pid="23" name="Mendeley Recent Style Name 9_1">
    <vt:lpwstr>Renewable Energy</vt:lpwstr>
  </property>
  <property fmtid="{D5CDD505-2E9C-101B-9397-08002B2CF9AE}" pid="24" name="Mendeley Document_1">
    <vt:lpwstr>True</vt:lpwstr>
  </property>
  <property fmtid="{D5CDD505-2E9C-101B-9397-08002B2CF9AE}" pid="25" name="Mendeley Unique User Id_1">
    <vt:lpwstr>9fe1af85-1e63-3bf6-b2e8-40d07e8012c1</vt:lpwstr>
  </property>
  <property fmtid="{D5CDD505-2E9C-101B-9397-08002B2CF9AE}" pid="26" name="Mendeley Citation Style_1">
    <vt:lpwstr>http://www.zotero.org/styles/journal-of-cleaner-production</vt:lpwstr>
  </property>
</Properties>
</file>