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C70ACA"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C70ACA" w:rsidRDefault="000A03B2" w:rsidP="00DE264A">
            <w:pPr>
              <w:tabs>
                <w:tab w:val="left" w:pos="-108"/>
              </w:tabs>
              <w:ind w:left="-108"/>
              <w:jc w:val="left"/>
              <w:rPr>
                <w:rFonts w:cs="Arial"/>
                <w:b/>
                <w:bCs/>
                <w:i/>
                <w:iCs/>
                <w:color w:val="000066"/>
                <w:sz w:val="12"/>
                <w:szCs w:val="12"/>
                <w:lang w:eastAsia="it-IT"/>
              </w:rPr>
            </w:pPr>
            <w:r w:rsidRPr="00C70ACA">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70ACA">
              <w:rPr>
                <w:rFonts w:ascii="AdvP6960" w:hAnsi="AdvP6960" w:cs="AdvP6960"/>
                <w:color w:val="241F20"/>
                <w:szCs w:val="18"/>
                <w:lang w:eastAsia="it-IT"/>
              </w:rPr>
              <w:t xml:space="preserve"> </w:t>
            </w:r>
            <w:r w:rsidRPr="00C70ACA">
              <w:rPr>
                <w:rFonts w:cs="Arial"/>
                <w:b/>
                <w:bCs/>
                <w:i/>
                <w:iCs/>
                <w:color w:val="000066"/>
                <w:sz w:val="24"/>
                <w:szCs w:val="24"/>
                <w:lang w:eastAsia="it-IT"/>
              </w:rPr>
              <w:t>CHEMICAL ENGINEERING</w:t>
            </w:r>
            <w:r w:rsidRPr="00C70ACA">
              <w:rPr>
                <w:rFonts w:cs="Arial"/>
                <w:b/>
                <w:bCs/>
                <w:i/>
                <w:iCs/>
                <w:color w:val="0033FF"/>
                <w:sz w:val="24"/>
                <w:szCs w:val="24"/>
                <w:lang w:eastAsia="it-IT"/>
              </w:rPr>
              <w:t xml:space="preserve"> </w:t>
            </w:r>
            <w:r w:rsidRPr="00C70ACA">
              <w:rPr>
                <w:rFonts w:cs="Arial"/>
                <w:b/>
                <w:bCs/>
                <w:i/>
                <w:iCs/>
                <w:color w:val="666666"/>
                <w:sz w:val="24"/>
                <w:szCs w:val="24"/>
                <w:lang w:eastAsia="it-IT"/>
              </w:rPr>
              <w:t>TRANSACTIONS</w:t>
            </w:r>
            <w:r w:rsidRPr="00C70ACA">
              <w:rPr>
                <w:color w:val="333333"/>
                <w:sz w:val="24"/>
                <w:szCs w:val="24"/>
                <w:lang w:eastAsia="it-IT"/>
              </w:rPr>
              <w:t xml:space="preserve"> </w:t>
            </w:r>
            <w:r w:rsidRPr="00C70ACA">
              <w:rPr>
                <w:rFonts w:cs="Arial"/>
                <w:b/>
                <w:bCs/>
                <w:i/>
                <w:iCs/>
                <w:color w:val="000066"/>
                <w:sz w:val="27"/>
                <w:szCs w:val="27"/>
                <w:lang w:eastAsia="it-IT"/>
              </w:rPr>
              <w:br/>
            </w:r>
          </w:p>
          <w:p w14:paraId="4B780582" w14:textId="740002EE" w:rsidR="000A03B2" w:rsidRPr="00C70ACA" w:rsidRDefault="00A76EFC" w:rsidP="00B57E6F">
            <w:pPr>
              <w:tabs>
                <w:tab w:val="left" w:pos="-108"/>
              </w:tabs>
              <w:ind w:left="-108"/>
              <w:rPr>
                <w:rFonts w:cs="Arial"/>
                <w:b/>
                <w:bCs/>
                <w:i/>
                <w:iCs/>
                <w:color w:val="000066"/>
                <w:sz w:val="22"/>
                <w:szCs w:val="22"/>
                <w:lang w:eastAsia="it-IT"/>
              </w:rPr>
            </w:pPr>
            <w:r w:rsidRPr="00C70ACA">
              <w:rPr>
                <w:rFonts w:cs="Arial"/>
                <w:b/>
                <w:bCs/>
                <w:i/>
                <w:iCs/>
                <w:color w:val="000066"/>
                <w:sz w:val="22"/>
                <w:szCs w:val="22"/>
                <w:lang w:eastAsia="it-IT"/>
              </w:rPr>
              <w:t xml:space="preserve">VOL. </w:t>
            </w:r>
            <w:r w:rsidR="00D46B7E" w:rsidRPr="00C70ACA">
              <w:rPr>
                <w:rFonts w:cs="Arial"/>
                <w:b/>
                <w:bCs/>
                <w:i/>
                <w:iCs/>
                <w:color w:val="000066"/>
                <w:sz w:val="22"/>
                <w:szCs w:val="22"/>
                <w:lang w:eastAsia="it-IT"/>
              </w:rPr>
              <w:t>9</w:t>
            </w:r>
            <w:r w:rsidR="00B57E6F" w:rsidRPr="00C70ACA">
              <w:rPr>
                <w:rFonts w:cs="Arial"/>
                <w:b/>
                <w:bCs/>
                <w:i/>
                <w:iCs/>
                <w:color w:val="000066"/>
                <w:sz w:val="22"/>
                <w:szCs w:val="22"/>
                <w:lang w:eastAsia="it-IT"/>
              </w:rPr>
              <w:t>1</w:t>
            </w:r>
            <w:r w:rsidR="007B48F9" w:rsidRPr="00C70ACA">
              <w:rPr>
                <w:rFonts w:cs="Arial"/>
                <w:b/>
                <w:bCs/>
                <w:i/>
                <w:iCs/>
                <w:color w:val="000066"/>
                <w:sz w:val="22"/>
                <w:szCs w:val="22"/>
                <w:lang w:eastAsia="it-IT"/>
              </w:rPr>
              <w:t>,</w:t>
            </w:r>
            <w:r w:rsidR="00FA5F5F" w:rsidRPr="00C70ACA">
              <w:rPr>
                <w:rFonts w:cs="Arial"/>
                <w:b/>
                <w:bCs/>
                <w:i/>
                <w:iCs/>
                <w:color w:val="000066"/>
                <w:sz w:val="22"/>
                <w:szCs w:val="22"/>
                <w:lang w:eastAsia="it-IT"/>
              </w:rPr>
              <w:t xml:space="preserve"> 20</w:t>
            </w:r>
            <w:r w:rsidR="00DF5072" w:rsidRPr="00C70ACA">
              <w:rPr>
                <w:rFonts w:cs="Arial"/>
                <w:b/>
                <w:bCs/>
                <w:i/>
                <w:iCs/>
                <w:color w:val="000066"/>
                <w:sz w:val="22"/>
                <w:szCs w:val="22"/>
                <w:lang w:eastAsia="it-IT"/>
              </w:rPr>
              <w:t>2</w:t>
            </w:r>
            <w:r w:rsidR="007B48F9" w:rsidRPr="00C70ACA">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C70ACA" w:rsidRDefault="000A03B2" w:rsidP="00CD5FE2">
            <w:pPr>
              <w:spacing w:line="140" w:lineRule="atLeast"/>
              <w:jc w:val="right"/>
              <w:rPr>
                <w:rFonts w:cs="Arial"/>
                <w:sz w:val="14"/>
                <w:szCs w:val="14"/>
              </w:rPr>
            </w:pPr>
            <w:r w:rsidRPr="00C70ACA">
              <w:rPr>
                <w:rFonts w:cs="Arial"/>
                <w:sz w:val="14"/>
                <w:szCs w:val="14"/>
              </w:rPr>
              <w:t>A publication of</w:t>
            </w:r>
          </w:p>
          <w:p w14:paraId="599E5441" w14:textId="77777777" w:rsidR="000A03B2" w:rsidRPr="00C70ACA" w:rsidRDefault="000A03B2" w:rsidP="00CD5FE2">
            <w:pPr>
              <w:jc w:val="right"/>
            </w:pPr>
            <w:r w:rsidRPr="00C70ACA">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70ACA" w14:paraId="380FA3CD" w14:textId="77777777" w:rsidTr="00DE264A">
        <w:trPr>
          <w:trHeight w:val="567"/>
          <w:jc w:val="center"/>
        </w:trPr>
        <w:tc>
          <w:tcPr>
            <w:tcW w:w="6946" w:type="dxa"/>
            <w:vMerge/>
            <w:tcBorders>
              <w:right w:val="single" w:sz="4" w:space="0" w:color="auto"/>
            </w:tcBorders>
          </w:tcPr>
          <w:p w14:paraId="39E5E4C1" w14:textId="77777777" w:rsidR="000A03B2" w:rsidRPr="00C70ACA"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C70ACA" w:rsidRDefault="000A03B2" w:rsidP="00CD5FE2">
            <w:pPr>
              <w:spacing w:line="140" w:lineRule="atLeast"/>
              <w:jc w:val="right"/>
              <w:rPr>
                <w:rFonts w:cs="Arial"/>
                <w:sz w:val="14"/>
                <w:szCs w:val="14"/>
              </w:rPr>
            </w:pPr>
            <w:r w:rsidRPr="00C70ACA">
              <w:rPr>
                <w:rFonts w:cs="Arial"/>
                <w:sz w:val="14"/>
                <w:szCs w:val="14"/>
              </w:rPr>
              <w:t>The Italian Association</w:t>
            </w:r>
          </w:p>
          <w:p w14:paraId="7522B1D2" w14:textId="77777777" w:rsidR="000A03B2" w:rsidRPr="00C70ACA" w:rsidRDefault="000A03B2" w:rsidP="00CD5FE2">
            <w:pPr>
              <w:spacing w:line="140" w:lineRule="atLeast"/>
              <w:jc w:val="right"/>
              <w:rPr>
                <w:rFonts w:cs="Arial"/>
                <w:sz w:val="14"/>
                <w:szCs w:val="14"/>
              </w:rPr>
            </w:pPr>
            <w:r w:rsidRPr="00C70ACA">
              <w:rPr>
                <w:rFonts w:cs="Arial"/>
                <w:sz w:val="14"/>
                <w:szCs w:val="14"/>
              </w:rPr>
              <w:t>of Chemical Engineering</w:t>
            </w:r>
          </w:p>
          <w:p w14:paraId="4F0CC5DE" w14:textId="47FDB2FC" w:rsidR="000A03B2" w:rsidRPr="00C70ACA" w:rsidRDefault="000D0268" w:rsidP="00CD5FE2">
            <w:pPr>
              <w:spacing w:line="140" w:lineRule="atLeast"/>
              <w:jc w:val="right"/>
              <w:rPr>
                <w:rFonts w:cs="Arial"/>
                <w:sz w:val="13"/>
                <w:szCs w:val="13"/>
              </w:rPr>
            </w:pPr>
            <w:r w:rsidRPr="00C70ACA">
              <w:rPr>
                <w:rFonts w:cs="Arial"/>
                <w:sz w:val="13"/>
                <w:szCs w:val="13"/>
              </w:rPr>
              <w:t>Online at www.cetjournal.it</w:t>
            </w:r>
          </w:p>
        </w:tc>
      </w:tr>
      <w:tr w:rsidR="000A03B2" w:rsidRPr="00C70ACA" w14:paraId="2D1B7169" w14:textId="77777777" w:rsidTr="00DE264A">
        <w:trPr>
          <w:trHeight w:val="68"/>
          <w:jc w:val="center"/>
        </w:trPr>
        <w:tc>
          <w:tcPr>
            <w:tcW w:w="8789" w:type="dxa"/>
            <w:gridSpan w:val="2"/>
          </w:tcPr>
          <w:p w14:paraId="4B0BB442" w14:textId="4EADF2C2" w:rsidR="00300E56" w:rsidRPr="00AA4D7A" w:rsidRDefault="00300E56" w:rsidP="00B57E6F">
            <w:pPr>
              <w:ind w:left="-107"/>
              <w:outlineLvl w:val="2"/>
              <w:rPr>
                <w:rFonts w:ascii="Tahoma" w:hAnsi="Tahoma" w:cs="Tahoma"/>
                <w:bCs/>
                <w:color w:val="000000"/>
                <w:sz w:val="14"/>
                <w:szCs w:val="14"/>
                <w:lang w:val="it-IT" w:eastAsia="it-IT"/>
              </w:rPr>
            </w:pPr>
            <w:r w:rsidRPr="00AA4D7A">
              <w:rPr>
                <w:rFonts w:ascii="Tahoma" w:hAnsi="Tahoma" w:cs="Tahoma"/>
                <w:iCs/>
                <w:color w:val="333333"/>
                <w:sz w:val="14"/>
                <w:szCs w:val="14"/>
                <w:lang w:val="it-IT" w:eastAsia="it-IT"/>
              </w:rPr>
              <w:t>Guest Editors:</w:t>
            </w:r>
            <w:r w:rsidR="00904C62" w:rsidRPr="00AA4D7A">
              <w:rPr>
                <w:rFonts w:ascii="Tahoma" w:hAnsi="Tahoma" w:cs="Tahoma"/>
                <w:iCs/>
                <w:color w:val="333333"/>
                <w:sz w:val="14"/>
                <w:szCs w:val="14"/>
                <w:lang w:val="it-IT" w:eastAsia="it-IT"/>
              </w:rPr>
              <w:t xml:space="preserve"> </w:t>
            </w:r>
            <w:r w:rsidR="00B57E6F" w:rsidRPr="00AA4D7A">
              <w:rPr>
                <w:rFonts w:ascii="Tahoma" w:hAnsi="Tahoma" w:cs="Tahoma"/>
                <w:color w:val="000000"/>
                <w:sz w:val="14"/>
                <w:szCs w:val="14"/>
                <w:shd w:val="clear" w:color="auto" w:fill="FFFFFF"/>
                <w:lang w:val="it-IT"/>
              </w:rPr>
              <w:t xml:space="preserve">Valerio </w:t>
            </w:r>
            <w:proofErr w:type="spellStart"/>
            <w:r w:rsidR="00B57E6F" w:rsidRPr="00AA4D7A">
              <w:rPr>
                <w:rFonts w:ascii="Tahoma" w:hAnsi="Tahoma" w:cs="Tahoma"/>
                <w:color w:val="000000"/>
                <w:sz w:val="14"/>
                <w:szCs w:val="14"/>
                <w:shd w:val="clear" w:color="auto" w:fill="FFFFFF"/>
                <w:lang w:val="it-IT"/>
              </w:rPr>
              <w:t>Cozzani</w:t>
            </w:r>
            <w:proofErr w:type="spellEnd"/>
            <w:r w:rsidR="00B57E6F" w:rsidRPr="00AA4D7A">
              <w:rPr>
                <w:rFonts w:ascii="Tahoma" w:hAnsi="Tahoma" w:cs="Tahoma"/>
                <w:color w:val="000000"/>
                <w:sz w:val="14"/>
                <w:szCs w:val="14"/>
                <w:shd w:val="clear" w:color="auto" w:fill="FFFFFF"/>
                <w:lang w:val="it-IT"/>
              </w:rPr>
              <w:t xml:space="preserve">, </w:t>
            </w:r>
            <w:r w:rsidR="001331DF" w:rsidRPr="00AA4D7A">
              <w:rPr>
                <w:rFonts w:ascii="Tahoma" w:hAnsi="Tahoma" w:cs="Tahoma"/>
                <w:color w:val="000000"/>
                <w:sz w:val="14"/>
                <w:szCs w:val="14"/>
                <w:shd w:val="clear" w:color="auto" w:fill="FFFFFF"/>
                <w:lang w:val="it-IT"/>
              </w:rPr>
              <w:t>Bruno Fabiano</w:t>
            </w:r>
            <w:r w:rsidR="00B57E6F" w:rsidRPr="00AA4D7A">
              <w:rPr>
                <w:rFonts w:ascii="Tahoma" w:hAnsi="Tahoma" w:cs="Tahoma"/>
                <w:color w:val="000000"/>
                <w:sz w:val="14"/>
                <w:szCs w:val="14"/>
                <w:shd w:val="clear" w:color="auto" w:fill="FFFFFF"/>
                <w:lang w:val="it-IT"/>
              </w:rPr>
              <w:t xml:space="preserve">, </w:t>
            </w:r>
            <w:proofErr w:type="spellStart"/>
            <w:r w:rsidR="00B57E6F" w:rsidRPr="00AA4D7A">
              <w:rPr>
                <w:rFonts w:ascii="Tahoma" w:hAnsi="Tahoma" w:cs="Tahoma"/>
                <w:bCs/>
                <w:color w:val="000000"/>
                <w:sz w:val="14"/>
                <w:szCs w:val="14"/>
                <w:lang w:val="it-IT" w:eastAsia="it-IT"/>
              </w:rPr>
              <w:t>Genserik</w:t>
            </w:r>
            <w:proofErr w:type="spellEnd"/>
            <w:r w:rsidR="00B57E6F" w:rsidRPr="00AA4D7A">
              <w:rPr>
                <w:rFonts w:ascii="Tahoma" w:hAnsi="Tahoma" w:cs="Tahoma"/>
                <w:bCs/>
                <w:color w:val="000000"/>
                <w:sz w:val="14"/>
                <w:szCs w:val="14"/>
                <w:lang w:val="it-IT" w:eastAsia="it-IT"/>
              </w:rPr>
              <w:t xml:space="preserve"> </w:t>
            </w:r>
            <w:proofErr w:type="spellStart"/>
            <w:r w:rsidR="00B57E6F" w:rsidRPr="00AA4D7A">
              <w:rPr>
                <w:rFonts w:ascii="Tahoma" w:hAnsi="Tahoma" w:cs="Tahoma"/>
                <w:bCs/>
                <w:color w:val="000000"/>
                <w:sz w:val="14"/>
                <w:szCs w:val="14"/>
                <w:lang w:val="it-IT" w:eastAsia="it-IT"/>
              </w:rPr>
              <w:t>Reniers</w:t>
            </w:r>
            <w:proofErr w:type="spellEnd"/>
          </w:p>
          <w:p w14:paraId="1B0F1814" w14:textId="08709475" w:rsidR="000A03B2" w:rsidRPr="00C70ACA" w:rsidRDefault="00FA5F5F" w:rsidP="00B57E6F">
            <w:pPr>
              <w:tabs>
                <w:tab w:val="left" w:pos="-108"/>
              </w:tabs>
              <w:spacing w:line="140" w:lineRule="atLeast"/>
              <w:ind w:left="-107"/>
              <w:jc w:val="left"/>
            </w:pPr>
            <w:r w:rsidRPr="00C70ACA">
              <w:rPr>
                <w:rFonts w:ascii="Tahoma" w:hAnsi="Tahoma" w:cs="Tahoma"/>
                <w:iCs/>
                <w:color w:val="333333"/>
                <w:sz w:val="14"/>
                <w:szCs w:val="14"/>
                <w:lang w:eastAsia="it-IT"/>
              </w:rPr>
              <w:t>Copyright © 20</w:t>
            </w:r>
            <w:r w:rsidR="00DF5072" w:rsidRPr="00C70ACA">
              <w:rPr>
                <w:rFonts w:ascii="Tahoma" w:hAnsi="Tahoma" w:cs="Tahoma"/>
                <w:iCs/>
                <w:color w:val="333333"/>
                <w:sz w:val="14"/>
                <w:szCs w:val="14"/>
                <w:lang w:eastAsia="it-IT"/>
              </w:rPr>
              <w:t>2</w:t>
            </w:r>
            <w:r w:rsidR="00E72EAD" w:rsidRPr="00C70ACA">
              <w:rPr>
                <w:rFonts w:ascii="Tahoma" w:hAnsi="Tahoma" w:cs="Tahoma"/>
                <w:iCs/>
                <w:color w:val="333333"/>
                <w:sz w:val="14"/>
                <w:szCs w:val="14"/>
                <w:lang w:eastAsia="it-IT"/>
              </w:rPr>
              <w:t>2</w:t>
            </w:r>
            <w:r w:rsidR="00904C62" w:rsidRPr="00C70ACA">
              <w:rPr>
                <w:rFonts w:ascii="Tahoma" w:hAnsi="Tahoma" w:cs="Tahoma"/>
                <w:iCs/>
                <w:color w:val="333333"/>
                <w:sz w:val="14"/>
                <w:szCs w:val="14"/>
                <w:lang w:eastAsia="it-IT"/>
              </w:rPr>
              <w:t xml:space="preserve">, AIDIC </w:t>
            </w:r>
            <w:proofErr w:type="spellStart"/>
            <w:r w:rsidR="00904C62" w:rsidRPr="00C70ACA">
              <w:rPr>
                <w:rFonts w:ascii="Tahoma" w:hAnsi="Tahoma" w:cs="Tahoma"/>
                <w:iCs/>
                <w:color w:val="333333"/>
                <w:sz w:val="14"/>
                <w:szCs w:val="14"/>
                <w:lang w:eastAsia="it-IT"/>
              </w:rPr>
              <w:t>Servizi</w:t>
            </w:r>
            <w:proofErr w:type="spellEnd"/>
            <w:r w:rsidR="00904C62" w:rsidRPr="00C70ACA">
              <w:rPr>
                <w:rFonts w:ascii="Tahoma" w:hAnsi="Tahoma" w:cs="Tahoma"/>
                <w:iCs/>
                <w:color w:val="333333"/>
                <w:sz w:val="14"/>
                <w:szCs w:val="14"/>
                <w:lang w:eastAsia="it-IT"/>
              </w:rPr>
              <w:t xml:space="preserve"> </w:t>
            </w:r>
            <w:proofErr w:type="spellStart"/>
            <w:r w:rsidR="00904C62" w:rsidRPr="00C70ACA">
              <w:rPr>
                <w:rFonts w:ascii="Tahoma" w:hAnsi="Tahoma" w:cs="Tahoma"/>
                <w:iCs/>
                <w:color w:val="333333"/>
                <w:sz w:val="14"/>
                <w:szCs w:val="14"/>
                <w:lang w:eastAsia="it-IT"/>
              </w:rPr>
              <w:t>S.r.l</w:t>
            </w:r>
            <w:proofErr w:type="spellEnd"/>
            <w:r w:rsidR="00904C62" w:rsidRPr="00C70ACA">
              <w:rPr>
                <w:rFonts w:ascii="Tahoma" w:hAnsi="Tahoma" w:cs="Tahoma"/>
                <w:iCs/>
                <w:color w:val="333333"/>
                <w:sz w:val="14"/>
                <w:szCs w:val="14"/>
                <w:lang w:eastAsia="it-IT"/>
              </w:rPr>
              <w:t>.</w:t>
            </w:r>
            <w:r w:rsidR="00300E56" w:rsidRPr="00C70ACA">
              <w:rPr>
                <w:rFonts w:ascii="Tahoma" w:hAnsi="Tahoma" w:cs="Tahoma"/>
                <w:iCs/>
                <w:color w:val="333333"/>
                <w:sz w:val="14"/>
                <w:szCs w:val="14"/>
                <w:lang w:eastAsia="it-IT"/>
              </w:rPr>
              <w:br/>
            </w:r>
            <w:r w:rsidR="00300E56" w:rsidRPr="00C70ACA">
              <w:rPr>
                <w:rFonts w:ascii="Tahoma" w:hAnsi="Tahoma" w:cs="Tahoma"/>
                <w:b/>
                <w:iCs/>
                <w:color w:val="000000"/>
                <w:sz w:val="14"/>
                <w:szCs w:val="14"/>
                <w:lang w:eastAsia="it-IT"/>
              </w:rPr>
              <w:t>ISBN</w:t>
            </w:r>
            <w:r w:rsidR="00300E56" w:rsidRPr="00C70ACA">
              <w:rPr>
                <w:rFonts w:ascii="Tahoma" w:hAnsi="Tahoma" w:cs="Tahoma"/>
                <w:iCs/>
                <w:color w:val="000000"/>
                <w:sz w:val="14"/>
                <w:szCs w:val="14"/>
                <w:lang w:eastAsia="it-IT"/>
              </w:rPr>
              <w:t xml:space="preserve"> </w:t>
            </w:r>
            <w:r w:rsidR="008D32B9" w:rsidRPr="00C70ACA">
              <w:rPr>
                <w:rFonts w:ascii="Tahoma" w:hAnsi="Tahoma" w:cs="Tahoma"/>
                <w:sz w:val="14"/>
                <w:szCs w:val="14"/>
              </w:rPr>
              <w:t>978-88-95608</w:t>
            </w:r>
            <w:r w:rsidR="00D46B7E" w:rsidRPr="00C70ACA">
              <w:rPr>
                <w:rFonts w:ascii="Tahoma" w:hAnsi="Tahoma" w:cs="Tahoma"/>
                <w:sz w:val="14"/>
                <w:szCs w:val="14"/>
              </w:rPr>
              <w:t>-8</w:t>
            </w:r>
            <w:r w:rsidR="00B57E6F" w:rsidRPr="00C70ACA">
              <w:rPr>
                <w:rFonts w:ascii="Tahoma" w:hAnsi="Tahoma" w:cs="Tahoma"/>
                <w:sz w:val="14"/>
                <w:szCs w:val="14"/>
              </w:rPr>
              <w:t>9</w:t>
            </w:r>
            <w:r w:rsidR="00D46B7E" w:rsidRPr="00C70ACA">
              <w:rPr>
                <w:rFonts w:ascii="Tahoma" w:hAnsi="Tahoma" w:cs="Tahoma"/>
                <w:sz w:val="14"/>
                <w:szCs w:val="14"/>
              </w:rPr>
              <w:t>-</w:t>
            </w:r>
            <w:r w:rsidR="00B57E6F" w:rsidRPr="00C70ACA">
              <w:rPr>
                <w:rFonts w:ascii="Tahoma" w:hAnsi="Tahoma" w:cs="Tahoma"/>
                <w:sz w:val="14"/>
                <w:szCs w:val="14"/>
              </w:rPr>
              <w:t>1</w:t>
            </w:r>
            <w:r w:rsidR="007B48F9" w:rsidRPr="00C70ACA">
              <w:rPr>
                <w:rFonts w:ascii="Tahoma" w:hAnsi="Tahoma" w:cs="Tahoma"/>
                <w:iCs/>
                <w:color w:val="333333"/>
                <w:sz w:val="14"/>
                <w:szCs w:val="14"/>
                <w:lang w:eastAsia="it-IT"/>
              </w:rPr>
              <w:t>;</w:t>
            </w:r>
            <w:r w:rsidR="00300E56" w:rsidRPr="00C70ACA">
              <w:rPr>
                <w:rFonts w:ascii="Tahoma" w:hAnsi="Tahoma" w:cs="Tahoma"/>
                <w:iCs/>
                <w:color w:val="333333"/>
                <w:sz w:val="14"/>
                <w:szCs w:val="14"/>
                <w:lang w:eastAsia="it-IT"/>
              </w:rPr>
              <w:t xml:space="preserve"> </w:t>
            </w:r>
            <w:r w:rsidR="00300E56" w:rsidRPr="00C70ACA">
              <w:rPr>
                <w:rFonts w:ascii="Tahoma" w:hAnsi="Tahoma" w:cs="Tahoma"/>
                <w:b/>
                <w:iCs/>
                <w:color w:val="333333"/>
                <w:sz w:val="14"/>
                <w:szCs w:val="14"/>
                <w:lang w:eastAsia="it-IT"/>
              </w:rPr>
              <w:t>ISSN</w:t>
            </w:r>
            <w:r w:rsidR="00300E56" w:rsidRPr="00C70ACA">
              <w:rPr>
                <w:rFonts w:ascii="Tahoma" w:hAnsi="Tahoma" w:cs="Tahoma"/>
                <w:iCs/>
                <w:color w:val="333333"/>
                <w:sz w:val="14"/>
                <w:szCs w:val="14"/>
                <w:lang w:eastAsia="it-IT"/>
              </w:rPr>
              <w:t xml:space="preserve"> 2283-9216</w:t>
            </w:r>
          </w:p>
        </w:tc>
      </w:tr>
    </w:tbl>
    <w:p w14:paraId="10DAA130" w14:textId="77777777" w:rsidR="000A03B2" w:rsidRPr="00C70ACA" w:rsidRDefault="000A03B2" w:rsidP="000A03B2">
      <w:pPr>
        <w:pStyle w:val="CETAuthors"/>
        <w:sectPr w:rsidR="000A03B2" w:rsidRPr="00C70ACA" w:rsidSect="00CD5FE2">
          <w:type w:val="continuous"/>
          <w:pgSz w:w="11906" w:h="16838" w:code="9"/>
          <w:pgMar w:top="1701" w:right="1418" w:bottom="1701" w:left="1701" w:header="1701" w:footer="0" w:gutter="0"/>
          <w:cols w:space="708"/>
          <w:titlePg/>
          <w:docGrid w:linePitch="360"/>
        </w:sectPr>
      </w:pPr>
    </w:p>
    <w:p w14:paraId="2E667253" w14:textId="4DDE63FB" w:rsidR="00E978D0" w:rsidRPr="00C70ACA" w:rsidRDefault="00617886" w:rsidP="00E978D0">
      <w:pPr>
        <w:pStyle w:val="CETTitle"/>
      </w:pPr>
      <w:r w:rsidRPr="00C70ACA">
        <w:t>Preliminary Study on Oxidation of Nuclear Grade Graphite</w:t>
      </w:r>
    </w:p>
    <w:p w14:paraId="0488FED2" w14:textId="6A67B4D5" w:rsidR="00B57E6F" w:rsidRPr="00AA4D7A" w:rsidRDefault="009C298D" w:rsidP="00B57E6F">
      <w:pPr>
        <w:pStyle w:val="CETAuthors"/>
        <w:rPr>
          <w:vertAlign w:val="superscript"/>
          <w:lang w:val="it-IT"/>
        </w:rPr>
      </w:pPr>
      <w:r w:rsidRPr="00AA4D7A">
        <w:rPr>
          <w:lang w:val="it-IT"/>
        </w:rPr>
        <w:t>Martina Mazzi</w:t>
      </w:r>
      <w:r w:rsidRPr="00AA4D7A">
        <w:rPr>
          <w:vertAlign w:val="superscript"/>
          <w:lang w:val="it-IT"/>
        </w:rPr>
        <w:t>1</w:t>
      </w:r>
      <w:r w:rsidRPr="00AA4D7A">
        <w:rPr>
          <w:lang w:val="it-IT"/>
        </w:rPr>
        <w:t>, Riccardo Chebac</w:t>
      </w:r>
      <w:r w:rsidRPr="00AA4D7A">
        <w:rPr>
          <w:vertAlign w:val="superscript"/>
          <w:lang w:val="it-IT"/>
        </w:rPr>
        <w:t>2</w:t>
      </w:r>
      <w:r w:rsidRPr="00AA4D7A">
        <w:rPr>
          <w:lang w:val="it-IT"/>
        </w:rPr>
        <w:t>, Fabrizio Campi</w:t>
      </w:r>
      <w:r w:rsidRPr="00AA4D7A">
        <w:rPr>
          <w:vertAlign w:val="superscript"/>
          <w:lang w:val="it-IT"/>
        </w:rPr>
        <w:t>2</w:t>
      </w:r>
      <w:r w:rsidRPr="00AA4D7A">
        <w:rPr>
          <w:lang w:val="it-IT"/>
        </w:rPr>
        <w:t>, Marco Ricotti</w:t>
      </w:r>
      <w:r w:rsidRPr="00AA4D7A">
        <w:rPr>
          <w:vertAlign w:val="superscript"/>
          <w:lang w:val="it-IT"/>
        </w:rPr>
        <w:t>2</w:t>
      </w:r>
      <w:r w:rsidRPr="00AA4D7A">
        <w:rPr>
          <w:lang w:val="it-IT"/>
        </w:rPr>
        <w:t xml:space="preserve">, </w:t>
      </w:r>
      <w:r w:rsidR="00A852E0" w:rsidRPr="00AA4D7A">
        <w:rPr>
          <w:lang w:val="it-IT"/>
        </w:rPr>
        <w:t>Gintautas Po</w:t>
      </w:r>
      <w:r w:rsidR="00A852E0" w:rsidRPr="00AA4D7A">
        <w:rPr>
          <w:rFonts w:cs="Arial"/>
          <w:lang w:val="it-IT"/>
        </w:rPr>
        <w:t>š</w:t>
      </w:r>
      <w:r w:rsidR="00A852E0" w:rsidRPr="00AA4D7A">
        <w:rPr>
          <w:lang w:val="it-IT"/>
        </w:rPr>
        <w:t>kas</w:t>
      </w:r>
      <w:r w:rsidR="00A852E0" w:rsidRPr="00AA4D7A">
        <w:rPr>
          <w:vertAlign w:val="superscript"/>
          <w:lang w:val="it-IT"/>
        </w:rPr>
        <w:t>3</w:t>
      </w:r>
      <w:r w:rsidR="00A852E0" w:rsidRPr="00AA4D7A">
        <w:rPr>
          <w:lang w:val="it-IT"/>
        </w:rPr>
        <w:t xml:space="preserve">, </w:t>
      </w:r>
      <w:r w:rsidRPr="00AA4D7A">
        <w:rPr>
          <w:lang w:val="it-IT"/>
        </w:rPr>
        <w:t>Marco Derudi</w:t>
      </w:r>
      <w:r w:rsidRPr="00AA4D7A">
        <w:rPr>
          <w:vertAlign w:val="superscript"/>
          <w:lang w:val="it-IT"/>
        </w:rPr>
        <w:t>1,*</w:t>
      </w:r>
      <w:r w:rsidRPr="00AA4D7A">
        <w:rPr>
          <w:lang w:val="it-IT"/>
        </w:rPr>
        <w:t>,</w:t>
      </w:r>
      <w:r w:rsidR="00510642" w:rsidRPr="00AA4D7A">
        <w:rPr>
          <w:lang w:val="it-IT"/>
        </w:rPr>
        <w:t xml:space="preserve"> </w:t>
      </w:r>
      <w:r w:rsidRPr="00AA4D7A">
        <w:rPr>
          <w:lang w:val="it-IT"/>
        </w:rPr>
        <w:t>Alessandro Porta</w:t>
      </w:r>
      <w:r w:rsidRPr="00AA4D7A">
        <w:rPr>
          <w:vertAlign w:val="superscript"/>
          <w:lang w:val="it-IT"/>
        </w:rPr>
        <w:t>2</w:t>
      </w:r>
    </w:p>
    <w:p w14:paraId="6B2D21B3" w14:textId="1FE23F56" w:rsidR="00B57E6F" w:rsidRPr="00AA4D7A" w:rsidRDefault="0003012A" w:rsidP="00547B0A">
      <w:pPr>
        <w:pStyle w:val="CETAddress"/>
        <w:rPr>
          <w:lang w:val="it-IT"/>
        </w:rPr>
      </w:pPr>
      <w:r w:rsidRPr="00AA4D7A">
        <w:rPr>
          <w:vertAlign w:val="superscript"/>
          <w:lang w:val="it-IT"/>
        </w:rPr>
        <w:t>1</w:t>
      </w:r>
      <w:r w:rsidRPr="00AA4D7A">
        <w:rPr>
          <w:lang w:val="it-IT"/>
        </w:rPr>
        <w:t>Politecnico di Milano, Dip. di Chimica, Materiali e Ingegneria Chimica “G. Natta”, Via Mancinelli 7</w:t>
      </w:r>
      <w:r w:rsidR="00973E88" w:rsidRPr="00AA4D7A">
        <w:rPr>
          <w:lang w:val="it-IT"/>
        </w:rPr>
        <w:t xml:space="preserve">, </w:t>
      </w:r>
      <w:r w:rsidRPr="00AA4D7A">
        <w:rPr>
          <w:lang w:val="it-IT"/>
        </w:rPr>
        <w:t xml:space="preserve">20131 Milano </w:t>
      </w:r>
      <w:r w:rsidR="00FF3A38" w:rsidRPr="00AA4D7A">
        <w:rPr>
          <w:lang w:val="it-IT"/>
        </w:rPr>
        <w:t xml:space="preserve">- </w:t>
      </w:r>
      <w:r w:rsidRPr="00AA4D7A">
        <w:rPr>
          <w:lang w:val="it-IT"/>
        </w:rPr>
        <w:t>Italy</w:t>
      </w:r>
      <w:r w:rsidR="00B57E6F" w:rsidRPr="00AA4D7A">
        <w:rPr>
          <w:lang w:val="it-IT"/>
        </w:rPr>
        <w:t xml:space="preserve"> </w:t>
      </w:r>
    </w:p>
    <w:p w14:paraId="3D72B0B0" w14:textId="45A48FD2" w:rsidR="00B57E6F" w:rsidRPr="00AA4D7A" w:rsidRDefault="00B67F12" w:rsidP="00547B0A">
      <w:pPr>
        <w:pStyle w:val="CETAddress"/>
        <w:rPr>
          <w:lang w:val="it-IT"/>
        </w:rPr>
      </w:pPr>
      <w:r w:rsidRPr="00AA4D7A">
        <w:rPr>
          <w:vertAlign w:val="superscript"/>
          <w:lang w:val="it-IT"/>
        </w:rPr>
        <w:t>2</w:t>
      </w:r>
      <w:r w:rsidRPr="00AA4D7A">
        <w:rPr>
          <w:lang w:val="it-IT"/>
        </w:rPr>
        <w:t>Politecnico di Milano, Dip. di Energia, Via Lambruschini 4, 20156 Milano - Italy</w:t>
      </w:r>
    </w:p>
    <w:p w14:paraId="7A18ADC7" w14:textId="178DE390" w:rsidR="00547B0A" w:rsidRPr="00C70ACA" w:rsidRDefault="00547B0A" w:rsidP="00547B0A">
      <w:pPr>
        <w:pStyle w:val="CETAddress"/>
      </w:pPr>
      <w:r w:rsidRPr="00C70ACA">
        <w:rPr>
          <w:vertAlign w:val="superscript"/>
        </w:rPr>
        <w:t>3</w:t>
      </w:r>
      <w:r w:rsidRPr="00C70ACA">
        <w:t>Lithuanian Energy Institute</w:t>
      </w:r>
      <w:r w:rsidR="003E1DE9" w:rsidRPr="00C70ACA">
        <w:t>, Nuclear Engineering Laboratory,</w:t>
      </w:r>
      <w:r w:rsidR="00F07221" w:rsidRPr="00C70ACA">
        <w:t xml:space="preserve"> Breslaujos </w:t>
      </w:r>
      <w:r w:rsidR="004D55F7" w:rsidRPr="00C70ACA">
        <w:t>str.</w:t>
      </w:r>
      <w:r w:rsidR="00F07221" w:rsidRPr="00C70ACA">
        <w:t xml:space="preserve"> 3,</w:t>
      </w:r>
      <w:r w:rsidR="00500CD3" w:rsidRPr="00C70ACA">
        <w:t xml:space="preserve"> </w:t>
      </w:r>
      <w:r w:rsidR="004D55F7" w:rsidRPr="00C70ACA">
        <w:t>LT-</w:t>
      </w:r>
      <w:r w:rsidR="00F07221" w:rsidRPr="00C70ACA">
        <w:t>44403</w:t>
      </w:r>
      <w:r w:rsidR="00A476B8" w:rsidRPr="00C70ACA">
        <w:t xml:space="preserve"> Kaunas</w:t>
      </w:r>
      <w:r w:rsidR="006E2248" w:rsidRPr="00C70ACA">
        <w:t xml:space="preserve"> -</w:t>
      </w:r>
      <w:r w:rsidR="00F07221" w:rsidRPr="00C70ACA">
        <w:t xml:space="preserve"> Lithuania</w:t>
      </w:r>
    </w:p>
    <w:p w14:paraId="0A927980" w14:textId="68AC3885" w:rsidR="006E2248" w:rsidRPr="00C70ACA" w:rsidRDefault="00920306" w:rsidP="00547B0A">
      <w:pPr>
        <w:pStyle w:val="CETAddress"/>
      </w:pPr>
      <w:r w:rsidRPr="00C70ACA">
        <w:t>*</w:t>
      </w:r>
      <w:r w:rsidR="006E2248" w:rsidRPr="00C70ACA">
        <w:t>marco.derudi@polimi.it</w:t>
      </w:r>
    </w:p>
    <w:p w14:paraId="21DF6902" w14:textId="77777777" w:rsidR="00547B0A" w:rsidRPr="00C70ACA" w:rsidRDefault="00547B0A" w:rsidP="00547B0A">
      <w:pPr>
        <w:pStyle w:val="CETAddress"/>
      </w:pPr>
    </w:p>
    <w:p w14:paraId="2D073617" w14:textId="39CCAAC4" w:rsidR="00C72F86" w:rsidRPr="00C70ACA" w:rsidRDefault="00C72F86" w:rsidP="00C72F86">
      <w:pPr>
        <w:pStyle w:val="CETBodytext"/>
        <w:rPr>
          <w:lang w:val="en-GB"/>
        </w:rPr>
      </w:pPr>
      <w:r w:rsidRPr="00C70ACA">
        <w:rPr>
          <w:lang w:val="en-GB"/>
        </w:rPr>
        <w:t xml:space="preserve">A test methodology has been defined </w:t>
      </w:r>
      <w:proofErr w:type="gramStart"/>
      <w:r w:rsidRPr="00C70ACA">
        <w:rPr>
          <w:lang w:val="en-GB"/>
        </w:rPr>
        <w:t>in order to</w:t>
      </w:r>
      <w:proofErr w:type="gramEnd"/>
      <w:r w:rsidRPr="00C70ACA">
        <w:rPr>
          <w:lang w:val="en-GB"/>
        </w:rPr>
        <w:t xml:space="preserve"> assess the risk of bulk-oxidation of nuclear graphite with a focus on particular operations, such as cutting of graphite components during decommissioning of nuclear reactors. Graphite is used for its properties in nuclear reactors, as a fuel element matrix, moderator, structural and reflector material.</w:t>
      </w:r>
    </w:p>
    <w:p w14:paraId="5E59A64A" w14:textId="77777777" w:rsidR="00C72F86" w:rsidRPr="00C70ACA" w:rsidRDefault="00C72F86" w:rsidP="00C72F86">
      <w:pPr>
        <w:pStyle w:val="CETBodytext"/>
        <w:rPr>
          <w:lang w:val="en-GB"/>
        </w:rPr>
      </w:pPr>
      <w:r w:rsidRPr="00C70ACA">
        <w:rPr>
          <w:lang w:val="en-GB"/>
        </w:rPr>
        <w:t>The experimental tests have been performed using a horizontal TGA-DTA furnace and both isothermal and non-isothermal tests were performed on non-irradiated specimens.</w:t>
      </w:r>
    </w:p>
    <w:p w14:paraId="304D5640" w14:textId="68071924" w:rsidR="00C72F86" w:rsidRPr="00C70ACA" w:rsidRDefault="00C72F86" w:rsidP="00C72F86">
      <w:pPr>
        <w:pStyle w:val="CETBodytext"/>
        <w:rPr>
          <w:lang w:val="en-GB"/>
        </w:rPr>
      </w:pPr>
      <w:r w:rsidRPr="00C70ACA">
        <w:rPr>
          <w:lang w:val="en-GB"/>
        </w:rPr>
        <w:t>In isothermal tests, testing temperature range was 5</w:t>
      </w:r>
      <w:r w:rsidR="00B304C3" w:rsidRPr="00C70ACA">
        <w:rPr>
          <w:lang w:val="en-GB"/>
        </w:rPr>
        <w:t>5</w:t>
      </w:r>
      <w:r w:rsidRPr="00C70ACA">
        <w:rPr>
          <w:lang w:val="en-GB"/>
        </w:rPr>
        <w:t>0</w:t>
      </w:r>
      <w:r w:rsidR="006D373A" w:rsidRPr="00C70ACA">
        <w:rPr>
          <w:lang w:val="en-GB"/>
        </w:rPr>
        <w:t xml:space="preserve"> </w:t>
      </w:r>
      <w:r w:rsidR="007D7389" w:rsidRPr="00C70ACA">
        <w:rPr>
          <w:lang w:val="en-GB"/>
        </w:rPr>
        <w:t>–</w:t>
      </w:r>
      <w:r w:rsidR="006D373A" w:rsidRPr="00C70ACA">
        <w:rPr>
          <w:lang w:val="en-GB"/>
        </w:rPr>
        <w:t xml:space="preserve"> </w:t>
      </w:r>
      <w:r w:rsidRPr="00C70ACA">
        <w:rPr>
          <w:lang w:val="en-GB"/>
        </w:rPr>
        <w:t>750</w:t>
      </w:r>
      <w:r w:rsidR="007D7389" w:rsidRPr="00C70ACA">
        <w:rPr>
          <w:lang w:val="en-GB"/>
        </w:rPr>
        <w:t xml:space="preserve"> </w:t>
      </w:r>
      <w:r w:rsidRPr="00C70ACA">
        <w:rPr>
          <w:lang w:val="en-GB"/>
        </w:rPr>
        <w:t>°C, the selected temperature has been reached heating the furnace under N</w:t>
      </w:r>
      <w:r w:rsidR="0033623B" w:rsidRPr="00C70ACA">
        <w:rPr>
          <w:vertAlign w:val="subscript"/>
          <w:lang w:val="en-GB"/>
        </w:rPr>
        <w:t>2</w:t>
      </w:r>
      <w:r w:rsidRPr="00C70ACA">
        <w:rPr>
          <w:lang w:val="en-GB"/>
        </w:rPr>
        <w:t xml:space="preserve"> atmosphere at 5</w:t>
      </w:r>
      <w:r w:rsidR="007D7389" w:rsidRPr="00C70ACA">
        <w:rPr>
          <w:lang w:val="en-GB"/>
        </w:rPr>
        <w:t xml:space="preserve"> </w:t>
      </w:r>
      <w:r w:rsidRPr="00C70ACA">
        <w:rPr>
          <w:lang w:val="en-GB"/>
        </w:rPr>
        <w:t xml:space="preserve">°C/min, then oxidation has been evaluated at constant temperature in air (100 mL/min) for at least 180 min. </w:t>
      </w:r>
      <w:proofErr w:type="gramStart"/>
      <w:r w:rsidRPr="00C70ACA">
        <w:rPr>
          <w:lang w:val="en-GB"/>
        </w:rPr>
        <w:t>Non-isothermal</w:t>
      </w:r>
      <w:proofErr w:type="gramEnd"/>
      <w:r w:rsidRPr="00C70ACA">
        <w:rPr>
          <w:lang w:val="en-GB"/>
        </w:rPr>
        <w:t xml:space="preserve"> tests have been performed either under N</w:t>
      </w:r>
      <w:r w:rsidR="00262916" w:rsidRPr="00C70ACA">
        <w:rPr>
          <w:vertAlign w:val="subscript"/>
          <w:lang w:val="en-GB"/>
        </w:rPr>
        <w:t>2</w:t>
      </w:r>
      <w:r w:rsidRPr="00C70ACA">
        <w:rPr>
          <w:lang w:val="en-GB"/>
        </w:rPr>
        <w:t xml:space="preserve"> atmosphere or air and samples have been heated at 5</w:t>
      </w:r>
      <w:r w:rsidR="007D7389" w:rsidRPr="00C70ACA">
        <w:rPr>
          <w:lang w:val="en-GB"/>
        </w:rPr>
        <w:t xml:space="preserve"> </w:t>
      </w:r>
      <w:r w:rsidRPr="00C70ACA">
        <w:rPr>
          <w:lang w:val="en-GB"/>
        </w:rPr>
        <w:t>°C/min from 30 to 950</w:t>
      </w:r>
      <w:r w:rsidR="007D7389" w:rsidRPr="00C70ACA">
        <w:rPr>
          <w:lang w:val="en-GB"/>
        </w:rPr>
        <w:t xml:space="preserve"> </w:t>
      </w:r>
      <w:r w:rsidRPr="00C70ACA">
        <w:rPr>
          <w:lang w:val="en-GB"/>
        </w:rPr>
        <w:t xml:space="preserve">°C. </w:t>
      </w:r>
    </w:p>
    <w:p w14:paraId="21F2A846" w14:textId="77777777" w:rsidR="00C72F86" w:rsidRPr="00C70ACA" w:rsidRDefault="00C72F86" w:rsidP="00C72F86">
      <w:pPr>
        <w:pStyle w:val="CETBodytext"/>
        <w:rPr>
          <w:lang w:val="en-GB"/>
        </w:rPr>
      </w:pPr>
      <w:r w:rsidRPr="00C70ACA">
        <w:rPr>
          <w:lang w:val="en-GB"/>
        </w:rPr>
        <w:t>As several properties may affect the oxidation resistance of nuclear graphite, such as impurities, grain size, pore structure, graphitization degree, antioxidation treatments, the testing protocol has been preliminary applied to non-irradiated graphite samples from two different graphite reactors.</w:t>
      </w:r>
    </w:p>
    <w:p w14:paraId="50891CBF" w14:textId="44571348" w:rsidR="00C72F86" w:rsidRPr="00C70ACA" w:rsidRDefault="00C72F86" w:rsidP="00C72F86">
      <w:pPr>
        <w:pStyle w:val="CETBodytext"/>
        <w:rPr>
          <w:lang w:val="en-GB"/>
        </w:rPr>
      </w:pPr>
      <w:r w:rsidRPr="00C70ACA">
        <w:rPr>
          <w:lang w:val="en-GB"/>
        </w:rPr>
        <w:t>Preliminary experimental results revealed the excellent ability of the tested graphite samples for oxidation resistance with lower oxidation rates and longer oxidation times compared with some literature results.</w:t>
      </w:r>
    </w:p>
    <w:p w14:paraId="476B2F2E" w14:textId="5ECB3F4F" w:rsidR="00600535" w:rsidRPr="00C70ACA" w:rsidRDefault="00600535" w:rsidP="00C72F86">
      <w:pPr>
        <w:pStyle w:val="CETHeading1"/>
        <w:rPr>
          <w:lang w:val="en-GB"/>
        </w:rPr>
      </w:pPr>
      <w:r w:rsidRPr="00C70ACA">
        <w:rPr>
          <w:lang w:val="en-GB"/>
        </w:rPr>
        <w:t>Introduction</w:t>
      </w:r>
    </w:p>
    <w:p w14:paraId="60299E39" w14:textId="2A9DF342" w:rsidR="00214354" w:rsidRPr="00C70ACA" w:rsidRDefault="00214354" w:rsidP="00214354">
      <w:pPr>
        <w:pStyle w:val="CETBodytext"/>
        <w:rPr>
          <w:lang w:val="en-GB"/>
        </w:rPr>
      </w:pPr>
      <w:r w:rsidRPr="00C70ACA">
        <w:rPr>
          <w:lang w:val="en-GB"/>
        </w:rPr>
        <w:t xml:space="preserve">This research was carried out in the </w:t>
      </w:r>
      <w:r w:rsidR="0058557E">
        <w:rPr>
          <w:lang w:val="en-GB"/>
        </w:rPr>
        <w:t>scope</w:t>
      </w:r>
      <w:r w:rsidRPr="00C70ACA">
        <w:rPr>
          <w:lang w:val="en-GB"/>
        </w:rPr>
        <w:t xml:space="preserve"> of a European project called Inno4</w:t>
      </w:r>
      <w:r w:rsidR="00CF24E6">
        <w:rPr>
          <w:lang w:val="en-GB"/>
        </w:rPr>
        <w:t>G</w:t>
      </w:r>
      <w:r w:rsidRPr="00C70ACA">
        <w:rPr>
          <w:lang w:val="en-GB"/>
        </w:rPr>
        <w:t>raph, which aims to provide different kinds of innovative tools and methods that can be used during graphite reactor dismantling operations and during pre-dismantling phase for feasibility assessments (EU H2020 Inno4</w:t>
      </w:r>
      <w:r w:rsidR="00CF24E6">
        <w:rPr>
          <w:lang w:val="en-GB"/>
        </w:rPr>
        <w:t>G</w:t>
      </w:r>
      <w:r w:rsidRPr="00C70ACA">
        <w:rPr>
          <w:lang w:val="en-GB"/>
        </w:rPr>
        <w:t xml:space="preserve">raph Project). </w:t>
      </w:r>
      <w:proofErr w:type="gramStart"/>
      <w:r w:rsidRPr="00C70ACA">
        <w:rPr>
          <w:lang w:val="en-GB"/>
        </w:rPr>
        <w:t xml:space="preserve">In particular, </w:t>
      </w:r>
      <w:r w:rsidR="003C1DF3" w:rsidRPr="00C70ACA">
        <w:rPr>
          <w:lang w:val="en-GB"/>
        </w:rPr>
        <w:t>a</w:t>
      </w:r>
      <w:proofErr w:type="gramEnd"/>
      <w:r w:rsidR="003C1DF3" w:rsidRPr="00C70ACA">
        <w:rPr>
          <w:lang w:val="en-GB"/>
        </w:rPr>
        <w:t xml:space="preserve"> preliminary experimental campaign</w:t>
      </w:r>
      <w:r w:rsidRPr="00C70ACA">
        <w:rPr>
          <w:lang w:val="en-GB"/>
        </w:rPr>
        <w:t xml:space="preserve"> w</w:t>
      </w:r>
      <w:r w:rsidR="003C1DF3" w:rsidRPr="00C70ACA">
        <w:rPr>
          <w:lang w:val="en-GB"/>
        </w:rPr>
        <w:t>as</w:t>
      </w:r>
      <w:r w:rsidRPr="00C70ACA">
        <w:rPr>
          <w:lang w:val="en-GB"/>
        </w:rPr>
        <w:t xml:space="preserve"> carried out to validate a testing procedure to evaluate oxidation behaviour of different graphite samples obtained from different cutting technologies. Indeed, it is worth to test each type of graphite </w:t>
      </w:r>
      <w:r w:rsidR="009C7149" w:rsidRPr="00C70ACA">
        <w:rPr>
          <w:lang w:val="en-GB"/>
        </w:rPr>
        <w:t>sam</w:t>
      </w:r>
      <w:r w:rsidR="00F2543A" w:rsidRPr="00C70ACA">
        <w:rPr>
          <w:lang w:val="en-GB"/>
        </w:rPr>
        <w:t>p</w:t>
      </w:r>
      <w:r w:rsidR="009C7149" w:rsidRPr="00C70ACA">
        <w:rPr>
          <w:lang w:val="en-GB"/>
        </w:rPr>
        <w:t xml:space="preserve">le </w:t>
      </w:r>
      <w:r w:rsidRPr="00C70ACA">
        <w:rPr>
          <w:lang w:val="en-GB"/>
        </w:rPr>
        <w:t>since the oxidation behaviour is strongly affected by the specific microstructure of a nuclear grade</w:t>
      </w:r>
      <w:r w:rsidR="009A4FEF" w:rsidRPr="00C70ACA">
        <w:rPr>
          <w:lang w:val="en-GB"/>
        </w:rPr>
        <w:t xml:space="preserve"> graphite</w:t>
      </w:r>
      <w:r w:rsidRPr="00C70ACA">
        <w:rPr>
          <w:lang w:val="en-GB"/>
        </w:rPr>
        <w:t xml:space="preserve"> (Smith et al., 2021). </w:t>
      </w:r>
    </w:p>
    <w:p w14:paraId="37A7CE4B" w14:textId="1F135EAF" w:rsidR="00214354" w:rsidRPr="00C70ACA" w:rsidRDefault="00214354" w:rsidP="00214354">
      <w:pPr>
        <w:pStyle w:val="CETBodytext"/>
        <w:rPr>
          <w:lang w:val="en-GB"/>
        </w:rPr>
      </w:pPr>
      <w:r w:rsidRPr="00C70ACA">
        <w:rPr>
          <w:lang w:val="en-GB"/>
        </w:rPr>
        <w:t xml:space="preserve">After validation, the test procedure could be used to </w:t>
      </w:r>
      <w:r w:rsidR="002138B8" w:rsidRPr="00C70ACA">
        <w:rPr>
          <w:lang w:val="en-GB"/>
        </w:rPr>
        <w:t xml:space="preserve">select </w:t>
      </w:r>
      <w:r w:rsidRPr="00C70ACA">
        <w:rPr>
          <w:lang w:val="en-GB"/>
        </w:rPr>
        <w:t xml:space="preserve">the most appropriate tools to cut </w:t>
      </w:r>
      <w:r w:rsidR="00994967" w:rsidRPr="00C70ACA">
        <w:rPr>
          <w:lang w:val="en-GB"/>
        </w:rPr>
        <w:t xml:space="preserve">reactors </w:t>
      </w:r>
      <w:r w:rsidRPr="00C70ACA">
        <w:rPr>
          <w:lang w:val="en-GB"/>
        </w:rPr>
        <w:t>graphite components, such as graphite bricks or metallic parts in presence of graphite, to plan safe and efficient decommissioning operations</w:t>
      </w:r>
      <w:r w:rsidR="00B95B4C" w:rsidRPr="00C70ACA">
        <w:rPr>
          <w:lang w:val="en-GB"/>
        </w:rPr>
        <w:t xml:space="preserve">, avoiding the formation </w:t>
      </w:r>
      <w:r w:rsidR="00CC4093">
        <w:rPr>
          <w:lang w:val="en-GB"/>
        </w:rPr>
        <w:t xml:space="preserve">and dispersion </w:t>
      </w:r>
      <w:r w:rsidR="00B95B4C" w:rsidRPr="00C70ACA">
        <w:rPr>
          <w:lang w:val="en-GB"/>
        </w:rPr>
        <w:t>of</w:t>
      </w:r>
      <w:r w:rsidR="00996913" w:rsidRPr="00C70ACA">
        <w:rPr>
          <w:lang w:val="en-GB"/>
        </w:rPr>
        <w:t xml:space="preserve"> contaminated</w:t>
      </w:r>
      <w:r w:rsidR="00B95B4C" w:rsidRPr="00C70ACA">
        <w:rPr>
          <w:lang w:val="en-GB"/>
        </w:rPr>
        <w:t xml:space="preserve"> </w:t>
      </w:r>
      <w:r w:rsidR="00996913" w:rsidRPr="00C70ACA">
        <w:rPr>
          <w:lang w:val="en-GB"/>
        </w:rPr>
        <w:t>dust</w:t>
      </w:r>
      <w:r w:rsidR="00CC4093">
        <w:rPr>
          <w:lang w:val="en-GB"/>
        </w:rPr>
        <w:t xml:space="preserve"> (</w:t>
      </w:r>
      <w:proofErr w:type="spellStart"/>
      <w:r w:rsidR="00CC4093">
        <w:rPr>
          <w:lang w:val="en-GB"/>
        </w:rPr>
        <w:t>Copelli</w:t>
      </w:r>
      <w:proofErr w:type="spellEnd"/>
      <w:r w:rsidR="00CC4093">
        <w:rPr>
          <w:lang w:val="en-GB"/>
        </w:rPr>
        <w:t xml:space="preserve"> et al., 2019)</w:t>
      </w:r>
      <w:r w:rsidR="00996913" w:rsidRPr="00C70ACA">
        <w:rPr>
          <w:lang w:val="en-GB"/>
        </w:rPr>
        <w:t>.</w:t>
      </w:r>
    </w:p>
    <w:p w14:paraId="4B936726" w14:textId="07F8F548" w:rsidR="00E23441" w:rsidRPr="00106924" w:rsidRDefault="00405DEB" w:rsidP="00B502D2">
      <w:pPr>
        <w:pStyle w:val="CETBodytext"/>
        <w:rPr>
          <w:lang w:val="en-GB"/>
        </w:rPr>
      </w:pPr>
      <w:r w:rsidRPr="00C70ACA">
        <w:rPr>
          <w:lang w:val="en-GB"/>
        </w:rPr>
        <w:t>In addition, o</w:t>
      </w:r>
      <w:r w:rsidR="00214354" w:rsidRPr="00C70ACA">
        <w:rPr>
          <w:lang w:val="en-GB"/>
        </w:rPr>
        <w:t xml:space="preserve">xidation tests are also necessary to assess the properties of the selected graphite </w:t>
      </w:r>
      <w:r w:rsidRPr="00C70ACA">
        <w:rPr>
          <w:lang w:val="en-GB"/>
        </w:rPr>
        <w:t>to</w:t>
      </w:r>
      <w:r w:rsidR="006338E1" w:rsidRPr="00C70ACA">
        <w:rPr>
          <w:lang w:val="en-GB"/>
        </w:rPr>
        <w:t xml:space="preserve"> design</w:t>
      </w:r>
      <w:r w:rsidR="00214354" w:rsidRPr="00C70ACA">
        <w:rPr>
          <w:lang w:val="en-GB"/>
        </w:rPr>
        <w:t xml:space="preserve"> a reactor since graphite can rapidly oxidise in the extremely unlikely case of</w:t>
      </w:r>
      <w:r w:rsidR="00DD267F" w:rsidRPr="00C70ACA">
        <w:rPr>
          <w:lang w:val="en-GB"/>
        </w:rPr>
        <w:t xml:space="preserve"> </w:t>
      </w:r>
      <w:r w:rsidR="00214354" w:rsidRPr="00C70ACA">
        <w:rPr>
          <w:lang w:val="en-GB"/>
        </w:rPr>
        <w:t xml:space="preserve">air ingress during operation (Matthews et al., 2021) or </w:t>
      </w:r>
      <w:r w:rsidR="00E643F1" w:rsidRPr="00C70ACA">
        <w:rPr>
          <w:lang w:val="en-GB"/>
        </w:rPr>
        <w:t xml:space="preserve">in the case of </w:t>
      </w:r>
      <w:r w:rsidR="00167CAA">
        <w:rPr>
          <w:lang w:val="en-GB"/>
        </w:rPr>
        <w:t xml:space="preserve">chronic </w:t>
      </w:r>
      <w:r w:rsidR="00214354" w:rsidRPr="00C70ACA">
        <w:rPr>
          <w:lang w:val="en-GB"/>
        </w:rPr>
        <w:t>oxidation of graphite due to the presence of</w:t>
      </w:r>
      <w:r w:rsidR="00FC5CB3">
        <w:rPr>
          <w:lang w:val="en-GB"/>
        </w:rPr>
        <w:t xml:space="preserve"> radiolytic products or</w:t>
      </w:r>
      <w:r w:rsidR="00214354" w:rsidRPr="00C70ACA">
        <w:rPr>
          <w:lang w:val="en-GB"/>
        </w:rPr>
        <w:t xml:space="preserve"> impurities</w:t>
      </w:r>
      <w:r w:rsidR="00953438">
        <w:rPr>
          <w:lang w:val="en-GB"/>
        </w:rPr>
        <w:t xml:space="preserve"> </w:t>
      </w:r>
      <w:r w:rsidR="00214354" w:rsidRPr="00C70ACA">
        <w:rPr>
          <w:lang w:val="en-GB"/>
        </w:rPr>
        <w:t>in the cool</w:t>
      </w:r>
      <w:r w:rsidR="00953438">
        <w:rPr>
          <w:lang w:val="en-GB"/>
        </w:rPr>
        <w:t>ant</w:t>
      </w:r>
      <w:r w:rsidR="00FC5CB3">
        <w:rPr>
          <w:lang w:val="en-GB"/>
        </w:rPr>
        <w:t>.</w:t>
      </w:r>
      <w:r w:rsidR="00A7141E">
        <w:rPr>
          <w:lang w:val="en-GB"/>
        </w:rPr>
        <w:t xml:space="preserve"> </w:t>
      </w:r>
      <w:r w:rsidR="00B6745B">
        <w:rPr>
          <w:lang w:val="en-GB"/>
        </w:rPr>
        <w:t xml:space="preserve">Relevant cases </w:t>
      </w:r>
      <w:r w:rsidR="00765A5C">
        <w:rPr>
          <w:lang w:val="en-GB"/>
        </w:rPr>
        <w:t>are</w:t>
      </w:r>
      <w:r w:rsidR="00297171">
        <w:rPr>
          <w:lang w:val="en-GB"/>
        </w:rPr>
        <w:t xml:space="preserve"> coolant</w:t>
      </w:r>
      <w:r w:rsidR="00765A5C">
        <w:rPr>
          <w:lang w:val="en-GB"/>
        </w:rPr>
        <w:t xml:space="preserve"> </w:t>
      </w:r>
      <w:r w:rsidR="008D36D0">
        <w:rPr>
          <w:lang w:val="en-GB"/>
        </w:rPr>
        <w:t>radiolysis</w:t>
      </w:r>
      <w:r w:rsidR="00B6745B">
        <w:rPr>
          <w:lang w:val="en-GB"/>
        </w:rPr>
        <w:t xml:space="preserve"> </w:t>
      </w:r>
      <w:r w:rsidR="00816FD9">
        <w:rPr>
          <w:lang w:val="en-GB"/>
        </w:rPr>
        <w:t>reaction</w:t>
      </w:r>
      <w:r w:rsidR="00B6745B">
        <w:rPr>
          <w:lang w:val="en-GB"/>
        </w:rPr>
        <w:t xml:space="preserve">s </w:t>
      </w:r>
      <w:r w:rsidR="008D36D0">
        <w:rPr>
          <w:lang w:val="en-GB"/>
        </w:rPr>
        <w:t>in GCRs (Gas Cooled Reactor</w:t>
      </w:r>
      <w:r w:rsidR="007F4163">
        <w:rPr>
          <w:lang w:val="en-GB"/>
        </w:rPr>
        <w:t>s</w:t>
      </w:r>
      <w:r w:rsidR="008D36D0">
        <w:rPr>
          <w:lang w:val="en-GB"/>
        </w:rPr>
        <w:t>), AGCRs (Advanced G</w:t>
      </w:r>
      <w:r w:rsidR="007F4163">
        <w:rPr>
          <w:lang w:val="en-GB"/>
        </w:rPr>
        <w:t>C</w:t>
      </w:r>
      <w:r w:rsidR="008D36D0">
        <w:rPr>
          <w:lang w:val="en-GB"/>
        </w:rPr>
        <w:t>R</w:t>
      </w:r>
      <w:r w:rsidR="007F4163">
        <w:rPr>
          <w:lang w:val="en-GB"/>
        </w:rPr>
        <w:t>s</w:t>
      </w:r>
      <w:r w:rsidR="008D36D0">
        <w:rPr>
          <w:lang w:val="en-GB"/>
        </w:rPr>
        <w:t>) and RBMK</w:t>
      </w:r>
      <w:r w:rsidR="002D0055">
        <w:rPr>
          <w:lang w:val="en-GB"/>
        </w:rPr>
        <w:t xml:space="preserve"> reactors</w:t>
      </w:r>
      <w:r w:rsidR="00BB4263">
        <w:rPr>
          <w:lang w:val="en-GB"/>
        </w:rPr>
        <w:t xml:space="preserve"> that can lead to degradation of graphite</w:t>
      </w:r>
      <w:r w:rsidR="002D0055">
        <w:rPr>
          <w:lang w:val="en-GB"/>
        </w:rPr>
        <w:t>.</w:t>
      </w:r>
      <w:r w:rsidR="00BE4B6B">
        <w:rPr>
          <w:lang w:val="en-GB"/>
        </w:rPr>
        <w:t xml:space="preserve"> </w:t>
      </w:r>
      <w:r w:rsidR="00BB4263">
        <w:rPr>
          <w:lang w:val="en-GB"/>
        </w:rPr>
        <w:t>Indeed,</w:t>
      </w:r>
      <w:r w:rsidR="00BE4B6B">
        <w:rPr>
          <w:lang w:val="en-GB"/>
        </w:rPr>
        <w:t xml:space="preserve"> </w:t>
      </w:r>
      <w:r w:rsidR="00167CAA">
        <w:rPr>
          <w:lang w:val="en-GB"/>
        </w:rPr>
        <w:t>GCRs and AGCRs are graphite</w:t>
      </w:r>
      <w:r w:rsidR="00EC57CF">
        <w:rPr>
          <w:lang w:val="en-GB"/>
        </w:rPr>
        <w:t>-</w:t>
      </w:r>
      <w:r w:rsidR="00167CAA">
        <w:rPr>
          <w:lang w:val="en-GB"/>
        </w:rPr>
        <w:t>moderated reactors c</w:t>
      </w:r>
      <w:r w:rsidR="00EC57CF">
        <w:rPr>
          <w:lang w:val="en-GB"/>
        </w:rPr>
        <w:t xml:space="preserve">ooled </w:t>
      </w:r>
      <w:r w:rsidR="00765A5C">
        <w:rPr>
          <w:lang w:val="en-GB"/>
        </w:rPr>
        <w:t xml:space="preserve">by </w:t>
      </w:r>
      <w:r w:rsidR="00EC57CF">
        <w:rPr>
          <w:lang w:val="en-GB"/>
        </w:rPr>
        <w:t>CO</w:t>
      </w:r>
      <w:r w:rsidR="00EC57CF">
        <w:rPr>
          <w:vertAlign w:val="subscript"/>
          <w:lang w:val="en-GB"/>
        </w:rPr>
        <w:t>2</w:t>
      </w:r>
      <w:r w:rsidR="007F4163">
        <w:rPr>
          <w:vertAlign w:val="subscript"/>
          <w:lang w:val="en-GB"/>
        </w:rPr>
        <w:t>;</w:t>
      </w:r>
      <w:r w:rsidR="00297171">
        <w:rPr>
          <w:lang w:val="en-GB"/>
        </w:rPr>
        <w:t xml:space="preserve"> </w:t>
      </w:r>
      <w:r w:rsidR="007F4163">
        <w:rPr>
          <w:lang w:val="en-GB"/>
        </w:rPr>
        <w:t xml:space="preserve">during operational life, </w:t>
      </w:r>
      <w:r w:rsidR="00297171">
        <w:rPr>
          <w:lang w:val="en-GB"/>
        </w:rPr>
        <w:t>radiolysis of CO</w:t>
      </w:r>
      <w:r w:rsidR="00297171">
        <w:rPr>
          <w:vertAlign w:val="subscript"/>
          <w:lang w:val="en-GB"/>
        </w:rPr>
        <w:t>2</w:t>
      </w:r>
      <w:r w:rsidR="00297171">
        <w:rPr>
          <w:lang w:val="en-GB"/>
        </w:rPr>
        <w:t xml:space="preserve"> leads to the </w:t>
      </w:r>
      <w:r w:rsidR="00A87DE1">
        <w:rPr>
          <w:lang w:val="en-GB"/>
        </w:rPr>
        <w:t>formation of species such as C, O, CO and O</w:t>
      </w:r>
      <w:r w:rsidR="00A87DE1">
        <w:rPr>
          <w:vertAlign w:val="subscript"/>
          <w:lang w:val="en-GB"/>
        </w:rPr>
        <w:t>2</w:t>
      </w:r>
      <w:r w:rsidR="00A87DE1">
        <w:rPr>
          <w:lang w:val="en-GB"/>
        </w:rPr>
        <w:t xml:space="preserve">. </w:t>
      </w:r>
      <w:r w:rsidR="00765A5C">
        <w:rPr>
          <w:lang w:val="en-GB"/>
        </w:rPr>
        <w:t>RBMK are graphite-moderated reactors cooled by water</w:t>
      </w:r>
      <w:r w:rsidR="00BB4263">
        <w:rPr>
          <w:lang w:val="en-GB"/>
        </w:rPr>
        <w:t xml:space="preserve">, and, </w:t>
      </w:r>
      <w:proofErr w:type="gramStart"/>
      <w:r w:rsidR="00BB4263">
        <w:rPr>
          <w:lang w:val="en-GB"/>
        </w:rPr>
        <w:t>as</w:t>
      </w:r>
      <w:r w:rsidR="00017794">
        <w:rPr>
          <w:lang w:val="en-GB"/>
        </w:rPr>
        <w:t xml:space="preserve"> a result of</w:t>
      </w:r>
      <w:proofErr w:type="gramEnd"/>
      <w:r w:rsidR="00E356A3">
        <w:rPr>
          <w:lang w:val="en-GB"/>
        </w:rPr>
        <w:t xml:space="preserve"> water</w:t>
      </w:r>
      <w:r w:rsidR="00017794">
        <w:rPr>
          <w:lang w:val="en-GB"/>
        </w:rPr>
        <w:t xml:space="preserve"> radiolysis, species such as OH</w:t>
      </w:r>
      <w:r w:rsidR="00017794">
        <w:rPr>
          <w:vertAlign w:val="superscript"/>
          <w:lang w:val="en-GB"/>
        </w:rPr>
        <w:t>-</w:t>
      </w:r>
      <w:r w:rsidR="00017794">
        <w:rPr>
          <w:lang w:val="en-GB"/>
        </w:rPr>
        <w:t>, O</w:t>
      </w:r>
      <w:r w:rsidR="00017794">
        <w:rPr>
          <w:vertAlign w:val="subscript"/>
          <w:lang w:val="en-GB"/>
        </w:rPr>
        <w:t>2</w:t>
      </w:r>
      <w:r w:rsidR="00017794">
        <w:rPr>
          <w:lang w:val="en-GB"/>
        </w:rPr>
        <w:t xml:space="preserve">, </w:t>
      </w:r>
      <w:r w:rsidR="00106924">
        <w:rPr>
          <w:lang w:val="en-GB"/>
        </w:rPr>
        <w:t>H</w:t>
      </w:r>
      <w:r w:rsidR="00106924">
        <w:rPr>
          <w:vertAlign w:val="subscript"/>
          <w:lang w:val="en-GB"/>
        </w:rPr>
        <w:t>2</w:t>
      </w:r>
      <w:r w:rsidR="00106924">
        <w:rPr>
          <w:lang w:val="en-GB"/>
        </w:rPr>
        <w:t>O</w:t>
      </w:r>
      <w:r w:rsidR="00106924">
        <w:rPr>
          <w:vertAlign w:val="subscript"/>
          <w:lang w:val="en-GB"/>
        </w:rPr>
        <w:t>2</w:t>
      </w:r>
      <w:r w:rsidR="00106924">
        <w:rPr>
          <w:lang w:val="en-GB"/>
        </w:rPr>
        <w:t xml:space="preserve"> </w:t>
      </w:r>
      <w:r w:rsidR="00297171">
        <w:rPr>
          <w:lang w:val="en-GB"/>
        </w:rPr>
        <w:t xml:space="preserve">can </w:t>
      </w:r>
      <w:r w:rsidR="00DC014E">
        <w:rPr>
          <w:lang w:val="en-GB"/>
        </w:rPr>
        <w:t>form</w:t>
      </w:r>
      <w:r w:rsidR="00106924">
        <w:rPr>
          <w:lang w:val="en-GB"/>
        </w:rPr>
        <w:t xml:space="preserve"> (</w:t>
      </w:r>
      <w:proofErr w:type="spellStart"/>
      <w:r w:rsidR="00106924">
        <w:rPr>
          <w:lang w:val="en-GB"/>
        </w:rPr>
        <w:t>F</w:t>
      </w:r>
      <w:r w:rsidR="007D3C09">
        <w:rPr>
          <w:lang w:val="en-GB"/>
        </w:rPr>
        <w:t>é</w:t>
      </w:r>
      <w:r w:rsidR="00106924">
        <w:rPr>
          <w:lang w:val="en-GB"/>
        </w:rPr>
        <w:t>ron</w:t>
      </w:r>
      <w:proofErr w:type="spellEnd"/>
      <w:r w:rsidR="007D3C09">
        <w:rPr>
          <w:lang w:val="en-GB"/>
        </w:rPr>
        <w:t>, 2012</w:t>
      </w:r>
      <w:r w:rsidR="00106924">
        <w:rPr>
          <w:lang w:val="en-GB"/>
        </w:rPr>
        <w:t>)</w:t>
      </w:r>
      <w:r w:rsidR="007D3C09">
        <w:rPr>
          <w:lang w:val="en-GB"/>
        </w:rPr>
        <w:t>.</w:t>
      </w:r>
    </w:p>
    <w:p w14:paraId="09F23180" w14:textId="188E9AC5" w:rsidR="00DD6E6A" w:rsidRPr="00C70ACA" w:rsidRDefault="009037C6" w:rsidP="00B502D2">
      <w:pPr>
        <w:pStyle w:val="CETBodytext"/>
        <w:rPr>
          <w:lang w:val="en-GB"/>
        </w:rPr>
      </w:pPr>
      <w:r w:rsidRPr="00C70ACA">
        <w:rPr>
          <w:lang w:val="en-GB"/>
        </w:rPr>
        <w:lastRenderedPageBreak/>
        <w:t xml:space="preserve">Concerning </w:t>
      </w:r>
      <w:r w:rsidR="00100C0F" w:rsidRPr="00C70ACA">
        <w:rPr>
          <w:lang w:val="en-GB"/>
        </w:rPr>
        <w:t xml:space="preserve">general </w:t>
      </w:r>
      <w:r w:rsidRPr="00C70ACA">
        <w:rPr>
          <w:lang w:val="en-GB"/>
        </w:rPr>
        <w:t>oxidation behaviour of graphite, t</w:t>
      </w:r>
      <w:r w:rsidR="00DD6E6A" w:rsidRPr="00C70ACA">
        <w:rPr>
          <w:lang w:val="en-GB"/>
        </w:rPr>
        <w:t xml:space="preserve">hree </w:t>
      </w:r>
      <w:r w:rsidRPr="00C70ACA">
        <w:rPr>
          <w:lang w:val="en-GB"/>
        </w:rPr>
        <w:t>different</w:t>
      </w:r>
      <w:r w:rsidR="00DD6E6A" w:rsidRPr="00C70ACA">
        <w:rPr>
          <w:lang w:val="en-GB"/>
        </w:rPr>
        <w:t xml:space="preserve"> temperature regions with a different rate controlling mechanism in each temperature range</w:t>
      </w:r>
      <w:r w:rsidR="00E354FF" w:rsidRPr="00C70ACA">
        <w:rPr>
          <w:lang w:val="en-GB"/>
        </w:rPr>
        <w:t xml:space="preserve"> can be </w:t>
      </w:r>
      <w:r w:rsidR="00E3129F" w:rsidRPr="00C70ACA">
        <w:rPr>
          <w:lang w:val="en-GB"/>
        </w:rPr>
        <w:t>defined</w:t>
      </w:r>
      <w:r w:rsidR="00012E13" w:rsidRPr="00C70ACA">
        <w:rPr>
          <w:lang w:val="en-GB"/>
        </w:rPr>
        <w:t xml:space="preserve"> </w:t>
      </w:r>
      <w:r w:rsidR="000427A5" w:rsidRPr="00C70ACA">
        <w:rPr>
          <w:lang w:val="en-GB"/>
        </w:rPr>
        <w:t xml:space="preserve">(Propp, </w:t>
      </w:r>
      <w:r w:rsidR="00711011" w:rsidRPr="00C70ACA">
        <w:rPr>
          <w:lang w:val="en-GB"/>
        </w:rPr>
        <w:t>1998)</w:t>
      </w:r>
      <w:r w:rsidR="00012E13" w:rsidRPr="00C70ACA">
        <w:rPr>
          <w:lang w:val="en-GB"/>
        </w:rPr>
        <w:t>.</w:t>
      </w:r>
      <w:r w:rsidR="00B502D2" w:rsidRPr="00C70ACA">
        <w:rPr>
          <w:lang w:val="en-GB"/>
        </w:rPr>
        <w:t xml:space="preserve"> The first regime</w:t>
      </w:r>
      <w:r w:rsidR="00697931" w:rsidRPr="00C70ACA">
        <w:rPr>
          <w:lang w:val="en-GB"/>
        </w:rPr>
        <w:t>, usually not obtained above 550</w:t>
      </w:r>
      <w:r w:rsidR="007D7389" w:rsidRPr="00C70ACA">
        <w:rPr>
          <w:lang w:val="en-GB"/>
        </w:rPr>
        <w:t xml:space="preserve"> </w:t>
      </w:r>
      <w:r w:rsidR="00697931" w:rsidRPr="00C70ACA">
        <w:rPr>
          <w:lang w:val="en-GB"/>
        </w:rPr>
        <w:t>°C,</w:t>
      </w:r>
      <w:r w:rsidR="00B502D2" w:rsidRPr="00C70ACA">
        <w:rPr>
          <w:lang w:val="en-GB"/>
        </w:rPr>
        <w:t xml:space="preserve"> is controlled by rate of chemical reaction, the observed reaction rates are low and orders of magnitude lower than the mass transport</w:t>
      </w:r>
      <w:r w:rsidR="00697931" w:rsidRPr="00C70ACA">
        <w:rPr>
          <w:lang w:val="en-GB"/>
        </w:rPr>
        <w:t xml:space="preserve">, </w:t>
      </w:r>
      <w:r w:rsidR="007A0762" w:rsidRPr="00C70ACA">
        <w:rPr>
          <w:lang w:val="en-GB"/>
        </w:rPr>
        <w:t xml:space="preserve">and </w:t>
      </w:r>
      <w:r w:rsidR="00697931" w:rsidRPr="00C70ACA">
        <w:rPr>
          <w:lang w:val="en-GB"/>
        </w:rPr>
        <w:t>oxidation occurs uniformly through</w:t>
      </w:r>
      <w:r w:rsidR="006819C8" w:rsidRPr="00C70ACA">
        <w:rPr>
          <w:lang w:val="en-GB"/>
        </w:rPr>
        <w:t xml:space="preserve"> the</w:t>
      </w:r>
      <w:r w:rsidR="00697931" w:rsidRPr="00C70ACA">
        <w:rPr>
          <w:lang w:val="en-GB"/>
        </w:rPr>
        <w:t xml:space="preserve"> open pore structure.</w:t>
      </w:r>
      <w:r w:rsidR="00666EDD" w:rsidRPr="00C70ACA">
        <w:rPr>
          <w:lang w:val="en-GB"/>
        </w:rPr>
        <w:t xml:space="preserve"> </w:t>
      </w:r>
      <w:r w:rsidR="00A77903" w:rsidRPr="00C70ACA">
        <w:rPr>
          <w:lang w:val="en-GB"/>
        </w:rPr>
        <w:t>In t</w:t>
      </w:r>
      <w:r w:rsidR="00666EDD" w:rsidRPr="00C70ACA">
        <w:rPr>
          <w:lang w:val="en-GB"/>
        </w:rPr>
        <w:t>he second regime</w:t>
      </w:r>
      <w:r w:rsidR="00A77903" w:rsidRPr="00C70ACA">
        <w:rPr>
          <w:lang w:val="en-GB"/>
        </w:rPr>
        <w:t xml:space="preserve"> both diffusion and chemical reaction play an important role, and oxidation is not uniform and usually may not occur in the whole open pore structure.</w:t>
      </w:r>
      <w:r w:rsidR="00391837" w:rsidRPr="00C70ACA">
        <w:rPr>
          <w:lang w:val="en-GB"/>
        </w:rPr>
        <w:t xml:space="preserve"> The third regime</w:t>
      </w:r>
      <w:r w:rsidR="007C5957" w:rsidRPr="00C70ACA">
        <w:rPr>
          <w:lang w:val="en-GB"/>
        </w:rPr>
        <w:t>, that usually occurs a</w:t>
      </w:r>
      <w:r w:rsidR="006819C8" w:rsidRPr="00C70ACA">
        <w:rPr>
          <w:lang w:val="en-GB"/>
        </w:rPr>
        <w:t>bove</w:t>
      </w:r>
      <w:r w:rsidR="007C5957" w:rsidRPr="00C70ACA">
        <w:rPr>
          <w:lang w:val="en-GB"/>
        </w:rPr>
        <w:t xml:space="preserve"> 800</w:t>
      </w:r>
      <w:r w:rsidR="007D7389" w:rsidRPr="00C70ACA">
        <w:rPr>
          <w:lang w:val="en-GB"/>
        </w:rPr>
        <w:t xml:space="preserve"> </w:t>
      </w:r>
      <w:r w:rsidR="007C5957" w:rsidRPr="00C70ACA">
        <w:rPr>
          <w:lang w:val="en-GB"/>
        </w:rPr>
        <w:t>°C,</w:t>
      </w:r>
      <w:r w:rsidR="00391837" w:rsidRPr="00C70ACA">
        <w:rPr>
          <w:lang w:val="en-GB"/>
        </w:rPr>
        <w:t xml:space="preserve"> is </w:t>
      </w:r>
      <w:r w:rsidR="007C5957" w:rsidRPr="00C70ACA">
        <w:rPr>
          <w:lang w:val="en-GB"/>
        </w:rPr>
        <w:t>controlled</w:t>
      </w:r>
      <w:r w:rsidR="00391837" w:rsidRPr="00C70ACA">
        <w:rPr>
          <w:lang w:val="en-GB"/>
        </w:rPr>
        <w:t xml:space="preserve"> by rate of diffusion of reactant and products.</w:t>
      </w:r>
      <w:r w:rsidR="005820A0" w:rsidRPr="00C70ACA">
        <w:rPr>
          <w:lang w:val="en-GB"/>
        </w:rPr>
        <w:t xml:space="preserve"> Since reaction rate is orders of magnitude faster than gas diffusion, </w:t>
      </w:r>
      <w:r w:rsidR="00DE4742" w:rsidRPr="00C70ACA">
        <w:rPr>
          <w:lang w:val="en-GB"/>
        </w:rPr>
        <w:t>reaction usually occurs at the outer surface and shrinkage of the surface can be detected</w:t>
      </w:r>
      <w:r w:rsidR="00BF6CBC" w:rsidRPr="00C70ACA">
        <w:rPr>
          <w:lang w:val="en-GB"/>
        </w:rPr>
        <w:t xml:space="preserve"> (Kane et al., 2017)</w:t>
      </w:r>
      <w:r w:rsidR="00A12BC5" w:rsidRPr="00C70ACA">
        <w:rPr>
          <w:lang w:val="en-GB"/>
        </w:rPr>
        <w:t>.</w:t>
      </w:r>
    </w:p>
    <w:p w14:paraId="623FC59B" w14:textId="3336BAA3" w:rsidR="00BF22BD" w:rsidRPr="00C70ACA" w:rsidRDefault="00BF22BD" w:rsidP="00214354">
      <w:pPr>
        <w:pStyle w:val="CETBodytext"/>
        <w:rPr>
          <w:lang w:val="en-GB"/>
        </w:rPr>
      </w:pPr>
      <w:r w:rsidRPr="00C70ACA">
        <w:rPr>
          <w:lang w:val="en-GB"/>
        </w:rPr>
        <w:t>In th</w:t>
      </w:r>
      <w:r w:rsidR="003F591C" w:rsidRPr="00C70ACA">
        <w:rPr>
          <w:lang w:val="en-GB"/>
        </w:rPr>
        <w:t>e following paragraphs</w:t>
      </w:r>
      <w:r w:rsidRPr="00C70ACA">
        <w:rPr>
          <w:lang w:val="en-GB"/>
        </w:rPr>
        <w:t xml:space="preserve">, </w:t>
      </w:r>
      <w:r w:rsidR="003F591C" w:rsidRPr="00C70ACA">
        <w:rPr>
          <w:lang w:val="en-GB"/>
        </w:rPr>
        <w:t>testing procedure and results obtained from two different types of graphite are presented</w:t>
      </w:r>
      <w:r w:rsidR="00063BB9" w:rsidRPr="00C70ACA">
        <w:rPr>
          <w:lang w:val="en-GB"/>
        </w:rPr>
        <w:t xml:space="preserve"> and compared</w:t>
      </w:r>
      <w:r w:rsidR="0069531E" w:rsidRPr="00C70ACA">
        <w:rPr>
          <w:lang w:val="en-GB"/>
        </w:rPr>
        <w:t>;</w:t>
      </w:r>
      <w:r w:rsidR="00063BB9" w:rsidRPr="00C70ACA">
        <w:rPr>
          <w:lang w:val="en-GB"/>
        </w:rPr>
        <w:t xml:space="preserve"> it is possible to notice the strong dependence of oxidation behaviour on graphite grade characteristics.</w:t>
      </w:r>
      <w:r w:rsidR="005417CA" w:rsidRPr="00C70ACA">
        <w:rPr>
          <w:lang w:val="en-GB"/>
        </w:rPr>
        <w:t xml:space="preserve"> </w:t>
      </w:r>
    </w:p>
    <w:p w14:paraId="7264ECFA" w14:textId="588C0443" w:rsidR="00154C83" w:rsidRPr="00C70ACA" w:rsidRDefault="00154C83" w:rsidP="00154C83">
      <w:pPr>
        <w:pStyle w:val="CETHeading1"/>
        <w:rPr>
          <w:lang w:val="en-GB"/>
        </w:rPr>
      </w:pPr>
      <w:bookmarkStart w:id="0" w:name="_Hlk88485148"/>
      <w:r w:rsidRPr="00C70ACA">
        <w:rPr>
          <w:lang w:val="en-GB"/>
        </w:rPr>
        <w:t>Materials and methods</w:t>
      </w:r>
    </w:p>
    <w:bookmarkEnd w:id="0"/>
    <w:p w14:paraId="7C48A7FC" w14:textId="77777777" w:rsidR="00AE5D42" w:rsidRDefault="00154C83" w:rsidP="00154C83">
      <w:pPr>
        <w:pStyle w:val="CETBodytext"/>
        <w:rPr>
          <w:lang w:val="en-GB"/>
        </w:rPr>
      </w:pPr>
      <w:r w:rsidRPr="00C70ACA">
        <w:rPr>
          <w:lang w:val="en-GB"/>
        </w:rPr>
        <w:t xml:space="preserve">The equipment used </w:t>
      </w:r>
      <w:r w:rsidR="009F45CF" w:rsidRPr="00C70ACA">
        <w:rPr>
          <w:lang w:val="en-GB"/>
        </w:rPr>
        <w:t>for</w:t>
      </w:r>
      <w:r w:rsidRPr="00C70ACA">
        <w:rPr>
          <w:lang w:val="en-GB"/>
        </w:rPr>
        <w:t xml:space="preserve"> this study was </w:t>
      </w:r>
      <w:r w:rsidR="00D131C9" w:rsidRPr="00C70ACA">
        <w:rPr>
          <w:lang w:val="en-GB"/>
        </w:rPr>
        <w:t>SDT Q600</w:t>
      </w:r>
      <w:r w:rsidRPr="00C70ACA">
        <w:rPr>
          <w:lang w:val="en-GB"/>
        </w:rPr>
        <w:t xml:space="preserve"> horizontal TGA-DTA</w:t>
      </w:r>
      <w:r w:rsidR="002A205C" w:rsidRPr="00C70ACA">
        <w:rPr>
          <w:lang w:val="en-GB"/>
        </w:rPr>
        <w:t xml:space="preserve"> </w:t>
      </w:r>
      <w:r w:rsidR="005051A2" w:rsidRPr="00C70ACA">
        <w:rPr>
          <w:lang w:val="en-GB"/>
        </w:rPr>
        <w:t>furnace</w:t>
      </w:r>
      <w:r w:rsidR="009F45CF" w:rsidRPr="00C70ACA">
        <w:rPr>
          <w:lang w:val="en-GB"/>
        </w:rPr>
        <w:t>.</w:t>
      </w:r>
    </w:p>
    <w:p w14:paraId="524C1516" w14:textId="085D7B0E" w:rsidR="00154C83" w:rsidRPr="007E00CE" w:rsidRDefault="00AE5D42" w:rsidP="00154C83">
      <w:pPr>
        <w:pStyle w:val="CETBodytext"/>
      </w:pPr>
      <w:r>
        <w:rPr>
          <w:lang w:val="en-GB"/>
        </w:rPr>
        <w:t xml:space="preserve">During </w:t>
      </w:r>
      <w:r w:rsidRPr="00AE5D42">
        <w:t>non-isothermal tests</w:t>
      </w:r>
      <w:r>
        <w:t>,</w:t>
      </w:r>
      <w:r w:rsidRPr="00AE5D42">
        <w:t xml:space="preserve"> specimens were heated from 30 to 950 °C either in air or N</w:t>
      </w:r>
      <w:r w:rsidRPr="00AE5D42">
        <w:rPr>
          <w:vertAlign w:val="subscript"/>
        </w:rPr>
        <w:t xml:space="preserve">2 </w:t>
      </w:r>
      <w:r w:rsidRPr="00AE5D42">
        <w:t>with a heating rate of 5 °C/min.</w:t>
      </w:r>
      <w:r w:rsidR="007E00CE">
        <w:t xml:space="preserve"> </w:t>
      </w:r>
      <w:r>
        <w:rPr>
          <w:lang w:val="en-GB"/>
        </w:rPr>
        <w:t>Several</w:t>
      </w:r>
      <w:r w:rsidR="006D1D10" w:rsidRPr="00C70ACA">
        <w:rPr>
          <w:lang w:val="en-GB"/>
        </w:rPr>
        <w:t xml:space="preserve"> isothermal tests</w:t>
      </w:r>
      <w:r>
        <w:rPr>
          <w:lang w:val="en-GB"/>
        </w:rPr>
        <w:t xml:space="preserve"> were also carried out;</w:t>
      </w:r>
      <w:r w:rsidR="006D1D10" w:rsidRPr="00C70ACA">
        <w:rPr>
          <w:lang w:val="en-GB"/>
        </w:rPr>
        <w:t xml:space="preserve"> temperature of interest was reached heating the chamber with a rate of 5</w:t>
      </w:r>
      <w:r w:rsidR="007D7389" w:rsidRPr="00C70ACA">
        <w:rPr>
          <w:lang w:val="en-GB"/>
        </w:rPr>
        <w:t xml:space="preserve"> </w:t>
      </w:r>
      <w:r w:rsidR="006D1D10" w:rsidRPr="00C70ACA">
        <w:rPr>
          <w:lang w:val="en-GB"/>
        </w:rPr>
        <w:t>°C/min</w:t>
      </w:r>
      <w:r w:rsidR="00B108A9" w:rsidRPr="00C70ACA">
        <w:rPr>
          <w:lang w:val="en-GB"/>
        </w:rPr>
        <w:t xml:space="preserve"> in N</w:t>
      </w:r>
      <w:r w:rsidR="00B108A9" w:rsidRPr="00C70ACA">
        <w:rPr>
          <w:vertAlign w:val="subscript"/>
          <w:lang w:val="en-GB"/>
        </w:rPr>
        <w:t>2</w:t>
      </w:r>
      <w:r w:rsidR="00B108A9" w:rsidRPr="00C70ACA">
        <w:rPr>
          <w:lang w:val="en-GB"/>
        </w:rPr>
        <w:t xml:space="preserve"> and then oxidation in air (100 mL/min) was evaluated for </w:t>
      </w:r>
      <w:r w:rsidR="0066577C" w:rsidRPr="00C70ACA">
        <w:rPr>
          <w:lang w:val="en-GB"/>
        </w:rPr>
        <w:t xml:space="preserve">at least </w:t>
      </w:r>
      <w:r w:rsidR="00B108A9" w:rsidRPr="00C70ACA">
        <w:rPr>
          <w:lang w:val="en-GB"/>
        </w:rPr>
        <w:t>180 min</w:t>
      </w:r>
      <w:r w:rsidR="0066577C" w:rsidRPr="00C70ACA">
        <w:rPr>
          <w:lang w:val="en-GB"/>
        </w:rPr>
        <w:t>, test temperatures range</w:t>
      </w:r>
      <w:r w:rsidR="00DF066B" w:rsidRPr="00C70ACA">
        <w:rPr>
          <w:lang w:val="en-GB"/>
        </w:rPr>
        <w:t>d</w:t>
      </w:r>
      <w:r w:rsidR="0066577C" w:rsidRPr="00C70ACA">
        <w:rPr>
          <w:lang w:val="en-GB"/>
        </w:rPr>
        <w:t xml:space="preserve"> between</w:t>
      </w:r>
      <w:r w:rsidR="0097724C" w:rsidRPr="00C70ACA">
        <w:rPr>
          <w:lang w:val="en-GB"/>
        </w:rPr>
        <w:t xml:space="preserve"> </w:t>
      </w:r>
      <w:r w:rsidR="0066577C" w:rsidRPr="00C70ACA">
        <w:rPr>
          <w:lang w:val="en-GB"/>
        </w:rPr>
        <w:t>5</w:t>
      </w:r>
      <w:r w:rsidR="00B304C3" w:rsidRPr="00C70ACA">
        <w:rPr>
          <w:lang w:val="en-GB"/>
        </w:rPr>
        <w:t>5</w:t>
      </w:r>
      <w:r w:rsidR="0066577C" w:rsidRPr="00C70ACA">
        <w:rPr>
          <w:lang w:val="en-GB"/>
        </w:rPr>
        <w:t>0</w:t>
      </w:r>
      <w:r w:rsidR="007D7389" w:rsidRPr="00C70ACA">
        <w:rPr>
          <w:lang w:val="en-GB"/>
        </w:rPr>
        <w:t xml:space="preserve"> </w:t>
      </w:r>
      <w:r w:rsidR="003D0B30" w:rsidRPr="00C70ACA">
        <w:rPr>
          <w:lang w:val="en-GB"/>
        </w:rPr>
        <w:t xml:space="preserve">and </w:t>
      </w:r>
      <w:r w:rsidR="0066577C" w:rsidRPr="00C70ACA">
        <w:rPr>
          <w:lang w:val="en-GB"/>
        </w:rPr>
        <w:t>750</w:t>
      </w:r>
      <w:r w:rsidR="007D7389" w:rsidRPr="00C70ACA">
        <w:rPr>
          <w:lang w:val="en-GB"/>
        </w:rPr>
        <w:t xml:space="preserve"> </w:t>
      </w:r>
      <w:r w:rsidR="0066577C" w:rsidRPr="00C70ACA">
        <w:rPr>
          <w:lang w:val="en-GB"/>
        </w:rPr>
        <w:t xml:space="preserve">°C, according to the prescription of </w:t>
      </w:r>
      <w:r w:rsidR="00DC1710" w:rsidRPr="00C70ACA">
        <w:rPr>
          <w:lang w:val="en-GB"/>
        </w:rPr>
        <w:t>ASTM D7542-15</w:t>
      </w:r>
      <w:r w:rsidR="00025235" w:rsidRPr="00C70ACA">
        <w:rPr>
          <w:lang w:val="en-GB"/>
        </w:rPr>
        <w:t xml:space="preserve"> standard</w:t>
      </w:r>
      <w:r w:rsidR="00B64AF5" w:rsidRPr="00C70ACA">
        <w:rPr>
          <w:lang w:val="en-GB"/>
        </w:rPr>
        <w:t xml:space="preserve">. </w:t>
      </w:r>
      <w:r w:rsidR="005B7ABB" w:rsidRPr="00C70ACA">
        <w:rPr>
          <w:lang w:val="en-GB"/>
        </w:rPr>
        <w:t>Several tests were performed three times at the same temperature</w:t>
      </w:r>
      <w:r w:rsidR="00401728" w:rsidRPr="00C70ACA">
        <w:rPr>
          <w:lang w:val="en-GB"/>
        </w:rPr>
        <w:t xml:space="preserve"> </w:t>
      </w:r>
      <w:r w:rsidR="005B7ABB" w:rsidRPr="00C70ACA">
        <w:rPr>
          <w:lang w:val="en-GB"/>
        </w:rPr>
        <w:t>to evaluate the reliability of the experimental procedure.</w:t>
      </w:r>
    </w:p>
    <w:p w14:paraId="7B0A8075" w14:textId="2DF9B161" w:rsidR="00CA2429" w:rsidRPr="00C70ACA" w:rsidRDefault="00ED6C95" w:rsidP="00154C83">
      <w:pPr>
        <w:pStyle w:val="CETBodytext"/>
        <w:rPr>
          <w:lang w:val="en-GB"/>
        </w:rPr>
      </w:pPr>
      <w:r w:rsidRPr="00C70ACA">
        <w:rPr>
          <w:lang w:val="en-GB"/>
        </w:rPr>
        <w:t>Data about weight loss in function of time and temperature were real time collected during the T</w:t>
      </w:r>
      <w:r w:rsidR="00673637" w:rsidRPr="00C70ACA">
        <w:rPr>
          <w:lang w:val="en-GB"/>
        </w:rPr>
        <w:t>G</w:t>
      </w:r>
      <w:r w:rsidRPr="00C70ACA">
        <w:rPr>
          <w:lang w:val="en-GB"/>
        </w:rPr>
        <w:t xml:space="preserve"> analysis</w:t>
      </w:r>
      <w:r w:rsidR="00914321" w:rsidRPr="00C70ACA">
        <w:rPr>
          <w:lang w:val="en-GB"/>
        </w:rPr>
        <w:t>, and oxidation kinetic parameters were</w:t>
      </w:r>
      <w:r w:rsidR="00735E9C" w:rsidRPr="00C70ACA">
        <w:rPr>
          <w:lang w:val="en-GB"/>
        </w:rPr>
        <w:t xml:space="preserve"> then</w:t>
      </w:r>
      <w:r w:rsidR="00914321" w:rsidRPr="00C70ACA">
        <w:rPr>
          <w:lang w:val="en-GB"/>
        </w:rPr>
        <w:t xml:space="preserve"> calculated following the procedure described in ASTM D7542-15.</w:t>
      </w:r>
    </w:p>
    <w:p w14:paraId="4D294301" w14:textId="5657AB11" w:rsidR="005B7ABB" w:rsidRPr="00C70ACA" w:rsidRDefault="009F45CF" w:rsidP="00154C83">
      <w:pPr>
        <w:pStyle w:val="CETBodytext"/>
        <w:rPr>
          <w:lang w:val="en-GB"/>
        </w:rPr>
      </w:pPr>
      <w:r w:rsidRPr="00C70ACA">
        <w:rPr>
          <w:lang w:val="en-GB"/>
        </w:rPr>
        <w:t xml:space="preserve">Specimens were </w:t>
      </w:r>
      <w:r w:rsidR="003F706E" w:rsidRPr="00C70ACA">
        <w:rPr>
          <w:lang w:val="en-GB"/>
        </w:rPr>
        <w:t xml:space="preserve">non-irradiated graphite </w:t>
      </w:r>
      <w:r w:rsidRPr="00C70ACA">
        <w:rPr>
          <w:lang w:val="en-GB"/>
        </w:rPr>
        <w:t>cylinders of length 10 mm and diameter 5 mm,</w:t>
      </w:r>
      <w:r w:rsidR="00BE46AE" w:rsidRPr="00C70ACA">
        <w:rPr>
          <w:lang w:val="en-GB"/>
        </w:rPr>
        <w:t xml:space="preserve"> </w:t>
      </w:r>
      <w:r w:rsidR="003D0B30" w:rsidRPr="00C70ACA">
        <w:rPr>
          <w:lang w:val="en-GB"/>
        </w:rPr>
        <w:t>coming</w:t>
      </w:r>
      <w:r w:rsidRPr="00C70ACA">
        <w:rPr>
          <w:lang w:val="en-GB"/>
        </w:rPr>
        <w:t xml:space="preserve"> from t</w:t>
      </w:r>
      <w:r w:rsidR="00FA1928" w:rsidRPr="00C70ACA">
        <w:rPr>
          <w:lang w:val="en-GB"/>
        </w:rPr>
        <w:t>wo</w:t>
      </w:r>
      <w:r w:rsidRPr="00C70ACA">
        <w:rPr>
          <w:lang w:val="en-GB"/>
        </w:rPr>
        <w:t xml:space="preserve"> </w:t>
      </w:r>
      <w:r w:rsidR="00E82E9D" w:rsidRPr="00C70ACA">
        <w:rPr>
          <w:lang w:val="en-GB"/>
        </w:rPr>
        <w:t>reactors</w:t>
      </w:r>
      <w:r w:rsidR="005417CA" w:rsidRPr="00C70ACA">
        <w:rPr>
          <w:lang w:val="en-GB"/>
        </w:rPr>
        <w:t xml:space="preserve"> involved in Inno4graph studies</w:t>
      </w:r>
      <w:r w:rsidR="00FA1928" w:rsidRPr="00C70ACA">
        <w:rPr>
          <w:lang w:val="en-GB"/>
        </w:rPr>
        <w:t>.</w:t>
      </w:r>
    </w:p>
    <w:p w14:paraId="67B40FC2" w14:textId="093F0EFD" w:rsidR="009F45CF" w:rsidRPr="00C70ACA" w:rsidRDefault="00FA1928" w:rsidP="00154C83">
      <w:pPr>
        <w:pStyle w:val="CETBodytext"/>
        <w:rPr>
          <w:lang w:val="en-GB"/>
        </w:rPr>
      </w:pPr>
      <w:r w:rsidRPr="00C70ACA">
        <w:rPr>
          <w:lang w:val="en-GB"/>
        </w:rPr>
        <w:t xml:space="preserve">One is the research reactor of </w:t>
      </w:r>
      <w:proofErr w:type="spellStart"/>
      <w:r w:rsidR="009F45CF" w:rsidRPr="00C70ACA">
        <w:rPr>
          <w:lang w:val="en-GB"/>
        </w:rPr>
        <w:t>Politecnico</w:t>
      </w:r>
      <w:proofErr w:type="spellEnd"/>
      <w:r w:rsidR="009F45CF" w:rsidRPr="00C70ACA">
        <w:rPr>
          <w:lang w:val="en-GB"/>
        </w:rPr>
        <w:t xml:space="preserve"> di Milano</w:t>
      </w:r>
      <w:r w:rsidR="00B50C23" w:rsidRPr="00C70ACA">
        <w:rPr>
          <w:lang w:val="en-GB"/>
        </w:rPr>
        <w:t xml:space="preserve"> (</w:t>
      </w:r>
      <w:proofErr w:type="spellStart"/>
      <w:r w:rsidR="00B50C23" w:rsidRPr="00C70ACA">
        <w:rPr>
          <w:lang w:val="en-GB"/>
        </w:rPr>
        <w:t>Polimi</w:t>
      </w:r>
      <w:proofErr w:type="spellEnd"/>
      <w:r w:rsidR="00B50C23" w:rsidRPr="00C70ACA">
        <w:rPr>
          <w:lang w:val="en-GB"/>
        </w:rPr>
        <w:t>)</w:t>
      </w:r>
      <w:r w:rsidR="004636DE" w:rsidRPr="00C70ACA">
        <w:rPr>
          <w:lang w:val="en-GB"/>
        </w:rPr>
        <w:t>, which was shut</w:t>
      </w:r>
      <w:r w:rsidR="008C56CE" w:rsidRPr="00C70ACA">
        <w:rPr>
          <w:lang w:val="en-GB"/>
        </w:rPr>
        <w:t xml:space="preserve"> down in </w:t>
      </w:r>
      <w:r w:rsidR="009F45CF" w:rsidRPr="00C70ACA">
        <w:rPr>
          <w:lang w:val="en-GB"/>
        </w:rPr>
        <w:t>1979</w:t>
      </w:r>
      <w:r w:rsidR="008C56CE" w:rsidRPr="00C70ACA">
        <w:rPr>
          <w:lang w:val="en-GB"/>
        </w:rPr>
        <w:t xml:space="preserve"> after 20 years of operation</w:t>
      </w:r>
      <w:r w:rsidR="009F45CF" w:rsidRPr="00C70ACA">
        <w:rPr>
          <w:lang w:val="en-GB"/>
        </w:rPr>
        <w:t xml:space="preserve">. </w:t>
      </w:r>
      <w:r w:rsidR="00346AD5" w:rsidRPr="00C70ACA">
        <w:rPr>
          <w:lang w:val="en-GB"/>
        </w:rPr>
        <w:t>Average d</w:t>
      </w:r>
      <w:r w:rsidR="009F45CF" w:rsidRPr="00C70ACA">
        <w:rPr>
          <w:lang w:val="en-GB"/>
        </w:rPr>
        <w:t>ensity o</w:t>
      </w:r>
      <w:r w:rsidR="00596D25" w:rsidRPr="00C70ACA">
        <w:rPr>
          <w:lang w:val="en-GB"/>
        </w:rPr>
        <w:t>f its</w:t>
      </w:r>
      <w:r w:rsidRPr="00C70ACA">
        <w:rPr>
          <w:lang w:val="en-GB"/>
        </w:rPr>
        <w:t xml:space="preserve"> </w:t>
      </w:r>
      <w:r w:rsidR="00DD5536" w:rsidRPr="00C70ACA">
        <w:rPr>
          <w:lang w:val="en-GB"/>
        </w:rPr>
        <w:t xml:space="preserve">virgin </w:t>
      </w:r>
      <w:r w:rsidR="009F45CF" w:rsidRPr="00C70ACA">
        <w:rPr>
          <w:lang w:val="en-GB"/>
        </w:rPr>
        <w:t>graphit</w:t>
      </w:r>
      <w:r w:rsidR="00594BEF" w:rsidRPr="00C70ACA">
        <w:rPr>
          <w:lang w:val="en-GB"/>
        </w:rPr>
        <w:t>e</w:t>
      </w:r>
      <w:r w:rsidRPr="00C70ACA">
        <w:rPr>
          <w:lang w:val="en-GB"/>
        </w:rPr>
        <w:t xml:space="preserve"> samples</w:t>
      </w:r>
      <w:r w:rsidR="009F45CF" w:rsidRPr="00C70ACA">
        <w:rPr>
          <w:lang w:val="en-GB"/>
        </w:rPr>
        <w:t xml:space="preserve"> </w:t>
      </w:r>
      <w:r w:rsidR="00DD5536" w:rsidRPr="00C70ACA">
        <w:rPr>
          <w:lang w:val="en-GB"/>
        </w:rPr>
        <w:t>i</w:t>
      </w:r>
      <w:r w:rsidR="009F45CF" w:rsidRPr="00C70ACA">
        <w:rPr>
          <w:lang w:val="en-GB"/>
        </w:rPr>
        <w:t>s 1</w:t>
      </w:r>
      <w:r w:rsidR="00346AD5" w:rsidRPr="00C70ACA">
        <w:rPr>
          <w:lang w:val="en-GB"/>
        </w:rPr>
        <w:t>.</w:t>
      </w:r>
      <w:r w:rsidR="009F45CF" w:rsidRPr="00C70ACA">
        <w:rPr>
          <w:lang w:val="en-GB"/>
        </w:rPr>
        <w:t>6</w:t>
      </w:r>
      <w:r w:rsidR="00912FCB" w:rsidRPr="00C70ACA">
        <w:rPr>
          <w:lang w:val="en-GB"/>
        </w:rPr>
        <w:t>87</w:t>
      </w:r>
      <w:r w:rsidR="00993227" w:rsidRPr="00C70ACA">
        <w:rPr>
          <w:lang w:val="en-GB"/>
        </w:rPr>
        <w:t xml:space="preserve"> g/cm</w:t>
      </w:r>
      <w:r w:rsidR="00993227" w:rsidRPr="00C70ACA">
        <w:rPr>
          <w:vertAlign w:val="superscript"/>
          <w:lang w:val="en-GB"/>
        </w:rPr>
        <w:t>3</w:t>
      </w:r>
      <w:r w:rsidR="00993227" w:rsidRPr="00C70ACA">
        <w:rPr>
          <w:lang w:val="en-GB"/>
        </w:rPr>
        <w:t xml:space="preserve"> and</w:t>
      </w:r>
      <w:r w:rsidR="00DD5536" w:rsidRPr="00C70ACA">
        <w:rPr>
          <w:lang w:val="en-GB"/>
        </w:rPr>
        <w:t xml:space="preserve"> the</w:t>
      </w:r>
      <w:r w:rsidR="00346AD5" w:rsidRPr="00C70ACA">
        <w:rPr>
          <w:lang w:val="en-GB"/>
        </w:rPr>
        <w:t xml:space="preserve"> average</w:t>
      </w:r>
      <w:r w:rsidR="00993227" w:rsidRPr="00C70ACA">
        <w:rPr>
          <w:lang w:val="en-GB"/>
        </w:rPr>
        <w:t xml:space="preserve"> porosity </w:t>
      </w:r>
      <w:r w:rsidR="00DD5536" w:rsidRPr="00C70ACA">
        <w:rPr>
          <w:lang w:val="en-GB"/>
        </w:rPr>
        <w:t>26</w:t>
      </w:r>
      <w:r w:rsidR="0086042A" w:rsidRPr="00C70ACA">
        <w:rPr>
          <w:lang w:val="en-GB"/>
        </w:rPr>
        <w:t>.4</w:t>
      </w:r>
      <w:r w:rsidR="008B0548" w:rsidRPr="00C70ACA">
        <w:rPr>
          <w:lang w:val="en-GB"/>
        </w:rPr>
        <w:t xml:space="preserve"> </w:t>
      </w:r>
      <w:r w:rsidR="005E6208" w:rsidRPr="00C70ACA">
        <w:rPr>
          <w:lang w:val="en-GB"/>
        </w:rPr>
        <w:t>%.</w:t>
      </w:r>
    </w:p>
    <w:p w14:paraId="5E45E195" w14:textId="3B49534B" w:rsidR="00DD5536" w:rsidRPr="00C70ACA" w:rsidRDefault="00C15F30" w:rsidP="00154C83">
      <w:pPr>
        <w:pStyle w:val="CETBodytext"/>
        <w:rPr>
          <w:lang w:val="en-GB"/>
        </w:rPr>
      </w:pPr>
      <w:r w:rsidRPr="00C70ACA">
        <w:rPr>
          <w:lang w:val="en-GB"/>
        </w:rPr>
        <w:t>The second is Lith</w:t>
      </w:r>
      <w:r w:rsidR="00596D25" w:rsidRPr="00C70ACA">
        <w:rPr>
          <w:lang w:val="en-GB"/>
        </w:rPr>
        <w:t xml:space="preserve">uanian nuclear power plant </w:t>
      </w:r>
      <w:proofErr w:type="spellStart"/>
      <w:r w:rsidR="00596D25" w:rsidRPr="00C70ACA">
        <w:rPr>
          <w:lang w:val="en-GB"/>
        </w:rPr>
        <w:t>Ignali</w:t>
      </w:r>
      <w:r w:rsidR="0087069B">
        <w:rPr>
          <w:lang w:val="en-GB"/>
        </w:rPr>
        <w:t>n</w:t>
      </w:r>
      <w:r w:rsidR="00596D25" w:rsidRPr="00C70ACA">
        <w:rPr>
          <w:lang w:val="en-GB"/>
        </w:rPr>
        <w:t>a</w:t>
      </w:r>
      <w:proofErr w:type="spellEnd"/>
      <w:r w:rsidR="00596D25" w:rsidRPr="00C70ACA">
        <w:rPr>
          <w:lang w:val="en-GB"/>
        </w:rPr>
        <w:t xml:space="preserve"> NPP, which consists of two </w:t>
      </w:r>
      <w:r w:rsidR="008C2EC0" w:rsidRPr="008C2EC0">
        <w:rPr>
          <w:lang w:val="en-GB"/>
        </w:rPr>
        <w:t xml:space="preserve">RBMK-1500 </w:t>
      </w:r>
      <w:r w:rsidR="00596D25" w:rsidRPr="00C70ACA">
        <w:rPr>
          <w:lang w:val="en-GB"/>
        </w:rPr>
        <w:t>units</w:t>
      </w:r>
      <w:r w:rsidR="00887368" w:rsidRPr="00C70ACA">
        <w:rPr>
          <w:lang w:val="en-GB"/>
        </w:rPr>
        <w:t>, one shut down in 2004 and the other in 2009</w:t>
      </w:r>
      <w:r w:rsidR="00E03A4A" w:rsidRPr="00C70ACA">
        <w:rPr>
          <w:lang w:val="en-GB"/>
        </w:rPr>
        <w:t>.</w:t>
      </w:r>
    </w:p>
    <w:p w14:paraId="0DF52A76" w14:textId="05468CA6" w:rsidR="00162BC5" w:rsidRPr="00C70ACA" w:rsidRDefault="005E77FF" w:rsidP="00162BC5">
      <w:pPr>
        <w:pStyle w:val="CETBodytext"/>
        <w:rPr>
          <w:color w:val="FF0000"/>
          <w:lang w:val="en-GB"/>
        </w:rPr>
      </w:pPr>
      <w:r w:rsidRPr="00C70ACA">
        <w:rPr>
          <w:lang w:val="en-GB"/>
        </w:rPr>
        <w:t xml:space="preserve">Average density of </w:t>
      </w:r>
      <w:r w:rsidR="00DD5536" w:rsidRPr="00C70ACA">
        <w:rPr>
          <w:lang w:val="en-GB"/>
        </w:rPr>
        <w:t>its virgin</w:t>
      </w:r>
      <w:r w:rsidRPr="00C70ACA">
        <w:rPr>
          <w:lang w:val="en-GB"/>
        </w:rPr>
        <w:t xml:space="preserve"> graphite is 1.</w:t>
      </w:r>
      <w:r w:rsidR="00046ADA" w:rsidRPr="00C70ACA">
        <w:rPr>
          <w:lang w:val="en-GB"/>
        </w:rPr>
        <w:t>675</w:t>
      </w:r>
      <w:r w:rsidRPr="00C70ACA">
        <w:rPr>
          <w:lang w:val="en-GB"/>
        </w:rPr>
        <w:t xml:space="preserve"> g/cm</w:t>
      </w:r>
      <w:r w:rsidRPr="00C70ACA">
        <w:rPr>
          <w:vertAlign w:val="superscript"/>
          <w:lang w:val="en-GB"/>
        </w:rPr>
        <w:t>3</w:t>
      </w:r>
      <w:r w:rsidRPr="00C70ACA">
        <w:rPr>
          <w:lang w:val="en-GB"/>
        </w:rPr>
        <w:t xml:space="preserve"> and average porosity is 22.8</w:t>
      </w:r>
      <w:r w:rsidR="008B0548" w:rsidRPr="00C70ACA">
        <w:rPr>
          <w:lang w:val="en-GB"/>
        </w:rPr>
        <w:t xml:space="preserve"> </w:t>
      </w:r>
      <w:proofErr w:type="gramStart"/>
      <w:r w:rsidRPr="00C70ACA">
        <w:rPr>
          <w:lang w:val="en-GB"/>
        </w:rPr>
        <w:t>%.</w:t>
      </w:r>
      <w:r w:rsidR="00046ADA" w:rsidRPr="00C70ACA">
        <w:rPr>
          <w:lang w:val="en-GB"/>
        </w:rPr>
        <w:t>The</w:t>
      </w:r>
      <w:proofErr w:type="gramEnd"/>
      <w:r w:rsidR="00046ADA" w:rsidRPr="00C70ACA">
        <w:rPr>
          <w:lang w:val="en-GB"/>
        </w:rPr>
        <w:t xml:space="preserve"> density values of the two </w:t>
      </w:r>
      <w:proofErr w:type="spellStart"/>
      <w:r w:rsidR="00046ADA" w:rsidRPr="00C70ACA">
        <w:rPr>
          <w:lang w:val="en-GB"/>
        </w:rPr>
        <w:t>graphites</w:t>
      </w:r>
      <w:proofErr w:type="spellEnd"/>
      <w:r w:rsidR="00046ADA" w:rsidRPr="00C70ACA">
        <w:rPr>
          <w:lang w:val="en-GB"/>
        </w:rPr>
        <w:t xml:space="preserve"> are the typical of early nuclear </w:t>
      </w:r>
      <w:proofErr w:type="spellStart"/>
      <w:r w:rsidR="00046ADA" w:rsidRPr="00C70ACA">
        <w:rPr>
          <w:lang w:val="en-GB"/>
        </w:rPr>
        <w:t>graphites</w:t>
      </w:r>
      <w:proofErr w:type="spellEnd"/>
      <w:r w:rsidR="00B50C23" w:rsidRPr="00C70ACA">
        <w:rPr>
          <w:lang w:val="en-GB"/>
        </w:rPr>
        <w:t xml:space="preserve"> </w:t>
      </w:r>
      <w:r w:rsidR="00C66EF4" w:rsidRPr="00C70ACA">
        <w:rPr>
          <w:lang w:val="en-GB"/>
        </w:rPr>
        <w:t>(Marsden, 2001)</w:t>
      </w:r>
      <w:r w:rsidR="00B50C23" w:rsidRPr="00C70ACA">
        <w:rPr>
          <w:lang w:val="en-GB"/>
        </w:rPr>
        <w:t>.</w:t>
      </w:r>
    </w:p>
    <w:p w14:paraId="0192EF69" w14:textId="0722355F" w:rsidR="00B47645" w:rsidRPr="00C70ACA" w:rsidRDefault="00B47645" w:rsidP="00154C83">
      <w:pPr>
        <w:pStyle w:val="CETHeading1"/>
        <w:rPr>
          <w:lang w:val="en-GB"/>
        </w:rPr>
      </w:pPr>
      <w:r w:rsidRPr="00C70ACA">
        <w:rPr>
          <w:lang w:val="en-GB"/>
        </w:rPr>
        <w:t>Results and discussion</w:t>
      </w:r>
    </w:p>
    <w:p w14:paraId="09717B18" w14:textId="4204DE92" w:rsidR="00F5271F" w:rsidRPr="00C70ACA" w:rsidRDefault="00AA62C0" w:rsidP="006C414B">
      <w:pPr>
        <w:pStyle w:val="CETBodytext"/>
        <w:rPr>
          <w:lang w:val="en-GB"/>
        </w:rPr>
      </w:pPr>
      <w:r w:rsidRPr="00C70ACA">
        <w:rPr>
          <w:lang w:val="en-GB"/>
        </w:rPr>
        <w:t>Experimental</w:t>
      </w:r>
      <w:r w:rsidR="00415097" w:rsidRPr="00C70ACA">
        <w:rPr>
          <w:lang w:val="en-GB"/>
        </w:rPr>
        <w:t xml:space="preserve"> results</w:t>
      </w:r>
      <w:r w:rsidRPr="00C70ACA">
        <w:rPr>
          <w:lang w:val="en-GB"/>
        </w:rPr>
        <w:t xml:space="preserve"> of the preliminary tests</w:t>
      </w:r>
      <w:r w:rsidR="00415097" w:rsidRPr="00C70ACA">
        <w:rPr>
          <w:lang w:val="en-GB"/>
        </w:rPr>
        <w:t xml:space="preserve"> were compared with results found in literature </w:t>
      </w:r>
      <w:r w:rsidR="00076F58" w:rsidRPr="00C70ACA">
        <w:rPr>
          <w:lang w:val="en-GB"/>
        </w:rPr>
        <w:t xml:space="preserve">to validate the testing procedure, and the values were coherent with previous </w:t>
      </w:r>
      <w:r w:rsidR="00A23F22" w:rsidRPr="00C70ACA">
        <w:rPr>
          <w:lang w:val="en-GB"/>
        </w:rPr>
        <w:t xml:space="preserve">oxidation </w:t>
      </w:r>
      <w:r w:rsidR="00076F58" w:rsidRPr="00C70ACA">
        <w:rPr>
          <w:lang w:val="en-GB"/>
        </w:rPr>
        <w:t>studies about nuclear graphite.</w:t>
      </w:r>
    </w:p>
    <w:p w14:paraId="0499E7DC" w14:textId="5ACEB3E5" w:rsidR="004E7DB3" w:rsidRDefault="004E7DB3" w:rsidP="004E7DB3">
      <w:r w:rsidRPr="00C70ACA">
        <w:t>Non – isothermal tests were performed in air and N</w:t>
      </w:r>
      <w:r w:rsidR="009A5162" w:rsidRPr="00C70ACA">
        <w:rPr>
          <w:vertAlign w:val="subscript"/>
        </w:rPr>
        <w:t>2</w:t>
      </w:r>
      <w:r w:rsidRPr="00C70ACA">
        <w:t xml:space="preserve">, </w:t>
      </w:r>
      <w:r w:rsidR="00FB2C05" w:rsidRPr="00C70ACA">
        <w:t xml:space="preserve">Figure 1 </w:t>
      </w:r>
      <w:r w:rsidRPr="00C70ACA">
        <w:t>show</w:t>
      </w:r>
      <w:r w:rsidR="00FB2C05" w:rsidRPr="00C70ACA">
        <w:t>s</w:t>
      </w:r>
      <w:r w:rsidRPr="00C70ACA">
        <w:t xml:space="preserve"> weight </w:t>
      </w:r>
      <w:r w:rsidR="007A249F" w:rsidRPr="00C70ACA">
        <w:t>(%)</w:t>
      </w:r>
      <w:r w:rsidRPr="00C70ACA">
        <w:t xml:space="preserve"> </w:t>
      </w:r>
      <w:r w:rsidR="00E96CD3" w:rsidRPr="00C70ACA">
        <w:t>and temperature difference</w:t>
      </w:r>
      <w:r w:rsidR="007A249F" w:rsidRPr="00C70ACA">
        <w:t xml:space="preserve"> (°C/mg) </w:t>
      </w:r>
      <w:r w:rsidRPr="00C70ACA">
        <w:t xml:space="preserve">plotted against temperature </w:t>
      </w:r>
      <w:r w:rsidR="007A249F" w:rsidRPr="00C70ACA">
        <w:t>(°C)</w:t>
      </w:r>
      <w:r w:rsidR="005E7ECE">
        <w:t xml:space="preserve"> in</w:t>
      </w:r>
      <w:r w:rsidRPr="00C70ACA">
        <w:t xml:space="preserve"> air.</w:t>
      </w:r>
    </w:p>
    <w:p w14:paraId="46D82F09" w14:textId="40B4FBC1" w:rsidR="006F085F" w:rsidRDefault="006702CE" w:rsidP="004E7DB3">
      <w:r w:rsidRPr="00C70ACA">
        <w:t xml:space="preserve">Concerning </w:t>
      </w:r>
      <w:proofErr w:type="spellStart"/>
      <w:r w:rsidRPr="00C70ACA">
        <w:t>Polimi</w:t>
      </w:r>
      <w:proofErr w:type="spellEnd"/>
      <w:r w:rsidRPr="00C70ACA">
        <w:t xml:space="preserve"> samples, it was observed from the results of tests in air that weight loss extent is lower than 5 </w:t>
      </w:r>
      <w:proofErr w:type="spellStart"/>
      <w:r w:rsidRPr="00C70ACA">
        <w:t>wt</w:t>
      </w:r>
      <w:proofErr w:type="spellEnd"/>
      <w:r w:rsidRPr="00C70ACA">
        <w:t>% at temperature below 740°C, while with the increase of temperature (above 700 °C), the oxidation rate sharply increased, and the weight recorded at the end of the test was 26 % of the starting weight. In addition, a strong size reduction of the samples was evidenced (different from the behavio</w:t>
      </w:r>
      <w:r>
        <w:t>u</w:t>
      </w:r>
      <w:r w:rsidRPr="00C70ACA">
        <w:t>r observed during isothermal tests).</w:t>
      </w:r>
    </w:p>
    <w:p w14:paraId="2F474D7F" w14:textId="076BC380" w:rsidR="003E118F" w:rsidRDefault="006702CE" w:rsidP="004E7DB3">
      <w:r w:rsidRPr="00C70ACA">
        <w:t>In N</w:t>
      </w:r>
      <w:r w:rsidRPr="00C70ACA">
        <w:rPr>
          <w:vertAlign w:val="subscript"/>
        </w:rPr>
        <w:t>2</w:t>
      </w:r>
      <w:r w:rsidRPr="00C70ACA">
        <w:t xml:space="preserve"> atmosphere, the weight loss recorded after the test was negligeable, being the maximum weight loss extent of about 0.7 </w:t>
      </w:r>
      <w:proofErr w:type="spellStart"/>
      <w:r w:rsidRPr="00C70ACA">
        <w:t>wt</w:t>
      </w:r>
      <w:proofErr w:type="spellEnd"/>
      <w:r w:rsidRPr="00C70ACA">
        <w:t>%.</w:t>
      </w:r>
    </w:p>
    <w:p w14:paraId="10BD40A0" w14:textId="1E5EAC24" w:rsidR="006702CE" w:rsidRDefault="006702CE" w:rsidP="006702CE">
      <w:pPr>
        <w:pStyle w:val="CETBodytext"/>
        <w:rPr>
          <w:lang w:val="en-GB"/>
        </w:rPr>
      </w:pPr>
      <w:r w:rsidRPr="00C70ACA">
        <w:rPr>
          <w:lang w:val="en-GB"/>
        </w:rPr>
        <w:t xml:space="preserve">Also, in the case of </w:t>
      </w:r>
      <w:proofErr w:type="spellStart"/>
      <w:r>
        <w:rPr>
          <w:lang w:val="en-GB"/>
        </w:rPr>
        <w:t>Ignalina</w:t>
      </w:r>
      <w:proofErr w:type="spellEnd"/>
      <w:r>
        <w:rPr>
          <w:lang w:val="en-GB"/>
        </w:rPr>
        <w:t xml:space="preserve"> NPP</w:t>
      </w:r>
      <w:r w:rsidRPr="00C70ACA">
        <w:rPr>
          <w:lang w:val="en-GB"/>
        </w:rPr>
        <w:t xml:space="preserve"> graphite the oxidation in air was low at temperatures below 700 °C. At the end of the test, at 950 °C, the weight of the sample was about 21 % of the starting weight. However, also in this case a strong reduction and deformation of samples was noticed.</w:t>
      </w:r>
    </w:p>
    <w:p w14:paraId="30FEA63D" w14:textId="3B6C9709" w:rsidR="001E32DA" w:rsidRPr="00C70ACA" w:rsidRDefault="001E32DA" w:rsidP="006702CE">
      <w:pPr>
        <w:pStyle w:val="CETBodytext"/>
        <w:rPr>
          <w:lang w:val="en-GB"/>
        </w:rPr>
      </w:pPr>
      <w:r w:rsidRPr="001E32DA">
        <w:rPr>
          <w:lang w:val="en-GB"/>
        </w:rPr>
        <w:t xml:space="preserve">In N2 atmosphere, the weight loss recorded after the test was negligeable, being the maximum weight loss extent of about 0.3 </w:t>
      </w:r>
      <w:proofErr w:type="spellStart"/>
      <w:r w:rsidRPr="001E32DA">
        <w:rPr>
          <w:lang w:val="en-GB"/>
        </w:rPr>
        <w:t>wt</w:t>
      </w:r>
      <w:proofErr w:type="spellEnd"/>
      <w:r w:rsidRPr="001E32DA">
        <w:rPr>
          <w:lang w:val="en-GB"/>
        </w:rPr>
        <w:t>%.</w:t>
      </w:r>
    </w:p>
    <w:p w14:paraId="4C37B8E7" w14:textId="77777777" w:rsidR="006702CE" w:rsidRPr="00C70ACA" w:rsidRDefault="006702CE" w:rsidP="004E7DB3"/>
    <w:p w14:paraId="5A646CBE" w14:textId="159EB65D" w:rsidR="004E7DB3" w:rsidRPr="00C70ACA" w:rsidRDefault="001D3709" w:rsidP="004E7DB3">
      <w:pPr>
        <w:pStyle w:val="CETBodytext"/>
        <w:rPr>
          <w:lang w:val="en-GB"/>
        </w:rPr>
      </w:pPr>
      <w:r>
        <w:rPr>
          <w:noProof/>
          <w:lang w:val="it-IT" w:eastAsia="it-IT"/>
        </w:rPr>
        <w:lastRenderedPageBreak/>
        <w:drawing>
          <wp:inline distT="0" distB="0" distL="0" distR="0" wp14:anchorId="4165F208" wp14:editId="2D1BD298">
            <wp:extent cx="2520000" cy="1800000"/>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0"/>
                    <a:stretch>
                      <a:fillRect/>
                    </a:stretch>
                  </pic:blipFill>
                  <pic:spPr>
                    <a:xfrm>
                      <a:off x="0" y="0"/>
                      <a:ext cx="2520000" cy="1800000"/>
                    </a:xfrm>
                    <a:prstGeom prst="rect">
                      <a:avLst/>
                    </a:prstGeom>
                  </pic:spPr>
                </pic:pic>
              </a:graphicData>
            </a:graphic>
          </wp:inline>
        </w:drawing>
      </w:r>
    </w:p>
    <w:p w14:paraId="59ACA005" w14:textId="3FB9CB7C" w:rsidR="004E7DB3" w:rsidRPr="00C70ACA" w:rsidRDefault="004E7DB3" w:rsidP="004E7DB3">
      <w:pPr>
        <w:pStyle w:val="CETCaption"/>
      </w:pPr>
      <w:r w:rsidRPr="00C70ACA">
        <w:t xml:space="preserve">Figure </w:t>
      </w:r>
      <w:r w:rsidR="00A56F9C" w:rsidRPr="00C70ACA">
        <w:t>1</w:t>
      </w:r>
      <w:r w:rsidRPr="00C70ACA">
        <w:t>: weight</w:t>
      </w:r>
      <w:r w:rsidR="00F80205" w:rsidRPr="00C70ACA">
        <w:t xml:space="preserve"> and temperature difference</w:t>
      </w:r>
      <w:r w:rsidRPr="00C70ACA">
        <w:t xml:space="preserve"> vs temperature, </w:t>
      </w:r>
      <w:proofErr w:type="spellStart"/>
      <w:r w:rsidRPr="00C70ACA">
        <w:t>Polimi</w:t>
      </w:r>
      <w:proofErr w:type="spellEnd"/>
      <w:r w:rsidRPr="00C70ACA">
        <w:t xml:space="preserve"> </w:t>
      </w:r>
      <w:r w:rsidR="00B0424D" w:rsidRPr="00C70ACA">
        <w:t xml:space="preserve">and </w:t>
      </w:r>
      <w:proofErr w:type="spellStart"/>
      <w:r w:rsidR="00DE0A17">
        <w:t>Ignalina</w:t>
      </w:r>
      <w:proofErr w:type="spellEnd"/>
      <w:r w:rsidR="00DE0A17">
        <w:t xml:space="preserve"> NPP</w:t>
      </w:r>
      <w:r w:rsidR="00DE0A17" w:rsidRPr="00C70ACA">
        <w:t xml:space="preserve"> </w:t>
      </w:r>
      <w:r w:rsidRPr="00C70ACA">
        <w:t>graphite (non - isothermal tests)</w:t>
      </w:r>
    </w:p>
    <w:p w14:paraId="10216F34" w14:textId="5701278A" w:rsidR="004E7DB3" w:rsidRPr="00C70ACA" w:rsidRDefault="004E7DB3" w:rsidP="004E7DB3">
      <w:pPr>
        <w:pStyle w:val="CETBodytext"/>
        <w:rPr>
          <w:lang w:val="en-GB"/>
        </w:rPr>
      </w:pPr>
      <w:r w:rsidRPr="00C70ACA">
        <w:rPr>
          <w:lang w:val="en-GB"/>
        </w:rPr>
        <w:t>From the plot of weight percentage against temperature</w:t>
      </w:r>
      <w:r w:rsidR="00FE5E82" w:rsidRPr="00C70ACA">
        <w:rPr>
          <w:lang w:val="en-GB"/>
        </w:rPr>
        <w:t xml:space="preserve"> (Figure 1)</w:t>
      </w:r>
      <w:r w:rsidRPr="00C70ACA">
        <w:rPr>
          <w:lang w:val="en-GB"/>
        </w:rPr>
        <w:t xml:space="preserve"> it is possible to observe that at temperatures of about 860 °C there is a decrease in the reaction rate. This phenomenon could be likely a consequence of the </w:t>
      </w:r>
      <w:r w:rsidR="00443CCC" w:rsidRPr="00C70ACA">
        <w:rPr>
          <w:lang w:val="en-GB"/>
        </w:rPr>
        <w:t xml:space="preserve">change of </w:t>
      </w:r>
      <w:r w:rsidR="00C01B1F" w:rsidRPr="00C70ACA">
        <w:rPr>
          <w:lang w:val="en-GB"/>
        </w:rPr>
        <w:t xml:space="preserve">the </w:t>
      </w:r>
      <w:r w:rsidR="00443CCC" w:rsidRPr="00C70ACA">
        <w:rPr>
          <w:lang w:val="en-GB"/>
        </w:rPr>
        <w:t>oxidation regime or</w:t>
      </w:r>
      <w:r w:rsidRPr="00C70ACA">
        <w:rPr>
          <w:lang w:val="en-GB"/>
        </w:rPr>
        <w:t xml:space="preserve"> samples geometry and shrinkage of the surface area, since oxidation rate is proportional to the specimen surface area at high temperatures (Luo et al., 2004)</w:t>
      </w:r>
      <w:r w:rsidR="00443CCC" w:rsidRPr="00C70ACA">
        <w:rPr>
          <w:lang w:val="en-GB"/>
        </w:rPr>
        <w:t>.</w:t>
      </w:r>
    </w:p>
    <w:p w14:paraId="43B11673" w14:textId="47649311" w:rsidR="00761BDA" w:rsidRPr="00C70ACA" w:rsidRDefault="002941A6" w:rsidP="006C414B">
      <w:pPr>
        <w:pStyle w:val="CETBodytext"/>
        <w:rPr>
          <w:lang w:val="en-GB"/>
        </w:rPr>
      </w:pPr>
      <w:r w:rsidRPr="00C70ACA">
        <w:rPr>
          <w:lang w:val="en-GB"/>
        </w:rPr>
        <w:t xml:space="preserve">Isothermal tests were performed at the </w:t>
      </w:r>
      <w:r w:rsidR="000B3B63" w:rsidRPr="00C70ACA">
        <w:rPr>
          <w:lang w:val="en-GB"/>
        </w:rPr>
        <w:t xml:space="preserve">kinetic-controlled regime </w:t>
      </w:r>
      <w:r w:rsidRPr="00C70ACA">
        <w:rPr>
          <w:lang w:val="en-GB"/>
        </w:rPr>
        <w:t>temperature rang</w:t>
      </w:r>
      <w:r w:rsidR="000B3B63" w:rsidRPr="00C70ACA">
        <w:rPr>
          <w:lang w:val="en-GB"/>
        </w:rPr>
        <w:t>e</w:t>
      </w:r>
      <w:r w:rsidRPr="00C70ACA">
        <w:rPr>
          <w:lang w:val="en-GB"/>
        </w:rPr>
        <w:t xml:space="preserve"> </w:t>
      </w:r>
      <w:r w:rsidR="00840A74" w:rsidRPr="00C70ACA">
        <w:rPr>
          <w:lang w:val="en-GB"/>
        </w:rPr>
        <w:t>to better understand</w:t>
      </w:r>
      <w:r w:rsidR="00C21CB0" w:rsidRPr="00C70ACA">
        <w:rPr>
          <w:lang w:val="en-GB"/>
        </w:rPr>
        <w:t xml:space="preserve"> the oxidation behaviour of samp</w:t>
      </w:r>
      <w:r w:rsidR="00682D94" w:rsidRPr="00C70ACA">
        <w:rPr>
          <w:lang w:val="en-GB"/>
        </w:rPr>
        <w:t>les.</w:t>
      </w:r>
    </w:p>
    <w:p w14:paraId="052D7B95" w14:textId="0206A767" w:rsidR="00D131C9" w:rsidRPr="00C70ACA" w:rsidRDefault="00D131C9" w:rsidP="006C414B">
      <w:pPr>
        <w:pStyle w:val="CETBodytext"/>
        <w:rPr>
          <w:lang w:val="en-GB"/>
        </w:rPr>
      </w:pPr>
      <w:r w:rsidRPr="00C70ACA">
        <w:rPr>
          <w:lang w:val="en-GB"/>
        </w:rPr>
        <w:t xml:space="preserve">The plots of the weight loss variation (%) as a function of temperature (°C) after </w:t>
      </w:r>
      <w:r w:rsidR="00271933">
        <w:rPr>
          <w:lang w:val="en-GB"/>
        </w:rPr>
        <w:t xml:space="preserve">60 min. </w:t>
      </w:r>
      <w:r w:rsidRPr="00C70ACA">
        <w:rPr>
          <w:lang w:val="en-GB"/>
        </w:rPr>
        <w:t xml:space="preserve">in air are reported for both non-irradiated graphite samples in </w:t>
      </w:r>
      <w:r w:rsidR="005D62D7" w:rsidRPr="00C70ACA">
        <w:rPr>
          <w:lang w:val="en-GB"/>
        </w:rPr>
        <w:t>Figure 2.</w:t>
      </w:r>
    </w:p>
    <w:p w14:paraId="4ECC9C6E" w14:textId="1A9A0420" w:rsidR="004E7DB3" w:rsidRPr="00C70ACA" w:rsidRDefault="004E7DB3" w:rsidP="006C414B">
      <w:pPr>
        <w:pStyle w:val="CETBodytext"/>
        <w:rPr>
          <w:lang w:val="en-GB"/>
        </w:rPr>
      </w:pPr>
    </w:p>
    <w:p w14:paraId="219D0323" w14:textId="77777777" w:rsidR="004E7DB3" w:rsidRPr="00C70ACA" w:rsidRDefault="004E7DB3" w:rsidP="006C414B">
      <w:pPr>
        <w:pStyle w:val="CETBodytext"/>
        <w:rPr>
          <w:lang w:val="en-GB"/>
        </w:rPr>
      </w:pPr>
    </w:p>
    <w:p w14:paraId="4D45A9A8" w14:textId="472D0628" w:rsidR="00146602" w:rsidRPr="00C70ACA" w:rsidRDefault="00FE17CC" w:rsidP="00146602">
      <w:pPr>
        <w:pStyle w:val="CETBodytext"/>
        <w:rPr>
          <w:lang w:val="en-GB"/>
        </w:rPr>
      </w:pPr>
      <w:r w:rsidRPr="00C70ACA">
        <w:rPr>
          <w:noProof/>
          <w:lang w:val="it-IT" w:eastAsia="it-IT"/>
        </w:rPr>
        <w:drawing>
          <wp:inline distT="0" distB="0" distL="0" distR="0" wp14:anchorId="4D90F25A" wp14:editId="53AD597F">
            <wp:extent cx="2520000" cy="1800000"/>
            <wp:effectExtent l="19050" t="19050" r="13970" b="1016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1"/>
                    <a:stretch>
                      <a:fillRect/>
                    </a:stretch>
                  </pic:blipFill>
                  <pic:spPr bwMode="auto">
                    <a:xfrm>
                      <a:off x="0" y="0"/>
                      <a:ext cx="2520000" cy="1800000"/>
                    </a:xfrm>
                    <a:prstGeom prst="rect">
                      <a:avLst/>
                    </a:prstGeom>
                    <a:noFill/>
                    <a:ln>
                      <a:solidFill>
                        <a:schemeClr val="bg1"/>
                      </a:solidFill>
                    </a:ln>
                  </pic:spPr>
                </pic:pic>
              </a:graphicData>
            </a:graphic>
          </wp:inline>
        </w:drawing>
      </w:r>
    </w:p>
    <w:p w14:paraId="307E763B" w14:textId="0ED206CB" w:rsidR="00B97B23" w:rsidRPr="00C70ACA" w:rsidRDefault="00554A4D" w:rsidP="00146602">
      <w:pPr>
        <w:pStyle w:val="CETCaption"/>
      </w:pPr>
      <w:r w:rsidRPr="00C70ACA">
        <w:t xml:space="preserve">Figure </w:t>
      </w:r>
      <w:r w:rsidR="006702CE">
        <w:t>2</w:t>
      </w:r>
      <w:r w:rsidRPr="00C70ACA">
        <w:t xml:space="preserve">: weight loss vs temperature </w:t>
      </w:r>
      <w:r w:rsidR="00A3420C" w:rsidRPr="00C70ACA">
        <w:t>(isothermal tests</w:t>
      </w:r>
      <w:r w:rsidR="00C27618">
        <w:t xml:space="preserve"> – after 60 min. in air</w:t>
      </w:r>
      <w:r w:rsidR="00A3420C" w:rsidRPr="00C70ACA">
        <w:t>)</w:t>
      </w:r>
    </w:p>
    <w:p w14:paraId="36176D2A" w14:textId="3EBF343A" w:rsidR="0053013D" w:rsidRPr="00C70ACA" w:rsidRDefault="0053013D" w:rsidP="0053013D">
      <w:pPr>
        <w:pStyle w:val="CETBodytext"/>
        <w:rPr>
          <w:lang w:val="en-GB"/>
        </w:rPr>
      </w:pPr>
      <w:r w:rsidRPr="00C70ACA">
        <w:rPr>
          <w:lang w:val="en-GB"/>
        </w:rPr>
        <w:t>As expected, for both kinds of graphite, the oxidation extent increase</w:t>
      </w:r>
      <w:r w:rsidR="00B96115" w:rsidRPr="00C70ACA">
        <w:rPr>
          <w:lang w:val="en-GB"/>
        </w:rPr>
        <w:t>d</w:t>
      </w:r>
      <w:r w:rsidRPr="00C70ACA">
        <w:rPr>
          <w:lang w:val="en-GB"/>
        </w:rPr>
        <w:t xml:space="preserve"> with temperature</w:t>
      </w:r>
      <w:r w:rsidR="00593BCE" w:rsidRPr="00C70ACA">
        <w:rPr>
          <w:lang w:val="en-GB"/>
        </w:rPr>
        <w:t>, being the most important parameter</w:t>
      </w:r>
      <w:r w:rsidRPr="00C70ACA">
        <w:rPr>
          <w:lang w:val="en-GB"/>
        </w:rPr>
        <w:t>.</w:t>
      </w:r>
      <w:r w:rsidR="00D34DA3" w:rsidRPr="00C70ACA">
        <w:rPr>
          <w:lang w:val="en-GB"/>
        </w:rPr>
        <w:t xml:space="preserve"> For both graphite grades, after one hour of test in air, the extent of mass loss </w:t>
      </w:r>
      <w:r w:rsidR="005C08DE" w:rsidRPr="00C70ACA">
        <w:rPr>
          <w:lang w:val="en-GB"/>
        </w:rPr>
        <w:t>was</w:t>
      </w:r>
      <w:r w:rsidR="00D34DA3" w:rsidRPr="00C70ACA">
        <w:rPr>
          <w:lang w:val="en-GB"/>
        </w:rPr>
        <w:t xml:space="preserve"> quite low </w:t>
      </w:r>
      <w:r w:rsidR="002F14A1" w:rsidRPr="00C70ACA">
        <w:rPr>
          <w:lang w:val="en-GB"/>
        </w:rPr>
        <w:t>at</w:t>
      </w:r>
      <w:r w:rsidR="00D34DA3" w:rsidRPr="00C70ACA">
        <w:rPr>
          <w:lang w:val="en-GB"/>
        </w:rPr>
        <w:t xml:space="preserve"> temperatures below 600</w:t>
      </w:r>
      <w:r w:rsidR="007D7389" w:rsidRPr="00C70ACA">
        <w:rPr>
          <w:lang w:val="en-GB"/>
        </w:rPr>
        <w:t xml:space="preserve"> </w:t>
      </w:r>
      <w:r w:rsidR="00D34DA3" w:rsidRPr="00C70ACA">
        <w:rPr>
          <w:lang w:val="en-GB"/>
        </w:rPr>
        <w:t xml:space="preserve">°C, but it </w:t>
      </w:r>
      <w:r w:rsidR="005C08DE" w:rsidRPr="00C70ACA">
        <w:rPr>
          <w:lang w:val="en-GB"/>
        </w:rPr>
        <w:t>was</w:t>
      </w:r>
      <w:r w:rsidR="00D34DA3" w:rsidRPr="00C70ACA">
        <w:rPr>
          <w:lang w:val="en-GB"/>
        </w:rPr>
        <w:t xml:space="preserve"> possible to notice a faster degradation for</w:t>
      </w:r>
      <w:r w:rsidR="00966D23" w:rsidRPr="00C70ACA">
        <w:rPr>
          <w:lang w:val="en-GB"/>
        </w:rPr>
        <w:t xml:space="preserve"> </w:t>
      </w:r>
      <w:proofErr w:type="spellStart"/>
      <w:r w:rsidR="00DE0A17">
        <w:rPr>
          <w:lang w:val="en-GB"/>
        </w:rPr>
        <w:t>Ignalina</w:t>
      </w:r>
      <w:proofErr w:type="spellEnd"/>
      <w:r w:rsidR="00DE0A17">
        <w:rPr>
          <w:lang w:val="en-GB"/>
        </w:rPr>
        <w:t xml:space="preserve"> NPP</w:t>
      </w:r>
      <w:r w:rsidR="00DE0A17" w:rsidRPr="00C70ACA">
        <w:rPr>
          <w:lang w:val="en-GB"/>
        </w:rPr>
        <w:t xml:space="preserve"> </w:t>
      </w:r>
      <w:r w:rsidR="00D34DA3" w:rsidRPr="00C70ACA">
        <w:rPr>
          <w:lang w:val="en-GB"/>
        </w:rPr>
        <w:t>sample</w:t>
      </w:r>
      <w:r w:rsidR="00966D23" w:rsidRPr="00C70ACA">
        <w:rPr>
          <w:lang w:val="en-GB"/>
        </w:rPr>
        <w:t>s</w:t>
      </w:r>
      <w:r w:rsidR="00D34DA3" w:rsidRPr="00C70ACA">
        <w:rPr>
          <w:lang w:val="en-GB"/>
        </w:rPr>
        <w:t>.</w:t>
      </w:r>
      <w:r w:rsidR="003D427B" w:rsidRPr="00C70ACA">
        <w:rPr>
          <w:lang w:val="en-GB"/>
        </w:rPr>
        <w:t xml:space="preserve"> At 650</w:t>
      </w:r>
      <w:r w:rsidR="007D7389" w:rsidRPr="00C70ACA">
        <w:rPr>
          <w:lang w:val="en-GB"/>
        </w:rPr>
        <w:t xml:space="preserve"> </w:t>
      </w:r>
      <w:r w:rsidR="003D427B" w:rsidRPr="00C70ACA">
        <w:rPr>
          <w:lang w:val="en-GB"/>
        </w:rPr>
        <w:t xml:space="preserve">°C it </w:t>
      </w:r>
      <w:r w:rsidR="005C08DE" w:rsidRPr="00C70ACA">
        <w:rPr>
          <w:lang w:val="en-GB"/>
        </w:rPr>
        <w:t>wa</w:t>
      </w:r>
      <w:r w:rsidR="003D427B" w:rsidRPr="00C70ACA">
        <w:rPr>
          <w:lang w:val="en-GB"/>
        </w:rPr>
        <w:t>s</w:t>
      </w:r>
      <w:r w:rsidR="00E31A65" w:rsidRPr="00C70ACA">
        <w:rPr>
          <w:lang w:val="en-GB"/>
        </w:rPr>
        <w:t xml:space="preserve"> </w:t>
      </w:r>
      <w:r w:rsidR="003D427B" w:rsidRPr="00C70ACA">
        <w:rPr>
          <w:lang w:val="en-GB"/>
        </w:rPr>
        <w:t xml:space="preserve">possible to observe a clearer difference between the </w:t>
      </w:r>
      <w:r w:rsidR="000B5480" w:rsidRPr="00C70ACA">
        <w:rPr>
          <w:lang w:val="en-GB"/>
        </w:rPr>
        <w:t>extent</w:t>
      </w:r>
      <w:r w:rsidR="003D427B" w:rsidRPr="00C70ACA">
        <w:rPr>
          <w:lang w:val="en-GB"/>
        </w:rPr>
        <w:t>s of oxidation</w:t>
      </w:r>
      <w:r w:rsidR="007B7AEC" w:rsidRPr="00C70ACA">
        <w:rPr>
          <w:lang w:val="en-GB"/>
        </w:rPr>
        <w:t xml:space="preserve"> of the two types of samples</w:t>
      </w:r>
      <w:r w:rsidR="005C08DE" w:rsidRPr="00C70ACA">
        <w:rPr>
          <w:lang w:val="en-GB"/>
        </w:rPr>
        <w:t xml:space="preserve">, indeed after one hour of test, the oxidation extents of </w:t>
      </w:r>
      <w:proofErr w:type="spellStart"/>
      <w:r w:rsidR="005C08DE" w:rsidRPr="00C70ACA">
        <w:rPr>
          <w:lang w:val="en-GB"/>
        </w:rPr>
        <w:t>Poli</w:t>
      </w:r>
      <w:r w:rsidR="00833AE8" w:rsidRPr="00C70ACA">
        <w:rPr>
          <w:lang w:val="en-GB"/>
        </w:rPr>
        <w:t>mi</w:t>
      </w:r>
      <w:proofErr w:type="spellEnd"/>
      <w:r w:rsidR="005C08DE" w:rsidRPr="00C70ACA">
        <w:rPr>
          <w:lang w:val="en-GB"/>
        </w:rPr>
        <w:t xml:space="preserve"> and </w:t>
      </w:r>
      <w:proofErr w:type="spellStart"/>
      <w:r w:rsidR="00E03B60">
        <w:rPr>
          <w:lang w:val="en-GB"/>
        </w:rPr>
        <w:t>Ignalina</w:t>
      </w:r>
      <w:proofErr w:type="spellEnd"/>
      <w:r w:rsidR="00E03B60">
        <w:rPr>
          <w:lang w:val="en-GB"/>
        </w:rPr>
        <w:t xml:space="preserve"> NPP</w:t>
      </w:r>
      <w:r w:rsidR="00E03B60" w:rsidRPr="00C70ACA">
        <w:rPr>
          <w:lang w:val="en-GB"/>
        </w:rPr>
        <w:t xml:space="preserve"> </w:t>
      </w:r>
      <w:r w:rsidR="005C08DE" w:rsidRPr="00C70ACA">
        <w:rPr>
          <w:lang w:val="en-GB"/>
        </w:rPr>
        <w:t>graphite were respectively about 4</w:t>
      </w:r>
      <w:r w:rsidR="008B0548" w:rsidRPr="00C70ACA">
        <w:rPr>
          <w:lang w:val="en-GB"/>
        </w:rPr>
        <w:t xml:space="preserve"> </w:t>
      </w:r>
      <w:r w:rsidR="005C08DE" w:rsidRPr="00C70ACA">
        <w:rPr>
          <w:lang w:val="en-GB"/>
        </w:rPr>
        <w:t>% and 8</w:t>
      </w:r>
      <w:r w:rsidR="008B0548" w:rsidRPr="00C70ACA">
        <w:rPr>
          <w:lang w:val="en-GB"/>
        </w:rPr>
        <w:t xml:space="preserve"> </w:t>
      </w:r>
      <w:r w:rsidR="005C08DE" w:rsidRPr="00C70ACA">
        <w:rPr>
          <w:lang w:val="en-GB"/>
        </w:rPr>
        <w:t>%</w:t>
      </w:r>
      <w:r w:rsidR="007B3E6D" w:rsidRPr="00C70ACA">
        <w:rPr>
          <w:lang w:val="en-GB"/>
        </w:rPr>
        <w:t xml:space="preserve"> by weight.</w:t>
      </w:r>
    </w:p>
    <w:p w14:paraId="42CB140D" w14:textId="3A5B64A9" w:rsidR="00D1125F" w:rsidRDefault="00D94373" w:rsidP="0053013D">
      <w:pPr>
        <w:pStyle w:val="CETBodytext"/>
        <w:rPr>
          <w:lang w:val="en-GB"/>
        </w:rPr>
      </w:pPr>
      <w:r w:rsidRPr="00C70ACA">
        <w:rPr>
          <w:lang w:val="en-GB"/>
        </w:rPr>
        <w:t xml:space="preserve">In </w:t>
      </w:r>
      <w:r w:rsidR="00302C5D" w:rsidRPr="00C70ACA">
        <w:rPr>
          <w:lang w:val="en-GB"/>
        </w:rPr>
        <w:t>T</w:t>
      </w:r>
      <w:r w:rsidRPr="00C70ACA">
        <w:rPr>
          <w:lang w:val="en-GB"/>
        </w:rPr>
        <w:t>able</w:t>
      </w:r>
      <w:r w:rsidR="00302C5D" w:rsidRPr="00C70ACA">
        <w:rPr>
          <w:lang w:val="en-GB"/>
        </w:rPr>
        <w:t xml:space="preserve"> 1</w:t>
      </w:r>
      <w:r w:rsidRPr="00C70ACA">
        <w:rPr>
          <w:lang w:val="en-GB"/>
        </w:rPr>
        <w:t xml:space="preserve">, a comparison between the weight loss extents recorded for the two </w:t>
      </w:r>
      <w:proofErr w:type="spellStart"/>
      <w:r w:rsidRPr="00C70ACA">
        <w:rPr>
          <w:lang w:val="en-GB"/>
        </w:rPr>
        <w:t>graphite</w:t>
      </w:r>
      <w:r w:rsidR="00B26A11" w:rsidRPr="00C70ACA">
        <w:rPr>
          <w:lang w:val="en-GB"/>
        </w:rPr>
        <w:t>s</w:t>
      </w:r>
      <w:proofErr w:type="spellEnd"/>
      <w:r w:rsidRPr="00C70ACA">
        <w:rPr>
          <w:lang w:val="en-GB"/>
        </w:rPr>
        <w:t xml:space="preserve"> at the end of isothermal tests</w:t>
      </w:r>
      <w:r w:rsidR="00162A41" w:rsidRPr="00C70ACA">
        <w:rPr>
          <w:lang w:val="en-GB"/>
        </w:rPr>
        <w:t xml:space="preserve"> (after 180 min</w:t>
      </w:r>
      <w:r w:rsidR="00D75868" w:rsidRPr="00C70ACA">
        <w:rPr>
          <w:lang w:val="en-GB"/>
        </w:rPr>
        <w:t>.</w:t>
      </w:r>
      <w:r w:rsidR="00162A41" w:rsidRPr="00C70ACA">
        <w:rPr>
          <w:lang w:val="en-GB"/>
        </w:rPr>
        <w:t xml:space="preserve"> in air)</w:t>
      </w:r>
      <w:r w:rsidRPr="00C70ACA">
        <w:rPr>
          <w:lang w:val="en-GB"/>
        </w:rPr>
        <w:t xml:space="preserve"> at the same temperatures are reported.</w:t>
      </w:r>
    </w:p>
    <w:p w14:paraId="5F318CB2" w14:textId="0AEF78AF" w:rsidR="001E32DA" w:rsidRDefault="001E32DA" w:rsidP="0053013D">
      <w:pPr>
        <w:pStyle w:val="CETBodytext"/>
        <w:rPr>
          <w:lang w:val="en-GB"/>
        </w:rPr>
      </w:pPr>
    </w:p>
    <w:p w14:paraId="1FF59A42" w14:textId="77777777" w:rsidR="001E32DA" w:rsidRPr="00C70ACA" w:rsidRDefault="001E32DA" w:rsidP="0053013D">
      <w:pPr>
        <w:pStyle w:val="CETBodytext"/>
        <w:rPr>
          <w:lang w:val="en-GB"/>
        </w:rPr>
      </w:pPr>
    </w:p>
    <w:p w14:paraId="75249AE9" w14:textId="66899D84" w:rsidR="00162A41" w:rsidRPr="00C70ACA" w:rsidRDefault="00162A41" w:rsidP="008E18E0">
      <w:pPr>
        <w:pStyle w:val="CETTabletitle"/>
      </w:pPr>
      <w:r w:rsidRPr="00C70ACA">
        <w:lastRenderedPageBreak/>
        <w:t xml:space="preserve">Table </w:t>
      </w:r>
      <w:r w:rsidRPr="00C70ACA">
        <w:fldChar w:fldCharType="begin"/>
      </w:r>
      <w:r w:rsidRPr="00C70ACA">
        <w:instrText xml:space="preserve"> SEQ Table \* ARABIC </w:instrText>
      </w:r>
      <w:r w:rsidRPr="00C70ACA">
        <w:fldChar w:fldCharType="separate"/>
      </w:r>
      <w:r w:rsidR="006702CE">
        <w:rPr>
          <w:noProof/>
        </w:rPr>
        <w:t>1</w:t>
      </w:r>
      <w:r w:rsidRPr="00C70ACA">
        <w:fldChar w:fldCharType="end"/>
      </w:r>
      <w:r w:rsidRPr="00C70ACA">
        <w:t>: comparison between weight loss extents</w:t>
      </w:r>
      <w:r w:rsidR="00445035" w:rsidRPr="00C70ACA">
        <w:t xml:space="preserve"> at the end of the tests</w:t>
      </w:r>
      <w:r w:rsidR="00C27618">
        <w:t xml:space="preserve"> </w:t>
      </w:r>
      <w:r w:rsidR="00C27618" w:rsidRPr="00C27618">
        <w:t xml:space="preserve">(isothermal tests – after </w:t>
      </w:r>
      <w:r w:rsidR="00C27618">
        <w:t>180</w:t>
      </w:r>
      <w:r w:rsidR="00C27618" w:rsidRPr="00C27618">
        <w:t xml:space="preserve"> min. in air)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tblGrid>
      <w:tr w:rsidR="00162A41" w:rsidRPr="00C70ACA" w14:paraId="24BAD0F7" w14:textId="77777777" w:rsidTr="00615DEC">
        <w:tc>
          <w:tcPr>
            <w:tcW w:w="1134" w:type="dxa"/>
            <w:tcBorders>
              <w:top w:val="single" w:sz="12" w:space="0" w:color="008000"/>
              <w:bottom w:val="single" w:sz="6" w:space="0" w:color="008000"/>
            </w:tcBorders>
            <w:shd w:val="clear" w:color="auto" w:fill="FFFFFF"/>
          </w:tcPr>
          <w:p w14:paraId="1857DCA0" w14:textId="77777777" w:rsidR="00162A41" w:rsidRPr="00C70ACA" w:rsidRDefault="00162A41" w:rsidP="00615DEC">
            <w:bookmarkStart w:id="1" w:name="_Hlk91809787"/>
            <w:r w:rsidRPr="00C70ACA">
              <w:t>Temperature</w:t>
            </w:r>
          </w:p>
          <w:p w14:paraId="7DB7A2E3" w14:textId="77777777" w:rsidR="00162A41" w:rsidRPr="00C70ACA" w:rsidRDefault="00162A41" w:rsidP="00615DEC">
            <w:pPr>
              <w:pStyle w:val="CETBodytext"/>
              <w:rPr>
                <w:lang w:val="en-GB"/>
              </w:rPr>
            </w:pPr>
            <w:r w:rsidRPr="00C70ACA">
              <w:rPr>
                <w:lang w:val="en-GB"/>
              </w:rPr>
              <w:t>[°C]</w:t>
            </w:r>
          </w:p>
        </w:tc>
        <w:tc>
          <w:tcPr>
            <w:tcW w:w="1134" w:type="dxa"/>
            <w:tcBorders>
              <w:top w:val="single" w:sz="12" w:space="0" w:color="008000"/>
              <w:bottom w:val="single" w:sz="6" w:space="0" w:color="008000"/>
            </w:tcBorders>
            <w:shd w:val="clear" w:color="auto" w:fill="FFFFFF"/>
          </w:tcPr>
          <w:p w14:paraId="08F0EA96" w14:textId="264DD05B" w:rsidR="00162A41" w:rsidRPr="00C70ACA" w:rsidRDefault="00162A41" w:rsidP="00615DEC">
            <w:pPr>
              <w:pStyle w:val="CETBodytext"/>
              <w:jc w:val="left"/>
              <w:rPr>
                <w:lang w:val="en-GB"/>
              </w:rPr>
            </w:pPr>
            <w:r w:rsidRPr="00C70ACA">
              <w:rPr>
                <w:lang w:val="en-GB"/>
              </w:rPr>
              <w:t xml:space="preserve">Weight loss </w:t>
            </w:r>
            <w:proofErr w:type="spellStart"/>
            <w:r w:rsidR="007D7389" w:rsidRPr="00C70ACA">
              <w:rPr>
                <w:lang w:val="en-GB"/>
              </w:rPr>
              <w:t>P</w:t>
            </w:r>
            <w:r w:rsidRPr="00C70ACA">
              <w:rPr>
                <w:lang w:val="en-GB"/>
              </w:rPr>
              <w:t>olimi</w:t>
            </w:r>
            <w:proofErr w:type="spellEnd"/>
            <w:r w:rsidRPr="00C70ACA">
              <w:rPr>
                <w:lang w:val="en-GB"/>
              </w:rPr>
              <w:t xml:space="preserve"> [%]</w:t>
            </w:r>
          </w:p>
        </w:tc>
        <w:tc>
          <w:tcPr>
            <w:tcW w:w="1134" w:type="dxa"/>
            <w:tcBorders>
              <w:top w:val="single" w:sz="12" w:space="0" w:color="008000"/>
              <w:bottom w:val="single" w:sz="6" w:space="0" w:color="008000"/>
            </w:tcBorders>
            <w:shd w:val="clear" w:color="auto" w:fill="FFFFFF"/>
          </w:tcPr>
          <w:p w14:paraId="1D642362" w14:textId="5F7561DD" w:rsidR="00162A41" w:rsidRPr="00C70ACA" w:rsidRDefault="00162A41" w:rsidP="00615DEC">
            <w:pPr>
              <w:jc w:val="left"/>
            </w:pPr>
            <w:r w:rsidRPr="00C70ACA">
              <w:t xml:space="preserve">Weight loss </w:t>
            </w:r>
            <w:proofErr w:type="spellStart"/>
            <w:r w:rsidR="00E03B60">
              <w:t>Ignalina</w:t>
            </w:r>
            <w:proofErr w:type="spellEnd"/>
            <w:r w:rsidR="00E03B60">
              <w:t xml:space="preserve"> NPP</w:t>
            </w:r>
            <w:r w:rsidRPr="00C70ACA">
              <w:t xml:space="preserve"> [%]</w:t>
            </w:r>
          </w:p>
          <w:p w14:paraId="25AE247F" w14:textId="77777777" w:rsidR="00162A41" w:rsidRPr="00C70ACA" w:rsidRDefault="00162A41" w:rsidP="00615DEC">
            <w:pPr>
              <w:pStyle w:val="CETBodytext"/>
              <w:rPr>
                <w:lang w:val="en-GB"/>
              </w:rPr>
            </w:pPr>
          </w:p>
        </w:tc>
      </w:tr>
      <w:tr w:rsidR="00162A41" w:rsidRPr="00C70ACA" w14:paraId="0228BB59" w14:textId="77777777" w:rsidTr="00615DEC">
        <w:trPr>
          <w:trHeight w:val="767"/>
        </w:trPr>
        <w:tc>
          <w:tcPr>
            <w:tcW w:w="1134" w:type="dxa"/>
            <w:shd w:val="clear" w:color="auto" w:fill="FFFFFF"/>
          </w:tcPr>
          <w:p w14:paraId="2DEF4961" w14:textId="77777777" w:rsidR="00162A41" w:rsidRPr="00C70ACA" w:rsidRDefault="00162A41" w:rsidP="00615DEC">
            <w:r w:rsidRPr="00C70ACA">
              <w:t>550</w:t>
            </w:r>
          </w:p>
          <w:p w14:paraId="4FDEEA2D" w14:textId="77777777" w:rsidR="00162A41" w:rsidRPr="00C70ACA" w:rsidRDefault="00162A41" w:rsidP="00615DEC">
            <w:pPr>
              <w:pStyle w:val="CETBodytext"/>
              <w:rPr>
                <w:lang w:val="en-GB"/>
              </w:rPr>
            </w:pPr>
            <w:r w:rsidRPr="00C70ACA">
              <w:rPr>
                <w:lang w:val="en-GB"/>
              </w:rPr>
              <w:t>600</w:t>
            </w:r>
          </w:p>
          <w:p w14:paraId="35CA9551" w14:textId="77777777" w:rsidR="00162A41" w:rsidRPr="00C70ACA" w:rsidRDefault="00162A41" w:rsidP="00615DEC">
            <w:pPr>
              <w:pStyle w:val="CETBodytext"/>
              <w:rPr>
                <w:lang w:val="en-GB"/>
              </w:rPr>
            </w:pPr>
            <w:r w:rsidRPr="00C70ACA">
              <w:rPr>
                <w:lang w:val="en-GB"/>
              </w:rPr>
              <w:t>650</w:t>
            </w:r>
          </w:p>
        </w:tc>
        <w:tc>
          <w:tcPr>
            <w:tcW w:w="1134" w:type="dxa"/>
            <w:shd w:val="clear" w:color="auto" w:fill="FFFFFF"/>
          </w:tcPr>
          <w:p w14:paraId="37CF1D84" w14:textId="77777777" w:rsidR="00162A41" w:rsidRPr="00C70ACA" w:rsidRDefault="00162A41" w:rsidP="00615DEC">
            <w:pPr>
              <w:pStyle w:val="CETBodytext"/>
              <w:rPr>
                <w:lang w:val="en-GB"/>
              </w:rPr>
            </w:pPr>
            <w:r w:rsidRPr="00C70ACA">
              <w:rPr>
                <w:lang w:val="en-GB"/>
              </w:rPr>
              <w:t>1.3</w:t>
            </w:r>
          </w:p>
          <w:p w14:paraId="1FAC29AC" w14:textId="77777777" w:rsidR="00162A41" w:rsidRPr="00C70ACA" w:rsidRDefault="00162A41" w:rsidP="00615DEC">
            <w:pPr>
              <w:pStyle w:val="CETBodytext"/>
              <w:rPr>
                <w:lang w:val="en-GB"/>
              </w:rPr>
            </w:pPr>
            <w:r w:rsidRPr="00C70ACA">
              <w:rPr>
                <w:lang w:val="en-GB"/>
              </w:rPr>
              <w:t>4.0</w:t>
            </w:r>
          </w:p>
          <w:p w14:paraId="2AC7615C" w14:textId="77777777" w:rsidR="00162A41" w:rsidRPr="00C70ACA" w:rsidRDefault="00162A41" w:rsidP="00615DEC">
            <w:pPr>
              <w:pStyle w:val="CETBodytext"/>
              <w:rPr>
                <w:lang w:val="en-GB"/>
              </w:rPr>
            </w:pPr>
            <w:r w:rsidRPr="00C70ACA">
              <w:rPr>
                <w:lang w:val="en-GB"/>
              </w:rPr>
              <w:t>14.2</w:t>
            </w:r>
          </w:p>
        </w:tc>
        <w:tc>
          <w:tcPr>
            <w:tcW w:w="1134" w:type="dxa"/>
            <w:shd w:val="clear" w:color="auto" w:fill="FFFFFF"/>
          </w:tcPr>
          <w:p w14:paraId="3DEED0E7" w14:textId="77777777" w:rsidR="00162A41" w:rsidRPr="00C70ACA" w:rsidRDefault="00162A41" w:rsidP="00615DEC">
            <w:pPr>
              <w:pStyle w:val="CETBodytext"/>
              <w:rPr>
                <w:lang w:val="en-GB"/>
              </w:rPr>
            </w:pPr>
            <w:r w:rsidRPr="00C70ACA">
              <w:rPr>
                <w:lang w:val="en-GB"/>
              </w:rPr>
              <w:t>1.8</w:t>
            </w:r>
          </w:p>
          <w:p w14:paraId="0DD0F687" w14:textId="77777777" w:rsidR="00162A41" w:rsidRPr="00C70ACA" w:rsidRDefault="00162A41" w:rsidP="00615DEC">
            <w:pPr>
              <w:pStyle w:val="CETBodytext"/>
              <w:rPr>
                <w:lang w:val="en-GB"/>
              </w:rPr>
            </w:pPr>
            <w:r w:rsidRPr="00C70ACA">
              <w:rPr>
                <w:lang w:val="en-GB"/>
              </w:rPr>
              <w:t>9.8</w:t>
            </w:r>
          </w:p>
          <w:p w14:paraId="248E4CE5" w14:textId="77777777" w:rsidR="00162A41" w:rsidRPr="00C70ACA" w:rsidRDefault="00162A41" w:rsidP="00615DEC">
            <w:pPr>
              <w:pStyle w:val="CETBodytext"/>
              <w:rPr>
                <w:lang w:val="en-GB"/>
              </w:rPr>
            </w:pPr>
            <w:r w:rsidRPr="00C70ACA">
              <w:rPr>
                <w:lang w:val="en-GB"/>
              </w:rPr>
              <w:t>24.8</w:t>
            </w:r>
          </w:p>
        </w:tc>
      </w:tr>
      <w:bookmarkEnd w:id="1"/>
    </w:tbl>
    <w:p w14:paraId="5A59DCEB" w14:textId="77777777" w:rsidR="00162A41" w:rsidRPr="00C70ACA" w:rsidRDefault="00162A41" w:rsidP="0053013D">
      <w:pPr>
        <w:pStyle w:val="CETBodytext"/>
        <w:rPr>
          <w:lang w:val="en-GB"/>
        </w:rPr>
      </w:pPr>
    </w:p>
    <w:p w14:paraId="4B8DAB3F" w14:textId="5781BC03" w:rsidR="003F2217" w:rsidRPr="00C70ACA" w:rsidRDefault="0053013D" w:rsidP="0053013D">
      <w:pPr>
        <w:pStyle w:val="CETBodytext"/>
        <w:rPr>
          <w:lang w:val="en-GB"/>
        </w:rPr>
      </w:pPr>
      <w:r w:rsidRPr="00C70ACA">
        <w:rPr>
          <w:lang w:val="en-GB"/>
        </w:rPr>
        <w:t>Concerning graphite samples from the</w:t>
      </w:r>
      <w:r w:rsidR="007D7389" w:rsidRPr="00C70ACA">
        <w:rPr>
          <w:lang w:val="en-GB"/>
        </w:rPr>
        <w:t xml:space="preserve"> </w:t>
      </w:r>
      <w:proofErr w:type="spellStart"/>
      <w:r w:rsidR="007D7389" w:rsidRPr="00C70ACA">
        <w:rPr>
          <w:lang w:val="en-GB"/>
        </w:rPr>
        <w:t>Polimi</w:t>
      </w:r>
      <w:proofErr w:type="spellEnd"/>
      <w:r w:rsidRPr="00C70ACA">
        <w:rPr>
          <w:lang w:val="en-GB"/>
        </w:rPr>
        <w:t xml:space="preserve"> reactor, </w:t>
      </w:r>
      <w:r w:rsidR="0082501D" w:rsidRPr="00C70ACA">
        <w:rPr>
          <w:lang w:val="en-GB"/>
        </w:rPr>
        <w:t xml:space="preserve">weight loss </w:t>
      </w:r>
      <w:r w:rsidR="00B96115" w:rsidRPr="00C70ACA">
        <w:rPr>
          <w:lang w:val="en-GB"/>
        </w:rPr>
        <w:t>was</w:t>
      </w:r>
      <w:r w:rsidR="0082501D" w:rsidRPr="00C70ACA">
        <w:rPr>
          <w:lang w:val="en-GB"/>
        </w:rPr>
        <w:t xml:space="preserve"> quite stable at 550</w:t>
      </w:r>
      <w:r w:rsidR="007D7389" w:rsidRPr="00C70ACA">
        <w:rPr>
          <w:lang w:val="en-GB"/>
        </w:rPr>
        <w:t xml:space="preserve"> </w:t>
      </w:r>
      <w:r w:rsidR="0082501D" w:rsidRPr="00C70ACA">
        <w:rPr>
          <w:lang w:val="en-GB"/>
        </w:rPr>
        <w:t>-</w:t>
      </w:r>
      <w:r w:rsidR="008B0548" w:rsidRPr="00C70ACA">
        <w:rPr>
          <w:lang w:val="en-GB"/>
        </w:rPr>
        <w:t xml:space="preserve"> </w:t>
      </w:r>
      <w:r w:rsidR="0082501D" w:rsidRPr="00C70ACA">
        <w:rPr>
          <w:lang w:val="en-GB"/>
        </w:rPr>
        <w:t>600</w:t>
      </w:r>
      <w:r w:rsidR="007D7389" w:rsidRPr="00C70ACA">
        <w:rPr>
          <w:lang w:val="en-GB"/>
        </w:rPr>
        <w:t xml:space="preserve"> </w:t>
      </w:r>
      <w:r w:rsidR="0082501D" w:rsidRPr="00C70ACA">
        <w:rPr>
          <w:lang w:val="en-GB"/>
        </w:rPr>
        <w:t>°C</w:t>
      </w:r>
      <w:r w:rsidR="006D0010" w:rsidRPr="00C70ACA">
        <w:rPr>
          <w:lang w:val="en-GB"/>
        </w:rPr>
        <w:t>, being the values reached at the end of tests, after 180 min, less than 4</w:t>
      </w:r>
      <w:r w:rsidR="008B0548" w:rsidRPr="00C70ACA">
        <w:rPr>
          <w:lang w:val="en-GB"/>
        </w:rPr>
        <w:t xml:space="preserve"> </w:t>
      </w:r>
      <w:proofErr w:type="spellStart"/>
      <w:r w:rsidR="007D7389" w:rsidRPr="00C70ACA">
        <w:rPr>
          <w:lang w:val="en-GB"/>
        </w:rPr>
        <w:t>wt</w:t>
      </w:r>
      <w:proofErr w:type="spellEnd"/>
      <w:r w:rsidR="006D0010" w:rsidRPr="00C70ACA">
        <w:rPr>
          <w:lang w:val="en-GB"/>
        </w:rPr>
        <w:t>%. Oxidation rates</w:t>
      </w:r>
      <w:r w:rsidR="0082501D" w:rsidRPr="00C70ACA">
        <w:rPr>
          <w:lang w:val="en-GB"/>
        </w:rPr>
        <w:t xml:space="preserve"> sharply increase</w:t>
      </w:r>
      <w:r w:rsidR="00B96115" w:rsidRPr="00C70ACA">
        <w:rPr>
          <w:lang w:val="en-GB"/>
        </w:rPr>
        <w:t>d</w:t>
      </w:r>
      <w:r w:rsidR="0082501D" w:rsidRPr="00C70ACA">
        <w:rPr>
          <w:lang w:val="en-GB"/>
        </w:rPr>
        <w:t xml:space="preserve"> at temperatures above </w:t>
      </w:r>
      <w:r w:rsidR="00C32444" w:rsidRPr="00C70ACA">
        <w:rPr>
          <w:lang w:val="en-GB"/>
        </w:rPr>
        <w:t>65</w:t>
      </w:r>
      <w:r w:rsidR="0082501D" w:rsidRPr="00C70ACA">
        <w:rPr>
          <w:lang w:val="en-GB"/>
        </w:rPr>
        <w:t>0</w:t>
      </w:r>
      <w:r w:rsidR="000B63CF" w:rsidRPr="00C70ACA">
        <w:rPr>
          <w:lang w:val="en-GB"/>
        </w:rPr>
        <w:t xml:space="preserve"> </w:t>
      </w:r>
      <w:r w:rsidR="0082501D" w:rsidRPr="00C70ACA">
        <w:rPr>
          <w:lang w:val="en-GB"/>
        </w:rPr>
        <w:t>°C</w:t>
      </w:r>
      <w:r w:rsidR="00814EA6" w:rsidRPr="00C70ACA">
        <w:rPr>
          <w:lang w:val="en-GB"/>
        </w:rPr>
        <w:t>,</w:t>
      </w:r>
      <w:r w:rsidR="00250E17" w:rsidRPr="00C70ACA">
        <w:rPr>
          <w:lang w:val="en-GB"/>
        </w:rPr>
        <w:t xml:space="preserve"> </w:t>
      </w:r>
      <w:r w:rsidR="001D4A7D" w:rsidRPr="00C70ACA">
        <w:rPr>
          <w:lang w:val="en-GB"/>
        </w:rPr>
        <w:t xml:space="preserve">mass losses at the end of tests at 700 °C and 725 °C were respectively </w:t>
      </w:r>
      <w:r w:rsidR="00ED1809" w:rsidRPr="00C70ACA">
        <w:rPr>
          <w:lang w:val="en-GB"/>
        </w:rPr>
        <w:t>53</w:t>
      </w:r>
      <w:r w:rsidR="008B0548" w:rsidRPr="00C70ACA">
        <w:rPr>
          <w:lang w:val="en-GB"/>
        </w:rPr>
        <w:t xml:space="preserve"> </w:t>
      </w:r>
      <w:proofErr w:type="spellStart"/>
      <w:r w:rsidR="007D7389" w:rsidRPr="00C70ACA">
        <w:rPr>
          <w:lang w:val="en-GB"/>
        </w:rPr>
        <w:t>wt</w:t>
      </w:r>
      <w:proofErr w:type="spellEnd"/>
      <w:r w:rsidR="00ED1809" w:rsidRPr="00C70ACA">
        <w:rPr>
          <w:lang w:val="en-GB"/>
        </w:rPr>
        <w:t xml:space="preserve">% and </w:t>
      </w:r>
      <w:r w:rsidR="008E18E0" w:rsidRPr="00C70ACA">
        <w:rPr>
          <w:lang w:val="en-GB"/>
        </w:rPr>
        <w:t>85</w:t>
      </w:r>
      <w:r w:rsidR="008B0548" w:rsidRPr="00C70ACA">
        <w:rPr>
          <w:lang w:val="en-GB"/>
        </w:rPr>
        <w:t xml:space="preserve"> </w:t>
      </w:r>
      <w:proofErr w:type="spellStart"/>
      <w:r w:rsidR="006E69DF" w:rsidRPr="00C70ACA">
        <w:rPr>
          <w:lang w:val="en-GB"/>
        </w:rPr>
        <w:t>wt</w:t>
      </w:r>
      <w:proofErr w:type="spellEnd"/>
      <w:r w:rsidR="008E18E0" w:rsidRPr="00C70ACA">
        <w:rPr>
          <w:lang w:val="en-GB"/>
        </w:rPr>
        <w:t>%</w:t>
      </w:r>
      <w:r w:rsidR="00250E17" w:rsidRPr="00C70ACA">
        <w:rPr>
          <w:lang w:val="en-GB"/>
        </w:rPr>
        <w:t xml:space="preserve"> with oxidation rates of an order of magnitude higher than the one calculated at 650 °C. </w:t>
      </w:r>
    </w:p>
    <w:p w14:paraId="521B0EFA" w14:textId="6ABEA277" w:rsidR="001E146C" w:rsidRPr="00C70ACA" w:rsidRDefault="00E03B60" w:rsidP="0053013D">
      <w:pPr>
        <w:pStyle w:val="CETBodytext"/>
        <w:rPr>
          <w:lang w:val="en-GB"/>
        </w:rPr>
      </w:pPr>
      <w:proofErr w:type="spellStart"/>
      <w:r>
        <w:rPr>
          <w:lang w:val="en-GB"/>
        </w:rPr>
        <w:t>Ignalina</w:t>
      </w:r>
      <w:proofErr w:type="spellEnd"/>
      <w:r>
        <w:rPr>
          <w:lang w:val="en-GB"/>
        </w:rPr>
        <w:t xml:space="preserve"> NPP</w:t>
      </w:r>
      <w:r w:rsidR="007D1B5F" w:rsidRPr="00C70ACA">
        <w:rPr>
          <w:lang w:val="en-GB"/>
        </w:rPr>
        <w:t xml:space="preserve"> samples showed a good resistance to oxidation at 550 °C, indeed, also in this case the percentage of weight loss at the end of the </w:t>
      </w:r>
      <w:r w:rsidR="00E530E7" w:rsidRPr="00C70ACA">
        <w:rPr>
          <w:lang w:val="en-GB"/>
        </w:rPr>
        <w:t>test wa</w:t>
      </w:r>
      <w:r w:rsidR="007F3B04" w:rsidRPr="00C70ACA">
        <w:rPr>
          <w:lang w:val="en-GB"/>
        </w:rPr>
        <w:t>s lower than 2</w:t>
      </w:r>
      <w:r w:rsidR="008B0548" w:rsidRPr="00C70ACA">
        <w:rPr>
          <w:lang w:val="en-GB"/>
        </w:rPr>
        <w:t xml:space="preserve"> </w:t>
      </w:r>
      <w:proofErr w:type="spellStart"/>
      <w:r w:rsidR="00584D4D" w:rsidRPr="00C70ACA">
        <w:rPr>
          <w:lang w:val="en-GB"/>
        </w:rPr>
        <w:t>wt</w:t>
      </w:r>
      <w:proofErr w:type="spellEnd"/>
      <w:r w:rsidR="007F3B04" w:rsidRPr="00C70ACA">
        <w:rPr>
          <w:lang w:val="en-GB"/>
        </w:rPr>
        <w:t>%, but from 600 °C samples oxid</w:t>
      </w:r>
      <w:r w:rsidR="00FD1628" w:rsidRPr="00C70ACA">
        <w:rPr>
          <w:lang w:val="en-GB"/>
        </w:rPr>
        <w:t>i</w:t>
      </w:r>
      <w:r w:rsidR="00BC3529" w:rsidRPr="00C70ACA">
        <w:rPr>
          <w:lang w:val="en-GB"/>
        </w:rPr>
        <w:t>s</w:t>
      </w:r>
      <w:r w:rsidR="00FD1628" w:rsidRPr="00C70ACA">
        <w:rPr>
          <w:lang w:val="en-GB"/>
        </w:rPr>
        <w:t>ed</w:t>
      </w:r>
      <w:r w:rsidR="007F3B04" w:rsidRPr="00C70ACA">
        <w:rPr>
          <w:lang w:val="en-GB"/>
        </w:rPr>
        <w:t xml:space="preserve"> with a faster rate, reaching a weight loss of </w:t>
      </w:r>
      <w:r w:rsidR="005020F6" w:rsidRPr="00C70ACA">
        <w:rPr>
          <w:lang w:val="en-GB"/>
        </w:rPr>
        <w:t xml:space="preserve">about </w:t>
      </w:r>
      <w:r w:rsidR="007F3B04" w:rsidRPr="00C70ACA">
        <w:rPr>
          <w:lang w:val="en-GB"/>
        </w:rPr>
        <w:t>10</w:t>
      </w:r>
      <w:r w:rsidR="008B0548" w:rsidRPr="00C70ACA">
        <w:rPr>
          <w:lang w:val="en-GB"/>
        </w:rPr>
        <w:t xml:space="preserve"> </w:t>
      </w:r>
      <w:proofErr w:type="spellStart"/>
      <w:r w:rsidR="00584D4D" w:rsidRPr="00C70ACA">
        <w:rPr>
          <w:lang w:val="en-GB"/>
        </w:rPr>
        <w:t>wt</w:t>
      </w:r>
      <w:proofErr w:type="spellEnd"/>
      <w:r w:rsidR="007F3B04" w:rsidRPr="00C70ACA">
        <w:rPr>
          <w:lang w:val="en-GB"/>
        </w:rPr>
        <w:t>% at the end of the test.</w:t>
      </w:r>
      <w:r w:rsidR="00271031" w:rsidRPr="00C70ACA">
        <w:rPr>
          <w:lang w:val="en-GB"/>
        </w:rPr>
        <w:t xml:space="preserve"> </w:t>
      </w:r>
      <w:r w:rsidR="007944BF" w:rsidRPr="00C70ACA">
        <w:rPr>
          <w:lang w:val="en-GB"/>
        </w:rPr>
        <w:t>Concerning</w:t>
      </w:r>
      <w:r w:rsidR="0019406B" w:rsidRPr="00C70ACA">
        <w:rPr>
          <w:lang w:val="en-GB"/>
        </w:rPr>
        <w:t xml:space="preserve"> </w:t>
      </w:r>
      <w:r w:rsidR="000C10FA" w:rsidRPr="00C70ACA">
        <w:rPr>
          <w:lang w:val="en-GB"/>
        </w:rPr>
        <w:t>data collected after the</w:t>
      </w:r>
      <w:r w:rsidR="00271031" w:rsidRPr="00C70ACA">
        <w:rPr>
          <w:lang w:val="en-GB"/>
        </w:rPr>
        <w:t xml:space="preserve"> test at 650 °C, the loss extent was about 25</w:t>
      </w:r>
      <w:r w:rsidR="008B0548" w:rsidRPr="00C70ACA">
        <w:rPr>
          <w:lang w:val="en-GB"/>
        </w:rPr>
        <w:t xml:space="preserve"> </w:t>
      </w:r>
      <w:proofErr w:type="spellStart"/>
      <w:r w:rsidR="00584D4D" w:rsidRPr="00C70ACA">
        <w:rPr>
          <w:lang w:val="en-GB"/>
        </w:rPr>
        <w:t>wt</w:t>
      </w:r>
      <w:proofErr w:type="spellEnd"/>
      <w:r w:rsidR="00271031" w:rsidRPr="00C70ACA">
        <w:rPr>
          <w:lang w:val="en-GB"/>
        </w:rPr>
        <w:t>%</w:t>
      </w:r>
      <w:r w:rsidR="00BA3DEC" w:rsidRPr="00C70ACA">
        <w:rPr>
          <w:lang w:val="en-GB"/>
        </w:rPr>
        <w:t xml:space="preserve"> at the end</w:t>
      </w:r>
      <w:r w:rsidR="00271031" w:rsidRPr="00C70ACA">
        <w:rPr>
          <w:lang w:val="en-GB"/>
        </w:rPr>
        <w:t>.</w:t>
      </w:r>
      <w:r w:rsidR="005260ED" w:rsidRPr="00C70ACA">
        <w:rPr>
          <w:lang w:val="en-GB"/>
        </w:rPr>
        <w:t xml:space="preserve"> </w:t>
      </w:r>
      <w:r w:rsidR="001E146C" w:rsidRPr="00C70ACA">
        <w:rPr>
          <w:lang w:val="en-GB"/>
        </w:rPr>
        <w:t xml:space="preserve">In </w:t>
      </w:r>
      <w:r w:rsidR="007C3FD1" w:rsidRPr="00C70ACA">
        <w:rPr>
          <w:lang w:val="en-GB"/>
        </w:rPr>
        <w:t>Figure 3</w:t>
      </w:r>
      <w:r w:rsidR="001E146C" w:rsidRPr="00C70ACA">
        <w:rPr>
          <w:lang w:val="en-GB"/>
        </w:rPr>
        <w:t xml:space="preserve"> the comparison of the oxidation behavio</w:t>
      </w:r>
      <w:r w:rsidR="00817E92" w:rsidRPr="00C70ACA">
        <w:rPr>
          <w:lang w:val="en-GB"/>
        </w:rPr>
        <w:t>u</w:t>
      </w:r>
      <w:r w:rsidR="001E146C" w:rsidRPr="00C70ACA">
        <w:rPr>
          <w:lang w:val="en-GB"/>
        </w:rPr>
        <w:t>rs of the two graphite grades during the isothermal test at 650 °C is shown.</w:t>
      </w:r>
    </w:p>
    <w:p w14:paraId="073C2004" w14:textId="77777777" w:rsidR="00D74C87" w:rsidRPr="00C70ACA" w:rsidRDefault="00D74C87" w:rsidP="0053013D">
      <w:pPr>
        <w:pStyle w:val="CETBodytext"/>
        <w:rPr>
          <w:lang w:val="en-GB"/>
        </w:rPr>
      </w:pPr>
    </w:p>
    <w:p w14:paraId="7D48C7F1" w14:textId="77777777" w:rsidR="00524A19" w:rsidRPr="00C70ACA" w:rsidRDefault="00D74C87" w:rsidP="00524A19">
      <w:pPr>
        <w:pStyle w:val="Didascalia"/>
      </w:pPr>
      <w:r w:rsidRPr="00C70ACA">
        <w:rPr>
          <w:noProof/>
          <w:lang w:val="it-IT" w:eastAsia="it-IT"/>
        </w:rPr>
        <w:drawing>
          <wp:inline distT="0" distB="0" distL="0" distR="0" wp14:anchorId="08ACC3FF" wp14:editId="0A8E2DD2">
            <wp:extent cx="2520000" cy="1800000"/>
            <wp:effectExtent l="19050" t="19050" r="13970" b="1016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magine 8"/>
                    <pic:cNvPicPr preferRelativeResize="0">
                      <a:picLocks noChangeAspect="1" noChangeArrowheads="1"/>
                    </pic:cNvPicPr>
                  </pic:nvPicPr>
                  <pic:blipFill>
                    <a:blip r:embed="rId12"/>
                    <a:stretch>
                      <a:fillRect/>
                    </a:stretch>
                  </pic:blipFill>
                  <pic:spPr bwMode="auto">
                    <a:xfrm>
                      <a:off x="0" y="0"/>
                      <a:ext cx="2520000" cy="1800000"/>
                    </a:xfrm>
                    <a:prstGeom prst="rect">
                      <a:avLst/>
                    </a:prstGeom>
                    <a:noFill/>
                    <a:ln>
                      <a:solidFill>
                        <a:schemeClr val="bg1"/>
                      </a:solidFill>
                    </a:ln>
                  </pic:spPr>
                </pic:pic>
              </a:graphicData>
            </a:graphic>
          </wp:inline>
        </w:drawing>
      </w:r>
    </w:p>
    <w:p w14:paraId="14E9A6FB" w14:textId="1E0D023B" w:rsidR="00D74C87" w:rsidRPr="00C70ACA" w:rsidRDefault="00524A19" w:rsidP="00FC4A0F">
      <w:pPr>
        <w:pStyle w:val="CETCaption"/>
      </w:pPr>
      <w:r w:rsidRPr="00C70ACA">
        <w:t xml:space="preserve">Figure </w:t>
      </w:r>
      <w:r w:rsidR="006702CE">
        <w:t>3</w:t>
      </w:r>
      <w:r w:rsidRPr="00C70ACA">
        <w:t xml:space="preserve">: comparison between </w:t>
      </w:r>
      <w:r w:rsidR="00817E92" w:rsidRPr="00C70ACA">
        <w:t>oxidation behaviours</w:t>
      </w:r>
      <w:r w:rsidRPr="00C70ACA">
        <w:t xml:space="preserve"> (</w:t>
      </w:r>
      <w:r w:rsidR="00D63BEC" w:rsidRPr="00D63BEC">
        <w:t xml:space="preserve">isothermal tests – after 180 min. in air </w:t>
      </w:r>
      <w:r w:rsidR="00D63BEC">
        <w:t xml:space="preserve">at </w:t>
      </w:r>
      <w:r w:rsidRPr="00C70ACA">
        <w:t>650 °C)</w:t>
      </w:r>
    </w:p>
    <w:p w14:paraId="16CED936" w14:textId="7324438D" w:rsidR="00D25CE9" w:rsidRPr="00C70ACA" w:rsidRDefault="008533FA" w:rsidP="0053013D">
      <w:pPr>
        <w:pStyle w:val="CETBodytext"/>
        <w:rPr>
          <w:lang w:val="en-GB"/>
        </w:rPr>
      </w:pPr>
      <w:r w:rsidRPr="00C70ACA">
        <w:rPr>
          <w:lang w:val="en-GB"/>
        </w:rPr>
        <w:t xml:space="preserve">From data collected during isothermal tests, it was </w:t>
      </w:r>
      <w:r w:rsidR="00E547D3" w:rsidRPr="00C70ACA">
        <w:rPr>
          <w:lang w:val="en-GB"/>
        </w:rPr>
        <w:t xml:space="preserve">also </w:t>
      </w:r>
      <w:r w:rsidRPr="00C70ACA">
        <w:rPr>
          <w:lang w:val="en-GB"/>
        </w:rPr>
        <w:t>possible to calculate the kinetic parameters</w:t>
      </w:r>
      <w:r w:rsidR="004177B1" w:rsidRPr="00C70ACA">
        <w:rPr>
          <w:lang w:val="en-GB"/>
        </w:rPr>
        <w:t xml:space="preserve"> of the oxidation reaction</w:t>
      </w:r>
      <w:r w:rsidR="00CD0001" w:rsidRPr="00C70ACA">
        <w:rPr>
          <w:lang w:val="en-GB"/>
        </w:rPr>
        <w:t>, such as oxidation rates and activation energ</w:t>
      </w:r>
      <w:r w:rsidR="006F59B6" w:rsidRPr="00C70ACA">
        <w:rPr>
          <w:lang w:val="en-GB"/>
        </w:rPr>
        <w:t>ies</w:t>
      </w:r>
      <w:r w:rsidR="00CD0001" w:rsidRPr="00C70ACA">
        <w:rPr>
          <w:lang w:val="en-GB"/>
        </w:rPr>
        <w:t>.</w:t>
      </w:r>
    </w:p>
    <w:p w14:paraId="003B7E79" w14:textId="39047A0A" w:rsidR="008533FA" w:rsidRPr="00C70ACA" w:rsidRDefault="00CD0001" w:rsidP="0053013D">
      <w:pPr>
        <w:pStyle w:val="CETBodytext"/>
        <w:rPr>
          <w:lang w:val="en-GB"/>
        </w:rPr>
      </w:pPr>
      <w:r w:rsidRPr="00C70ACA">
        <w:rPr>
          <w:lang w:val="en-GB"/>
        </w:rPr>
        <w:t xml:space="preserve">Calculations </w:t>
      </w:r>
      <w:r w:rsidR="008C0296" w:rsidRPr="00C70ACA">
        <w:rPr>
          <w:lang w:val="en-GB"/>
        </w:rPr>
        <w:t>were done in compliance with the procedure described by ASTM D7542-15</w:t>
      </w:r>
      <w:r w:rsidR="00611F40" w:rsidRPr="00C70ACA">
        <w:rPr>
          <w:lang w:val="en-GB"/>
        </w:rPr>
        <w:t>, so</w:t>
      </w:r>
      <w:r w:rsidR="00330CEE" w:rsidRPr="00C70ACA">
        <w:rPr>
          <w:lang w:val="en-GB"/>
        </w:rPr>
        <w:t xml:space="preserve"> kinetic</w:t>
      </w:r>
      <w:r w:rsidR="00611F40" w:rsidRPr="00C70ACA">
        <w:rPr>
          <w:lang w:val="en-GB"/>
        </w:rPr>
        <w:t xml:space="preserve"> parameters </w:t>
      </w:r>
      <w:r w:rsidR="00330CEE" w:rsidRPr="00C70ACA">
        <w:rPr>
          <w:lang w:val="en-GB"/>
        </w:rPr>
        <w:t xml:space="preserve">and Arrhenius equation were assessed from the temperature </w:t>
      </w:r>
      <w:r w:rsidR="00C03719" w:rsidRPr="00C70ACA">
        <w:rPr>
          <w:lang w:val="en-GB"/>
        </w:rPr>
        <w:t>dependence</w:t>
      </w:r>
      <w:r w:rsidR="00330CEE" w:rsidRPr="00C70ACA">
        <w:rPr>
          <w:lang w:val="en-GB"/>
        </w:rPr>
        <w:t xml:space="preserve"> of </w:t>
      </w:r>
      <w:r w:rsidR="002E4247" w:rsidRPr="00C70ACA">
        <w:rPr>
          <w:lang w:val="en-GB"/>
        </w:rPr>
        <w:t>oxidation rates measured over the temperature range where Arrhenius plots are linear</w:t>
      </w:r>
      <w:r w:rsidR="0054165A" w:rsidRPr="00C70ACA">
        <w:rPr>
          <w:lang w:val="en-GB"/>
        </w:rPr>
        <w:t xml:space="preserve">, usually from 500 </w:t>
      </w:r>
      <w:r w:rsidR="0031040F" w:rsidRPr="00C70ACA">
        <w:rPr>
          <w:lang w:val="en-GB"/>
        </w:rPr>
        <w:t>–</w:t>
      </w:r>
      <w:r w:rsidR="0054165A" w:rsidRPr="00C70ACA">
        <w:rPr>
          <w:lang w:val="en-GB"/>
        </w:rPr>
        <w:t xml:space="preserve"> 550</w:t>
      </w:r>
      <w:r w:rsidR="0031040F" w:rsidRPr="00C70ACA">
        <w:rPr>
          <w:lang w:val="en-GB"/>
        </w:rPr>
        <w:t xml:space="preserve"> °C to 700 – 750 °C</w:t>
      </w:r>
      <w:r w:rsidR="009E6FD4" w:rsidRPr="00C70ACA">
        <w:rPr>
          <w:lang w:val="en-GB"/>
        </w:rPr>
        <w:t xml:space="preserve">. </w:t>
      </w:r>
    </w:p>
    <w:p w14:paraId="45495FC2" w14:textId="0191AA69" w:rsidR="00F16A58" w:rsidRPr="00C70ACA" w:rsidRDefault="0054165A" w:rsidP="0054165A">
      <w:pPr>
        <w:pStyle w:val="CETBodytext"/>
        <w:rPr>
          <w:lang w:val="en-GB"/>
        </w:rPr>
      </w:pPr>
      <w:r w:rsidRPr="00C70ACA">
        <w:rPr>
          <w:lang w:val="en-GB"/>
        </w:rPr>
        <w:t>Rates of weight loss were calculated by a linear fit of the weight</w:t>
      </w:r>
      <w:r w:rsidR="004107D4" w:rsidRPr="00C70ACA">
        <w:rPr>
          <w:lang w:val="en-GB"/>
        </w:rPr>
        <w:t xml:space="preserve"> </w:t>
      </w:r>
      <w:r w:rsidRPr="00C70ACA">
        <w:rPr>
          <w:lang w:val="en-GB"/>
        </w:rPr>
        <w:t>plotted against time</w:t>
      </w:r>
      <w:r w:rsidR="0031040F" w:rsidRPr="00C70ACA">
        <w:rPr>
          <w:lang w:val="en-GB"/>
        </w:rPr>
        <w:t>, the most linear part is usually between 5</w:t>
      </w:r>
      <w:r w:rsidR="00C0011A" w:rsidRPr="00C70ACA">
        <w:rPr>
          <w:lang w:val="en-GB"/>
        </w:rPr>
        <w:t xml:space="preserve"> </w:t>
      </w:r>
      <w:r w:rsidR="0031040F" w:rsidRPr="00C70ACA">
        <w:rPr>
          <w:lang w:val="en-GB"/>
        </w:rPr>
        <w:t>% and 10</w:t>
      </w:r>
      <w:r w:rsidR="00C0011A" w:rsidRPr="00C70ACA">
        <w:rPr>
          <w:lang w:val="en-GB"/>
        </w:rPr>
        <w:t xml:space="preserve"> </w:t>
      </w:r>
      <w:r w:rsidR="0031040F" w:rsidRPr="00C70ACA">
        <w:rPr>
          <w:lang w:val="en-GB"/>
        </w:rPr>
        <w:t>%</w:t>
      </w:r>
      <w:r w:rsidR="00026BB1" w:rsidRPr="00C70ACA">
        <w:rPr>
          <w:lang w:val="en-GB"/>
        </w:rPr>
        <w:t xml:space="preserve"> of the starting mass, since</w:t>
      </w:r>
      <w:r w:rsidR="00AE6419" w:rsidRPr="00C70ACA">
        <w:rPr>
          <w:lang w:val="en-GB"/>
        </w:rPr>
        <w:t xml:space="preserve"> weight loss below 5</w:t>
      </w:r>
      <w:r w:rsidR="00C0011A" w:rsidRPr="00C70ACA">
        <w:rPr>
          <w:lang w:val="en-GB"/>
        </w:rPr>
        <w:t xml:space="preserve"> </w:t>
      </w:r>
      <w:r w:rsidR="00AE6419" w:rsidRPr="00C70ACA">
        <w:rPr>
          <w:lang w:val="en-GB"/>
        </w:rPr>
        <w:t xml:space="preserve">% </w:t>
      </w:r>
      <w:r w:rsidR="00F73930" w:rsidRPr="00C70ACA">
        <w:rPr>
          <w:lang w:val="en-GB"/>
        </w:rPr>
        <w:t>includes a</w:t>
      </w:r>
      <w:r w:rsidR="004107D4" w:rsidRPr="00C70ACA">
        <w:rPr>
          <w:lang w:val="en-GB"/>
        </w:rPr>
        <w:t>n</w:t>
      </w:r>
      <w:r w:rsidR="00F73930" w:rsidRPr="00C70ACA">
        <w:rPr>
          <w:lang w:val="en-GB"/>
        </w:rPr>
        <w:t xml:space="preserve"> induction period where reactive surfaces is created</w:t>
      </w:r>
      <w:r w:rsidR="008A1D7E" w:rsidRPr="00C70ACA">
        <w:rPr>
          <w:lang w:val="en-GB"/>
        </w:rPr>
        <w:t>. On the other hand, for weight losses above 10</w:t>
      </w:r>
      <w:r w:rsidR="00C0011A" w:rsidRPr="00C70ACA">
        <w:rPr>
          <w:lang w:val="en-GB"/>
        </w:rPr>
        <w:t xml:space="preserve"> </w:t>
      </w:r>
      <w:r w:rsidR="008A1D7E" w:rsidRPr="00C70ACA">
        <w:rPr>
          <w:lang w:val="en-GB"/>
        </w:rPr>
        <w:t>%, the samples dimensions could be significantly distorted.</w:t>
      </w:r>
    </w:p>
    <w:p w14:paraId="4D6373AA" w14:textId="7C92E566" w:rsidR="00FB5B69" w:rsidRPr="00C70ACA" w:rsidRDefault="00542C3C" w:rsidP="00542C3C">
      <w:pPr>
        <w:pStyle w:val="CETBodytext"/>
        <w:rPr>
          <w:lang w:val="en-GB"/>
        </w:rPr>
      </w:pPr>
      <w:r w:rsidRPr="00C70ACA">
        <w:rPr>
          <w:lang w:val="en-GB"/>
        </w:rPr>
        <w:t>Weight-normalized oxidation rate (</w:t>
      </w:r>
      <w:proofErr w:type="spellStart"/>
      <w:r w:rsidRPr="00C70ACA">
        <w:rPr>
          <w:lang w:val="en-GB"/>
        </w:rPr>
        <w:t>OR</w:t>
      </w:r>
      <w:r w:rsidRPr="00C70ACA">
        <w:rPr>
          <w:vertAlign w:val="subscript"/>
          <w:lang w:val="en-GB"/>
        </w:rPr>
        <w:t>w</w:t>
      </w:r>
      <w:proofErr w:type="spellEnd"/>
      <w:r w:rsidRPr="00C70ACA">
        <w:rPr>
          <w:lang w:val="en-GB"/>
        </w:rPr>
        <w:t xml:space="preserve">) was calculated dividing the slope of weight loss by the initial weight of specimen, and </w:t>
      </w:r>
      <w:r w:rsidR="00871E94" w:rsidRPr="00C70ACA">
        <w:rPr>
          <w:lang w:val="en-GB"/>
        </w:rPr>
        <w:t>a</w:t>
      </w:r>
      <w:r w:rsidRPr="00C70ACA">
        <w:rPr>
          <w:lang w:val="en-GB"/>
        </w:rPr>
        <w:t>rea-normalized oxidation rate (O</w:t>
      </w:r>
      <w:r w:rsidR="00FB5B69" w:rsidRPr="00C70ACA">
        <w:rPr>
          <w:lang w:val="en-GB"/>
        </w:rPr>
        <w:t>R</w:t>
      </w:r>
      <w:r w:rsidRPr="00C70ACA">
        <w:rPr>
          <w:vertAlign w:val="subscript"/>
          <w:lang w:val="en-GB"/>
        </w:rPr>
        <w:t>A</w:t>
      </w:r>
      <w:r w:rsidRPr="00C70ACA">
        <w:rPr>
          <w:b/>
          <w:bCs/>
          <w:lang w:val="en-GB"/>
        </w:rPr>
        <w:t>)</w:t>
      </w:r>
      <w:r w:rsidRPr="00C70ACA">
        <w:rPr>
          <w:lang w:val="en-GB"/>
        </w:rPr>
        <w:t xml:space="preserve"> was calculated dividing the slope of weight loss by the</w:t>
      </w:r>
      <w:r w:rsidR="00871E94" w:rsidRPr="00C70ACA">
        <w:rPr>
          <w:lang w:val="en-GB"/>
        </w:rPr>
        <w:t xml:space="preserve"> initial</w:t>
      </w:r>
      <w:r w:rsidRPr="00C70ACA">
        <w:rPr>
          <w:lang w:val="en-GB"/>
        </w:rPr>
        <w:t xml:space="preserve"> area of the specimen</w:t>
      </w:r>
      <w:r w:rsidR="00F16A58" w:rsidRPr="00C70ACA">
        <w:rPr>
          <w:lang w:val="en-GB"/>
        </w:rPr>
        <w:t xml:space="preserve">. </w:t>
      </w:r>
    </w:p>
    <w:p w14:paraId="7FA71722" w14:textId="5DB623DA" w:rsidR="00AD4580" w:rsidRDefault="00FB5B69" w:rsidP="009D3F68">
      <w:pPr>
        <w:pStyle w:val="CETBodytext"/>
        <w:rPr>
          <w:lang w:val="en-GB"/>
        </w:rPr>
      </w:pPr>
      <w:r w:rsidRPr="00C70ACA">
        <w:rPr>
          <w:lang w:val="en-GB"/>
        </w:rPr>
        <w:t xml:space="preserve">The rates calculated for </w:t>
      </w:r>
      <w:proofErr w:type="spellStart"/>
      <w:r w:rsidRPr="00C70ACA">
        <w:rPr>
          <w:lang w:val="en-GB"/>
        </w:rPr>
        <w:t>Poli</w:t>
      </w:r>
      <w:r w:rsidR="00C0011A" w:rsidRPr="00C70ACA">
        <w:rPr>
          <w:lang w:val="en-GB"/>
        </w:rPr>
        <w:t>mi</w:t>
      </w:r>
      <w:proofErr w:type="spellEnd"/>
      <w:r w:rsidR="00303266" w:rsidRPr="00C70ACA">
        <w:rPr>
          <w:lang w:val="en-GB"/>
        </w:rPr>
        <w:t xml:space="preserve"> and </w:t>
      </w:r>
      <w:proofErr w:type="spellStart"/>
      <w:r w:rsidR="00E03B60">
        <w:rPr>
          <w:lang w:val="en-GB"/>
        </w:rPr>
        <w:t>Ignalina</w:t>
      </w:r>
      <w:proofErr w:type="spellEnd"/>
      <w:r w:rsidR="00E03B60">
        <w:rPr>
          <w:lang w:val="en-GB"/>
        </w:rPr>
        <w:t xml:space="preserve"> NPP</w:t>
      </w:r>
      <w:r w:rsidR="00E03B60" w:rsidRPr="00C70ACA">
        <w:rPr>
          <w:lang w:val="en-GB"/>
        </w:rPr>
        <w:t xml:space="preserve"> </w:t>
      </w:r>
      <w:r w:rsidRPr="00C70ACA">
        <w:rPr>
          <w:lang w:val="en-GB"/>
        </w:rPr>
        <w:t xml:space="preserve">graphite are reported in the </w:t>
      </w:r>
      <w:r w:rsidR="00C0011A" w:rsidRPr="00C70ACA">
        <w:rPr>
          <w:lang w:val="en-GB"/>
        </w:rPr>
        <w:t>T</w:t>
      </w:r>
      <w:r w:rsidRPr="00C70ACA">
        <w:rPr>
          <w:lang w:val="en-GB"/>
        </w:rPr>
        <w:t>able</w:t>
      </w:r>
      <w:r w:rsidR="00C0011A" w:rsidRPr="00C70ACA">
        <w:rPr>
          <w:lang w:val="en-GB"/>
        </w:rPr>
        <w:t xml:space="preserve"> 2 and 3</w:t>
      </w:r>
      <w:r w:rsidRPr="00C70ACA">
        <w:rPr>
          <w:lang w:val="en-GB"/>
        </w:rPr>
        <w:t>.</w:t>
      </w:r>
      <w:r w:rsidR="00AE2FBF" w:rsidRPr="00C70ACA">
        <w:rPr>
          <w:lang w:val="en-GB"/>
        </w:rPr>
        <w:t xml:space="preserve"> The temperatures at which </w:t>
      </w:r>
      <w:proofErr w:type="spellStart"/>
      <w:r w:rsidR="00E03B60">
        <w:rPr>
          <w:lang w:val="en-GB"/>
        </w:rPr>
        <w:t>Ignalina</w:t>
      </w:r>
      <w:proofErr w:type="spellEnd"/>
      <w:r w:rsidR="00E03B60">
        <w:rPr>
          <w:lang w:val="en-GB"/>
        </w:rPr>
        <w:t xml:space="preserve"> NPP</w:t>
      </w:r>
      <w:r w:rsidR="00E03B60" w:rsidRPr="00C70ACA" w:rsidDel="00E03B60">
        <w:rPr>
          <w:lang w:val="en-GB"/>
        </w:rPr>
        <w:t xml:space="preserve"> </w:t>
      </w:r>
      <w:r w:rsidR="00AE2FBF" w:rsidRPr="00C70ACA">
        <w:rPr>
          <w:lang w:val="en-GB"/>
        </w:rPr>
        <w:t>graphite was tested are lower due to its lower resistance to</w:t>
      </w:r>
      <w:r w:rsidR="00896A4A" w:rsidRPr="00C70ACA">
        <w:rPr>
          <w:lang w:val="en-GB"/>
        </w:rPr>
        <w:t xml:space="preserve"> high temperature</w:t>
      </w:r>
      <w:r w:rsidR="00AE2FBF" w:rsidRPr="00C70ACA">
        <w:rPr>
          <w:lang w:val="en-GB"/>
        </w:rPr>
        <w:t xml:space="preserve"> </w:t>
      </w:r>
      <w:r w:rsidR="00896A4A" w:rsidRPr="00C70ACA">
        <w:rPr>
          <w:lang w:val="en-GB"/>
        </w:rPr>
        <w:t>oxidation</w:t>
      </w:r>
      <w:r w:rsidR="00266C31" w:rsidRPr="00C70ACA">
        <w:rPr>
          <w:lang w:val="en-GB"/>
        </w:rPr>
        <w:t>,</w:t>
      </w:r>
      <w:r w:rsidR="006F3431" w:rsidRPr="00C70ACA">
        <w:rPr>
          <w:lang w:val="en-GB"/>
        </w:rPr>
        <w:t xml:space="preserve"> exhibited during isothermal tests</w:t>
      </w:r>
      <w:r w:rsidR="00896A4A" w:rsidRPr="00C70ACA">
        <w:rPr>
          <w:lang w:val="en-GB"/>
        </w:rPr>
        <w:t>.</w:t>
      </w:r>
    </w:p>
    <w:p w14:paraId="67501E5E" w14:textId="77777777" w:rsidR="006702CE" w:rsidRPr="00C70ACA" w:rsidRDefault="006702CE" w:rsidP="006702CE">
      <w:pPr>
        <w:pStyle w:val="CETBodytext"/>
        <w:rPr>
          <w:lang w:val="en-GB"/>
        </w:rPr>
      </w:pPr>
      <w:r w:rsidRPr="00A66A68">
        <w:rPr>
          <w:lang w:val="en-GB"/>
        </w:rPr>
        <w:t>Activation</w:t>
      </w:r>
      <w:r w:rsidRPr="00C70ACA">
        <w:rPr>
          <w:lang w:val="en-GB"/>
        </w:rPr>
        <w:t xml:space="preserve"> energies in kJ/mol were calculated using </w:t>
      </w:r>
      <w:proofErr w:type="spellStart"/>
      <w:proofErr w:type="gramStart"/>
      <w:r w:rsidRPr="00C70ACA">
        <w:rPr>
          <w:lang w:val="en-GB"/>
        </w:rPr>
        <w:t>Eq</w:t>
      </w:r>
      <w:proofErr w:type="spellEnd"/>
      <w:r w:rsidRPr="00C70ACA">
        <w:rPr>
          <w:lang w:val="en-GB"/>
        </w:rPr>
        <w:t>(</w:t>
      </w:r>
      <w:proofErr w:type="gramEnd"/>
      <w:r w:rsidRPr="00C70ACA">
        <w:rPr>
          <w:lang w:val="en-GB"/>
        </w:rPr>
        <w:t xml:space="preserve">1) from Arrhenius plots (examples shown in Figure </w:t>
      </w:r>
      <w:r>
        <w:rPr>
          <w:lang w:val="en-GB"/>
        </w:rPr>
        <w:t>4</w:t>
      </w:r>
      <w:r w:rsidRPr="00C70ACA">
        <w:rPr>
          <w:lang w:val="en-GB"/>
        </w:rPr>
        <w:t xml:space="preserve">): </w:t>
      </w:r>
    </w:p>
    <w:p w14:paraId="07A9EC2C" w14:textId="77777777" w:rsidR="006702CE" w:rsidRPr="00C70ACA" w:rsidRDefault="00362EEE" w:rsidP="006702CE">
      <w:pPr>
        <w:pStyle w:val="CETEquation"/>
      </w:pPr>
      <m:oMath>
        <m:sSub>
          <m:sSubPr>
            <m:ctrlPr>
              <w:rPr>
                <w:rFonts w:ascii="Cambria Math" w:hAnsi="Cambria Math"/>
              </w:rPr>
            </m:ctrlPr>
          </m:sSubPr>
          <m:e>
            <m:r>
              <w:rPr>
                <w:rFonts w:ascii="Cambria Math" w:hAnsi="Cambria Math"/>
              </w:rPr>
              <m:t>E</m:t>
            </m:r>
          </m:e>
          <m:sub>
            <m:r>
              <w:rPr>
                <w:rFonts w:ascii="Cambria Math" w:hAnsi="Cambria Math"/>
              </w:rPr>
              <m:t>a</m:t>
            </m:r>
          </m:sub>
        </m:sSub>
        <m:r>
          <m:rPr>
            <m:sty m:val="p"/>
          </m:rPr>
          <w:rPr>
            <w:rFonts w:ascii="Cambria Math" w:hAnsi="Cambria Math"/>
          </w:rPr>
          <m:t>= -0.019138∙</m:t>
        </m:r>
        <m:r>
          <w:rPr>
            <w:rFonts w:ascii="Cambria Math" w:hAnsi="Cambria Math"/>
          </w:rPr>
          <m:t>Slope</m:t>
        </m:r>
      </m:oMath>
      <w:r w:rsidR="006702CE" w:rsidRPr="00C70ACA">
        <w:t xml:space="preserve">    </w:t>
      </w:r>
      <w:r w:rsidR="006702CE" w:rsidRPr="00C70ACA">
        <w:tab/>
      </w:r>
      <w:r w:rsidR="006702CE" w:rsidRPr="00C70ACA">
        <w:tab/>
      </w:r>
      <w:r w:rsidR="006702CE" w:rsidRPr="00C70ACA">
        <w:tab/>
        <w:t>(1)</w:t>
      </w:r>
    </w:p>
    <w:p w14:paraId="2F8A4A46" w14:textId="1CD5F64E" w:rsidR="006702CE" w:rsidRPr="00C70ACA" w:rsidRDefault="006702CE" w:rsidP="006702CE">
      <w:pPr>
        <w:pStyle w:val="CETBodytext"/>
        <w:rPr>
          <w:lang w:val="en-GB"/>
        </w:rPr>
      </w:pPr>
      <w:r w:rsidRPr="00C70ACA">
        <w:rPr>
          <w:lang w:val="en-GB"/>
        </w:rPr>
        <w:t>where the numerical factor 0.019138 = 2.303 × 8.314 × 0.001 includes the gas constant and the conversion factor of natural to decimal logarithms.</w:t>
      </w:r>
    </w:p>
    <w:p w14:paraId="1CA2EE07" w14:textId="5DD1049A" w:rsidR="00ED0E2E" w:rsidRPr="00C70ACA" w:rsidRDefault="00ED0E2E" w:rsidP="009D3F68">
      <w:pPr>
        <w:pStyle w:val="CETTabletitle"/>
      </w:pPr>
      <w:r w:rsidRPr="00C70ACA">
        <w:lastRenderedPageBreak/>
        <w:t xml:space="preserve">Table </w:t>
      </w:r>
      <w:r w:rsidRPr="00C70ACA">
        <w:fldChar w:fldCharType="begin"/>
      </w:r>
      <w:r w:rsidRPr="00C70ACA">
        <w:instrText xml:space="preserve"> SEQ Table \* ARABIC </w:instrText>
      </w:r>
      <w:r w:rsidRPr="00C70ACA">
        <w:fldChar w:fldCharType="separate"/>
      </w:r>
      <w:r w:rsidR="006702CE">
        <w:rPr>
          <w:noProof/>
        </w:rPr>
        <w:t>2</w:t>
      </w:r>
      <w:r w:rsidRPr="00C70ACA">
        <w:fldChar w:fldCharType="end"/>
      </w:r>
      <w:r w:rsidRPr="00C70ACA">
        <w:t xml:space="preserve">: oxidation rates </w:t>
      </w:r>
      <w:proofErr w:type="spellStart"/>
      <w:r w:rsidR="007E0DFA" w:rsidRPr="00C70ACA">
        <w:t>P</w:t>
      </w:r>
      <w:r w:rsidRPr="00C70ACA">
        <w:t>oli</w:t>
      </w:r>
      <w:r w:rsidR="00AF0523" w:rsidRPr="00C70ACA">
        <w:t>mi</w:t>
      </w:r>
      <w:proofErr w:type="spellEnd"/>
      <w:r w:rsidR="007E0DFA" w:rsidRPr="00C70ACA">
        <w:t xml:space="preserve"> </w:t>
      </w:r>
      <w:r w:rsidRPr="00C70ACA">
        <w:t>graphite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A340FB" w:rsidRPr="00C70ACA" w14:paraId="312E7C30" w14:textId="77777777" w:rsidTr="00C62EFB">
        <w:tc>
          <w:tcPr>
            <w:tcW w:w="1134" w:type="dxa"/>
            <w:tcBorders>
              <w:top w:val="single" w:sz="12" w:space="0" w:color="008000"/>
              <w:bottom w:val="single" w:sz="6" w:space="0" w:color="008000"/>
            </w:tcBorders>
            <w:shd w:val="clear" w:color="auto" w:fill="FFFFFF"/>
          </w:tcPr>
          <w:p w14:paraId="6BBB2BF9" w14:textId="77777777" w:rsidR="00A340FB" w:rsidRPr="00C70ACA" w:rsidRDefault="00A340FB" w:rsidP="00C62EFB">
            <w:r w:rsidRPr="00C70ACA">
              <w:t>Temperature</w:t>
            </w:r>
          </w:p>
          <w:p w14:paraId="03231304" w14:textId="77777777" w:rsidR="00A340FB" w:rsidRPr="00C70ACA" w:rsidRDefault="00A340FB" w:rsidP="00C62EFB">
            <w:pPr>
              <w:pStyle w:val="CETBodytext"/>
              <w:rPr>
                <w:lang w:val="en-GB"/>
              </w:rPr>
            </w:pPr>
            <w:r w:rsidRPr="00C70ACA">
              <w:rPr>
                <w:lang w:val="en-GB"/>
              </w:rPr>
              <w:t>[°C]</w:t>
            </w:r>
          </w:p>
          <w:p w14:paraId="0692DF54" w14:textId="155BF06C" w:rsidR="00440290" w:rsidRPr="00C70ACA" w:rsidRDefault="00440290" w:rsidP="00C62EFB">
            <w:pPr>
              <w:pStyle w:val="CETBodytext"/>
              <w:rPr>
                <w:lang w:val="en-GB"/>
              </w:rPr>
            </w:pPr>
          </w:p>
        </w:tc>
        <w:tc>
          <w:tcPr>
            <w:tcW w:w="1134" w:type="dxa"/>
            <w:tcBorders>
              <w:top w:val="single" w:sz="12" w:space="0" w:color="008000"/>
              <w:bottom w:val="single" w:sz="6" w:space="0" w:color="008000"/>
            </w:tcBorders>
            <w:shd w:val="clear" w:color="auto" w:fill="FFFFFF"/>
          </w:tcPr>
          <w:p w14:paraId="4B8E5455" w14:textId="77777777" w:rsidR="00A340FB" w:rsidRPr="00C70ACA" w:rsidRDefault="00A340FB" w:rsidP="00C62EFB">
            <w:pPr>
              <w:pStyle w:val="CETBodytext"/>
              <w:jc w:val="left"/>
              <w:rPr>
                <w:lang w:val="en-GB"/>
              </w:rPr>
            </w:pPr>
            <w:r w:rsidRPr="00C70ACA">
              <w:rPr>
                <w:lang w:val="en-GB"/>
              </w:rPr>
              <w:t>Slope of weight loss [g/h]</w:t>
            </w:r>
          </w:p>
        </w:tc>
        <w:tc>
          <w:tcPr>
            <w:tcW w:w="1134" w:type="dxa"/>
            <w:tcBorders>
              <w:top w:val="single" w:sz="12" w:space="0" w:color="008000"/>
              <w:bottom w:val="single" w:sz="6" w:space="0" w:color="008000"/>
            </w:tcBorders>
            <w:shd w:val="clear" w:color="auto" w:fill="FFFFFF"/>
          </w:tcPr>
          <w:p w14:paraId="2E463146" w14:textId="77777777" w:rsidR="00A340FB" w:rsidRPr="00C70ACA" w:rsidRDefault="00A340FB" w:rsidP="00C62EFB">
            <w:r w:rsidRPr="00C70ACA">
              <w:t xml:space="preserve">Weight-normalized oxidation rate </w:t>
            </w:r>
          </w:p>
          <w:p w14:paraId="55DD0F96" w14:textId="77777777" w:rsidR="00A340FB" w:rsidRPr="00C70ACA" w:rsidRDefault="00A340FB" w:rsidP="00C62EFB">
            <w:pPr>
              <w:pStyle w:val="CETBodytext"/>
              <w:rPr>
                <w:lang w:val="en-GB"/>
              </w:rPr>
            </w:pPr>
            <w:r w:rsidRPr="00C70ACA">
              <w:rPr>
                <w:lang w:val="en-GB"/>
              </w:rPr>
              <w:t>[gg</w:t>
            </w:r>
            <w:r w:rsidRPr="00C70ACA">
              <w:rPr>
                <w:vertAlign w:val="superscript"/>
                <w:lang w:val="en-GB"/>
              </w:rPr>
              <w:t>-1</w:t>
            </w:r>
            <w:r w:rsidRPr="00C70ACA">
              <w:rPr>
                <w:lang w:val="en-GB"/>
              </w:rPr>
              <w:t>h</w:t>
            </w:r>
            <w:r w:rsidRPr="00C70ACA">
              <w:rPr>
                <w:vertAlign w:val="superscript"/>
                <w:lang w:val="en-GB"/>
              </w:rPr>
              <w:t>-1</w:t>
            </w:r>
            <w:r w:rsidRPr="00C70ACA">
              <w:rPr>
                <w:lang w:val="en-GB"/>
              </w:rPr>
              <w:t>]</w:t>
            </w:r>
          </w:p>
        </w:tc>
        <w:tc>
          <w:tcPr>
            <w:tcW w:w="1134" w:type="dxa"/>
            <w:tcBorders>
              <w:top w:val="single" w:sz="12" w:space="0" w:color="008000"/>
              <w:bottom w:val="single" w:sz="6" w:space="0" w:color="008000"/>
            </w:tcBorders>
            <w:shd w:val="clear" w:color="auto" w:fill="FFFFFF"/>
          </w:tcPr>
          <w:p w14:paraId="1CABE06F" w14:textId="77777777" w:rsidR="00A340FB" w:rsidRPr="00C70ACA" w:rsidRDefault="00A340FB" w:rsidP="00C62EFB">
            <w:r w:rsidRPr="00C70ACA">
              <w:t>Area-normalized oxidation rate</w:t>
            </w:r>
          </w:p>
          <w:p w14:paraId="08CDCE3B" w14:textId="77777777" w:rsidR="00A340FB" w:rsidRPr="00C70ACA" w:rsidRDefault="00A340FB" w:rsidP="00C62EFB">
            <w:pPr>
              <w:pStyle w:val="CETBodytext"/>
              <w:ind w:right="-1"/>
              <w:rPr>
                <w:rFonts w:cs="Arial"/>
                <w:szCs w:val="18"/>
                <w:lang w:val="en-GB"/>
              </w:rPr>
            </w:pPr>
            <w:r w:rsidRPr="00C70ACA">
              <w:rPr>
                <w:lang w:val="en-GB"/>
              </w:rPr>
              <w:t>[gh</w:t>
            </w:r>
            <w:r w:rsidRPr="00C70ACA">
              <w:rPr>
                <w:vertAlign w:val="superscript"/>
                <w:lang w:val="en-GB"/>
              </w:rPr>
              <w:t>-1</w:t>
            </w:r>
            <w:r w:rsidRPr="00C70ACA">
              <w:rPr>
                <w:lang w:val="en-GB"/>
              </w:rPr>
              <w:t>m</w:t>
            </w:r>
            <w:r w:rsidRPr="00C70ACA">
              <w:rPr>
                <w:vertAlign w:val="superscript"/>
                <w:lang w:val="en-GB"/>
              </w:rPr>
              <w:t>-2</w:t>
            </w:r>
            <w:r w:rsidRPr="00C70ACA">
              <w:rPr>
                <w:lang w:val="en-GB"/>
              </w:rPr>
              <w:t>]</w:t>
            </w:r>
          </w:p>
        </w:tc>
        <w:tc>
          <w:tcPr>
            <w:tcW w:w="1134" w:type="dxa"/>
            <w:tcBorders>
              <w:top w:val="single" w:sz="12" w:space="0" w:color="008000"/>
              <w:bottom w:val="single" w:sz="6" w:space="0" w:color="008000"/>
            </w:tcBorders>
            <w:shd w:val="clear" w:color="auto" w:fill="FFFFFF"/>
          </w:tcPr>
          <w:p w14:paraId="5A6D60FC" w14:textId="77777777" w:rsidR="00A340FB" w:rsidRPr="00C70ACA" w:rsidRDefault="00A340FB" w:rsidP="00C62EFB">
            <w:pPr>
              <w:pStyle w:val="CETBodytext"/>
              <w:ind w:right="-1"/>
              <w:rPr>
                <w:rFonts w:cs="Arial"/>
                <w:szCs w:val="18"/>
                <w:lang w:val="en-GB"/>
              </w:rPr>
            </w:pPr>
          </w:p>
        </w:tc>
      </w:tr>
      <w:tr w:rsidR="00A340FB" w:rsidRPr="00C70ACA" w14:paraId="7168E878" w14:textId="77777777" w:rsidTr="00C62EFB">
        <w:tc>
          <w:tcPr>
            <w:tcW w:w="1134" w:type="dxa"/>
            <w:shd w:val="clear" w:color="auto" w:fill="FFFFFF"/>
          </w:tcPr>
          <w:p w14:paraId="5F5F12B4" w14:textId="77777777" w:rsidR="00A340FB" w:rsidRPr="00C70ACA" w:rsidRDefault="00A340FB" w:rsidP="00C62EFB">
            <w:r w:rsidRPr="00C70ACA">
              <w:t>550</w:t>
            </w:r>
          </w:p>
          <w:p w14:paraId="5D5D785A" w14:textId="77777777" w:rsidR="00A340FB" w:rsidRPr="00C70ACA" w:rsidRDefault="00A340FB" w:rsidP="00C62EFB">
            <w:pPr>
              <w:pStyle w:val="CETBodytext"/>
              <w:rPr>
                <w:lang w:val="en-GB"/>
              </w:rPr>
            </w:pPr>
            <w:r w:rsidRPr="00C70ACA">
              <w:rPr>
                <w:lang w:val="en-GB"/>
              </w:rPr>
              <w:t>600</w:t>
            </w:r>
          </w:p>
          <w:p w14:paraId="65DF034A" w14:textId="77777777" w:rsidR="00A340FB" w:rsidRPr="00C70ACA" w:rsidRDefault="00A340FB" w:rsidP="00C62EFB">
            <w:pPr>
              <w:pStyle w:val="CETBodytext"/>
              <w:rPr>
                <w:lang w:val="en-GB"/>
              </w:rPr>
            </w:pPr>
            <w:r w:rsidRPr="00C70ACA">
              <w:rPr>
                <w:lang w:val="en-GB"/>
              </w:rPr>
              <w:t>650</w:t>
            </w:r>
          </w:p>
          <w:p w14:paraId="378E0B9E" w14:textId="77777777" w:rsidR="00A340FB" w:rsidRPr="00C70ACA" w:rsidRDefault="00A340FB" w:rsidP="00C62EFB">
            <w:pPr>
              <w:pStyle w:val="CETBodytext"/>
              <w:rPr>
                <w:lang w:val="en-GB"/>
              </w:rPr>
            </w:pPr>
            <w:r w:rsidRPr="00C70ACA">
              <w:rPr>
                <w:lang w:val="en-GB"/>
              </w:rPr>
              <w:t>675</w:t>
            </w:r>
          </w:p>
          <w:p w14:paraId="5F608F27" w14:textId="77777777" w:rsidR="00A340FB" w:rsidRPr="00C70ACA" w:rsidRDefault="00A340FB" w:rsidP="00C62EFB">
            <w:pPr>
              <w:pStyle w:val="CETBodytext"/>
              <w:rPr>
                <w:lang w:val="en-GB"/>
              </w:rPr>
            </w:pPr>
            <w:r w:rsidRPr="00C70ACA">
              <w:rPr>
                <w:lang w:val="en-GB"/>
              </w:rPr>
              <w:t>700</w:t>
            </w:r>
          </w:p>
          <w:p w14:paraId="1660B472" w14:textId="77777777" w:rsidR="00A340FB" w:rsidRPr="00C70ACA" w:rsidRDefault="00A340FB" w:rsidP="00C62EFB">
            <w:pPr>
              <w:pStyle w:val="CETBodytext"/>
              <w:rPr>
                <w:lang w:val="en-GB"/>
              </w:rPr>
            </w:pPr>
            <w:r w:rsidRPr="00C70ACA">
              <w:rPr>
                <w:lang w:val="en-GB"/>
              </w:rPr>
              <w:t>725</w:t>
            </w:r>
          </w:p>
        </w:tc>
        <w:tc>
          <w:tcPr>
            <w:tcW w:w="1134" w:type="dxa"/>
            <w:shd w:val="clear" w:color="auto" w:fill="FFFFFF"/>
          </w:tcPr>
          <w:p w14:paraId="16F734C3" w14:textId="69A03135" w:rsidR="00A340FB" w:rsidRPr="00C70ACA" w:rsidRDefault="00A340FB" w:rsidP="00C62EFB">
            <w:pPr>
              <w:pStyle w:val="CETBodytext"/>
              <w:rPr>
                <w:lang w:val="en-GB"/>
              </w:rPr>
            </w:pPr>
            <w:r w:rsidRPr="00C70ACA">
              <w:rPr>
                <w:lang w:val="en-GB"/>
              </w:rPr>
              <w:t>0</w:t>
            </w:r>
            <w:r w:rsidR="00AF0523" w:rsidRPr="00C70ACA">
              <w:rPr>
                <w:lang w:val="en-GB"/>
              </w:rPr>
              <w:t>.</w:t>
            </w:r>
            <w:r w:rsidRPr="00C70ACA">
              <w:rPr>
                <w:lang w:val="en-GB"/>
              </w:rPr>
              <w:t>001</w:t>
            </w:r>
          </w:p>
          <w:p w14:paraId="24AFCAEC" w14:textId="4CF25D04" w:rsidR="00A340FB" w:rsidRPr="00C70ACA" w:rsidRDefault="00A340FB" w:rsidP="00C62EFB">
            <w:pPr>
              <w:pStyle w:val="CETBodytext"/>
              <w:rPr>
                <w:lang w:val="en-GB"/>
              </w:rPr>
            </w:pPr>
            <w:r w:rsidRPr="00C70ACA">
              <w:rPr>
                <w:lang w:val="en-GB"/>
              </w:rPr>
              <w:t>0</w:t>
            </w:r>
            <w:r w:rsidR="00AF0523" w:rsidRPr="00C70ACA">
              <w:rPr>
                <w:lang w:val="en-GB"/>
              </w:rPr>
              <w:t>.</w:t>
            </w:r>
            <w:r w:rsidRPr="00C70ACA">
              <w:rPr>
                <w:lang w:val="en-GB"/>
              </w:rPr>
              <w:t>004</w:t>
            </w:r>
          </w:p>
          <w:p w14:paraId="07088E6A" w14:textId="29AD7EAC" w:rsidR="00A340FB" w:rsidRPr="00C70ACA" w:rsidRDefault="00A340FB" w:rsidP="00C62EFB">
            <w:pPr>
              <w:pStyle w:val="CETBodytext"/>
              <w:rPr>
                <w:lang w:val="en-GB"/>
              </w:rPr>
            </w:pPr>
            <w:r w:rsidRPr="00C70ACA">
              <w:rPr>
                <w:lang w:val="en-GB"/>
              </w:rPr>
              <w:t>0</w:t>
            </w:r>
            <w:r w:rsidR="00AF0523" w:rsidRPr="00C70ACA">
              <w:rPr>
                <w:lang w:val="en-GB"/>
              </w:rPr>
              <w:t>.</w:t>
            </w:r>
            <w:r w:rsidRPr="00C70ACA">
              <w:rPr>
                <w:lang w:val="en-GB"/>
              </w:rPr>
              <w:t>016</w:t>
            </w:r>
          </w:p>
          <w:p w14:paraId="6E4C2157" w14:textId="7FF7EB2E" w:rsidR="00A340FB" w:rsidRPr="00C70ACA" w:rsidRDefault="00A340FB" w:rsidP="00C62EFB">
            <w:pPr>
              <w:pStyle w:val="CETBodytext"/>
              <w:rPr>
                <w:lang w:val="en-GB"/>
              </w:rPr>
            </w:pPr>
            <w:r w:rsidRPr="00C70ACA">
              <w:rPr>
                <w:lang w:val="en-GB"/>
              </w:rPr>
              <w:t>0</w:t>
            </w:r>
            <w:r w:rsidR="00AF0523" w:rsidRPr="00C70ACA">
              <w:rPr>
                <w:lang w:val="en-GB"/>
              </w:rPr>
              <w:t>.</w:t>
            </w:r>
            <w:r w:rsidRPr="00C70ACA">
              <w:rPr>
                <w:lang w:val="en-GB"/>
              </w:rPr>
              <w:t>029</w:t>
            </w:r>
          </w:p>
          <w:p w14:paraId="79A80694" w14:textId="3E1D2619" w:rsidR="00A340FB" w:rsidRPr="00C70ACA" w:rsidRDefault="00A340FB" w:rsidP="00C62EFB">
            <w:pPr>
              <w:pStyle w:val="CETBodytext"/>
              <w:rPr>
                <w:lang w:val="en-GB"/>
              </w:rPr>
            </w:pPr>
            <w:r w:rsidRPr="00C70ACA">
              <w:rPr>
                <w:lang w:val="en-GB"/>
              </w:rPr>
              <w:t>0</w:t>
            </w:r>
            <w:r w:rsidR="00AF0523" w:rsidRPr="00C70ACA">
              <w:rPr>
                <w:lang w:val="en-GB"/>
              </w:rPr>
              <w:t>.</w:t>
            </w:r>
            <w:r w:rsidRPr="00C70ACA">
              <w:rPr>
                <w:lang w:val="en-GB"/>
              </w:rPr>
              <w:t>052</w:t>
            </w:r>
          </w:p>
          <w:p w14:paraId="3E116542" w14:textId="09CF67E3" w:rsidR="00A340FB" w:rsidRPr="00C70ACA" w:rsidRDefault="00A340FB" w:rsidP="00C62EFB">
            <w:pPr>
              <w:pStyle w:val="CETBodytext"/>
              <w:rPr>
                <w:lang w:val="en-GB"/>
              </w:rPr>
            </w:pPr>
            <w:r w:rsidRPr="00C70ACA">
              <w:rPr>
                <w:lang w:val="en-GB"/>
              </w:rPr>
              <w:t>0</w:t>
            </w:r>
            <w:r w:rsidR="00AF0523" w:rsidRPr="00C70ACA">
              <w:rPr>
                <w:lang w:val="en-GB"/>
              </w:rPr>
              <w:t>.</w:t>
            </w:r>
            <w:r w:rsidRPr="00C70ACA">
              <w:rPr>
                <w:lang w:val="en-GB"/>
              </w:rPr>
              <w:t>089</w:t>
            </w:r>
          </w:p>
        </w:tc>
        <w:tc>
          <w:tcPr>
            <w:tcW w:w="1134" w:type="dxa"/>
            <w:shd w:val="clear" w:color="auto" w:fill="FFFFFF"/>
          </w:tcPr>
          <w:p w14:paraId="3C667ACE" w14:textId="14701DA9" w:rsidR="00A340FB" w:rsidRPr="00C70ACA" w:rsidRDefault="00A340FB" w:rsidP="00C62EFB">
            <w:pPr>
              <w:pStyle w:val="CETBodytext"/>
              <w:rPr>
                <w:lang w:val="en-GB"/>
              </w:rPr>
            </w:pPr>
            <w:r w:rsidRPr="00C70ACA">
              <w:rPr>
                <w:lang w:val="en-GB"/>
              </w:rPr>
              <w:t>0</w:t>
            </w:r>
            <w:r w:rsidR="00AF0523" w:rsidRPr="00C70ACA">
              <w:rPr>
                <w:lang w:val="en-GB"/>
              </w:rPr>
              <w:t>.</w:t>
            </w:r>
            <w:r w:rsidRPr="00C70ACA">
              <w:rPr>
                <w:lang w:val="en-GB"/>
              </w:rPr>
              <w:t>003</w:t>
            </w:r>
          </w:p>
          <w:p w14:paraId="428204E8" w14:textId="1118B246" w:rsidR="00A340FB" w:rsidRPr="00C70ACA" w:rsidRDefault="00A340FB" w:rsidP="00C62EFB">
            <w:pPr>
              <w:pStyle w:val="CETBodytext"/>
              <w:rPr>
                <w:lang w:val="en-GB"/>
              </w:rPr>
            </w:pPr>
            <w:r w:rsidRPr="00C70ACA">
              <w:rPr>
                <w:lang w:val="en-GB"/>
              </w:rPr>
              <w:t>0</w:t>
            </w:r>
            <w:r w:rsidR="00AF0523" w:rsidRPr="00C70ACA">
              <w:rPr>
                <w:lang w:val="en-GB"/>
              </w:rPr>
              <w:t>.</w:t>
            </w:r>
            <w:r w:rsidRPr="00C70ACA">
              <w:rPr>
                <w:lang w:val="en-GB"/>
              </w:rPr>
              <w:t>012</w:t>
            </w:r>
          </w:p>
          <w:p w14:paraId="11030A7B" w14:textId="5A52FEE6" w:rsidR="00A340FB" w:rsidRPr="00C70ACA" w:rsidRDefault="00A340FB" w:rsidP="00C62EFB">
            <w:pPr>
              <w:pStyle w:val="CETBodytext"/>
              <w:rPr>
                <w:lang w:val="en-GB"/>
              </w:rPr>
            </w:pPr>
            <w:r w:rsidRPr="00C70ACA">
              <w:rPr>
                <w:lang w:val="en-GB"/>
              </w:rPr>
              <w:t>0</w:t>
            </w:r>
            <w:r w:rsidR="00AF0523" w:rsidRPr="00C70ACA">
              <w:rPr>
                <w:lang w:val="en-GB"/>
              </w:rPr>
              <w:t>.</w:t>
            </w:r>
            <w:r w:rsidRPr="00C70ACA">
              <w:rPr>
                <w:lang w:val="en-GB"/>
              </w:rPr>
              <w:t>050</w:t>
            </w:r>
          </w:p>
          <w:p w14:paraId="3CB5CE20" w14:textId="36B3B053" w:rsidR="00A340FB" w:rsidRPr="00C70ACA" w:rsidRDefault="00A340FB" w:rsidP="00C62EFB">
            <w:pPr>
              <w:pStyle w:val="CETBodytext"/>
              <w:rPr>
                <w:lang w:val="en-GB"/>
              </w:rPr>
            </w:pPr>
            <w:r w:rsidRPr="00C70ACA">
              <w:rPr>
                <w:lang w:val="en-GB"/>
              </w:rPr>
              <w:t>0</w:t>
            </w:r>
            <w:r w:rsidR="00AF0523" w:rsidRPr="00C70ACA">
              <w:rPr>
                <w:lang w:val="en-GB"/>
              </w:rPr>
              <w:t>.</w:t>
            </w:r>
            <w:r w:rsidRPr="00C70ACA">
              <w:rPr>
                <w:lang w:val="en-GB"/>
              </w:rPr>
              <w:t>087</w:t>
            </w:r>
          </w:p>
          <w:p w14:paraId="25B1795E" w14:textId="216E493D" w:rsidR="00A340FB" w:rsidRPr="00C70ACA" w:rsidRDefault="00A340FB" w:rsidP="00C62EFB">
            <w:pPr>
              <w:pStyle w:val="CETBodytext"/>
              <w:rPr>
                <w:lang w:val="en-GB"/>
              </w:rPr>
            </w:pPr>
            <w:r w:rsidRPr="00C70ACA">
              <w:rPr>
                <w:lang w:val="en-GB"/>
              </w:rPr>
              <w:t>0</w:t>
            </w:r>
            <w:r w:rsidR="00AF0523" w:rsidRPr="00C70ACA">
              <w:rPr>
                <w:lang w:val="en-GB"/>
              </w:rPr>
              <w:t>.</w:t>
            </w:r>
            <w:r w:rsidRPr="00C70ACA">
              <w:rPr>
                <w:lang w:val="en-GB"/>
              </w:rPr>
              <w:t>158</w:t>
            </w:r>
          </w:p>
          <w:p w14:paraId="2489D987" w14:textId="55F0030E" w:rsidR="00A340FB" w:rsidRPr="00C70ACA" w:rsidRDefault="00A340FB" w:rsidP="00C62EFB">
            <w:pPr>
              <w:pStyle w:val="CETBodytext"/>
              <w:rPr>
                <w:lang w:val="en-GB"/>
              </w:rPr>
            </w:pPr>
            <w:r w:rsidRPr="00C70ACA">
              <w:rPr>
                <w:lang w:val="en-GB"/>
              </w:rPr>
              <w:t>0</w:t>
            </w:r>
            <w:r w:rsidR="00AF0523" w:rsidRPr="00C70ACA">
              <w:rPr>
                <w:lang w:val="en-GB"/>
              </w:rPr>
              <w:t>.</w:t>
            </w:r>
            <w:r w:rsidRPr="00C70ACA">
              <w:rPr>
                <w:lang w:val="en-GB"/>
              </w:rPr>
              <w:t>268</w:t>
            </w:r>
          </w:p>
        </w:tc>
        <w:tc>
          <w:tcPr>
            <w:tcW w:w="1134" w:type="dxa"/>
            <w:shd w:val="clear" w:color="auto" w:fill="FFFFFF"/>
          </w:tcPr>
          <w:p w14:paraId="576AC35E" w14:textId="0FA3E13D" w:rsidR="00A340FB" w:rsidRPr="00C70ACA" w:rsidRDefault="00A340FB" w:rsidP="00C62EFB">
            <w:pPr>
              <w:pStyle w:val="CETBodytext"/>
              <w:ind w:right="-1"/>
              <w:rPr>
                <w:lang w:val="en-GB"/>
              </w:rPr>
            </w:pPr>
            <w:r w:rsidRPr="00C70ACA">
              <w:rPr>
                <w:lang w:val="en-GB"/>
              </w:rPr>
              <w:t>5</w:t>
            </w:r>
            <w:r w:rsidR="00AF0523" w:rsidRPr="00C70ACA">
              <w:rPr>
                <w:lang w:val="en-GB"/>
              </w:rPr>
              <w:t>.</w:t>
            </w:r>
            <w:r w:rsidRPr="00C70ACA">
              <w:rPr>
                <w:lang w:val="en-GB"/>
              </w:rPr>
              <w:t>095</w:t>
            </w:r>
          </w:p>
          <w:p w14:paraId="35D5D73F" w14:textId="55D7EB17" w:rsidR="00A340FB" w:rsidRPr="00C70ACA" w:rsidRDefault="00A340FB" w:rsidP="00C62EFB">
            <w:pPr>
              <w:pStyle w:val="CETBodytext"/>
              <w:ind w:right="-1"/>
              <w:rPr>
                <w:lang w:val="en-GB"/>
              </w:rPr>
            </w:pPr>
            <w:r w:rsidRPr="00C70ACA">
              <w:rPr>
                <w:lang w:val="en-GB"/>
              </w:rPr>
              <w:t>20</w:t>
            </w:r>
            <w:r w:rsidR="00AF0523" w:rsidRPr="00C70ACA">
              <w:rPr>
                <w:lang w:val="en-GB"/>
              </w:rPr>
              <w:t>.</w:t>
            </w:r>
            <w:r w:rsidRPr="00C70ACA">
              <w:rPr>
                <w:lang w:val="en-GB"/>
              </w:rPr>
              <w:t>382</w:t>
            </w:r>
          </w:p>
          <w:p w14:paraId="67AF6D84" w14:textId="00962019" w:rsidR="00A340FB" w:rsidRPr="00C70ACA" w:rsidRDefault="00A340FB" w:rsidP="00C62EFB">
            <w:pPr>
              <w:pStyle w:val="CETBodytext"/>
              <w:ind w:right="-1"/>
              <w:rPr>
                <w:lang w:val="en-GB"/>
              </w:rPr>
            </w:pPr>
            <w:r w:rsidRPr="00C70ACA">
              <w:rPr>
                <w:lang w:val="en-GB"/>
              </w:rPr>
              <w:t>82</w:t>
            </w:r>
            <w:r w:rsidR="00AF0523" w:rsidRPr="00C70ACA">
              <w:rPr>
                <w:lang w:val="en-GB"/>
              </w:rPr>
              <w:t>.</w:t>
            </w:r>
            <w:r w:rsidRPr="00C70ACA">
              <w:rPr>
                <w:lang w:val="en-GB"/>
              </w:rPr>
              <w:t>548</w:t>
            </w:r>
          </w:p>
          <w:p w14:paraId="500954CB" w14:textId="0B0B5AB2" w:rsidR="00A340FB" w:rsidRPr="00C70ACA" w:rsidRDefault="00A340FB" w:rsidP="00C62EFB">
            <w:pPr>
              <w:pStyle w:val="CETBodytext"/>
              <w:ind w:right="-1"/>
              <w:rPr>
                <w:lang w:val="en-GB"/>
              </w:rPr>
            </w:pPr>
            <w:r w:rsidRPr="00C70ACA">
              <w:rPr>
                <w:lang w:val="en-GB"/>
              </w:rPr>
              <w:t>147</w:t>
            </w:r>
            <w:r w:rsidR="00AF0523" w:rsidRPr="00C70ACA">
              <w:rPr>
                <w:lang w:val="en-GB"/>
              </w:rPr>
              <w:t>.</w:t>
            </w:r>
            <w:r w:rsidRPr="00C70ACA">
              <w:rPr>
                <w:lang w:val="en-GB"/>
              </w:rPr>
              <w:t>771</w:t>
            </w:r>
          </w:p>
          <w:p w14:paraId="1106C28C" w14:textId="06AC31C8" w:rsidR="00A340FB" w:rsidRPr="00C70ACA" w:rsidRDefault="00A340FB" w:rsidP="00C62EFB">
            <w:pPr>
              <w:pStyle w:val="CETBodytext"/>
              <w:ind w:right="-1"/>
              <w:rPr>
                <w:lang w:val="en-GB"/>
              </w:rPr>
            </w:pPr>
            <w:r w:rsidRPr="00C70ACA">
              <w:rPr>
                <w:lang w:val="en-GB"/>
              </w:rPr>
              <w:t>266</w:t>
            </w:r>
            <w:r w:rsidR="00AF0523" w:rsidRPr="00C70ACA">
              <w:rPr>
                <w:lang w:val="en-GB"/>
              </w:rPr>
              <w:t>.</w:t>
            </w:r>
            <w:r w:rsidRPr="00C70ACA">
              <w:rPr>
                <w:lang w:val="en-GB"/>
              </w:rPr>
              <w:t>497</w:t>
            </w:r>
          </w:p>
          <w:p w14:paraId="4B621D52" w14:textId="3A184EEE" w:rsidR="00A340FB" w:rsidRPr="00C70ACA" w:rsidRDefault="00A340FB" w:rsidP="00C62EFB">
            <w:pPr>
              <w:pStyle w:val="CETBodytext"/>
              <w:ind w:right="-1"/>
              <w:rPr>
                <w:rFonts w:cs="Arial"/>
                <w:szCs w:val="18"/>
                <w:lang w:val="en-GB"/>
              </w:rPr>
            </w:pPr>
            <w:r w:rsidRPr="00C70ACA">
              <w:rPr>
                <w:lang w:val="en-GB"/>
              </w:rPr>
              <w:t>456</w:t>
            </w:r>
            <w:r w:rsidR="00AF0523" w:rsidRPr="00C70ACA">
              <w:rPr>
                <w:lang w:val="en-GB"/>
              </w:rPr>
              <w:t>.</w:t>
            </w:r>
            <w:r w:rsidRPr="00C70ACA">
              <w:rPr>
                <w:lang w:val="en-GB"/>
              </w:rPr>
              <w:t>051</w:t>
            </w:r>
          </w:p>
        </w:tc>
        <w:tc>
          <w:tcPr>
            <w:tcW w:w="1134" w:type="dxa"/>
            <w:shd w:val="clear" w:color="auto" w:fill="FFFFFF"/>
          </w:tcPr>
          <w:p w14:paraId="0E0BAFEE" w14:textId="77777777" w:rsidR="00A340FB" w:rsidRPr="00C70ACA" w:rsidRDefault="00A340FB" w:rsidP="00C62EFB">
            <w:pPr>
              <w:pStyle w:val="CETBodytext"/>
              <w:ind w:right="-1"/>
              <w:rPr>
                <w:rFonts w:cs="Arial"/>
                <w:szCs w:val="18"/>
                <w:lang w:val="en-GB"/>
              </w:rPr>
            </w:pPr>
          </w:p>
        </w:tc>
      </w:tr>
    </w:tbl>
    <w:p w14:paraId="1AB931D5" w14:textId="77777777" w:rsidR="00AD4580" w:rsidRPr="00C70ACA" w:rsidRDefault="00AD4580" w:rsidP="00542C3C">
      <w:pPr>
        <w:pStyle w:val="CETBodytext"/>
        <w:rPr>
          <w:lang w:val="en-GB"/>
        </w:rPr>
      </w:pPr>
    </w:p>
    <w:p w14:paraId="1AFD7003" w14:textId="73D0A212" w:rsidR="00303266" w:rsidRPr="00C70ACA" w:rsidRDefault="007336D7" w:rsidP="007336D7">
      <w:pPr>
        <w:pStyle w:val="CETTabletitle"/>
      </w:pPr>
      <w:r w:rsidRPr="00C70ACA">
        <w:t xml:space="preserve">Table </w:t>
      </w:r>
      <w:r w:rsidRPr="00C70ACA">
        <w:fldChar w:fldCharType="begin"/>
      </w:r>
      <w:r w:rsidRPr="00C70ACA">
        <w:instrText xml:space="preserve"> SEQ Table \* ARABIC </w:instrText>
      </w:r>
      <w:r w:rsidRPr="00C70ACA">
        <w:fldChar w:fldCharType="separate"/>
      </w:r>
      <w:r w:rsidR="006702CE">
        <w:rPr>
          <w:noProof/>
        </w:rPr>
        <w:t>3</w:t>
      </w:r>
      <w:r w:rsidRPr="00C70ACA">
        <w:fldChar w:fldCharType="end"/>
      </w:r>
      <w:r w:rsidRPr="00C70ACA">
        <w:t xml:space="preserve">: oxidation rates </w:t>
      </w:r>
      <w:proofErr w:type="spellStart"/>
      <w:r w:rsidR="00E03B60">
        <w:t>Ignalina</w:t>
      </w:r>
      <w:proofErr w:type="spellEnd"/>
      <w:r w:rsidR="00E03B60">
        <w:t xml:space="preserve"> NPP</w:t>
      </w:r>
      <w:r w:rsidR="00C677AD" w:rsidRPr="00C70ACA">
        <w:t xml:space="preserve"> </w:t>
      </w:r>
      <w:r w:rsidRPr="00C70ACA">
        <w:t>graphite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303266" w:rsidRPr="00C70ACA" w14:paraId="5DD393B0" w14:textId="77777777" w:rsidTr="008D0981">
        <w:tc>
          <w:tcPr>
            <w:tcW w:w="1134" w:type="dxa"/>
            <w:tcBorders>
              <w:top w:val="single" w:sz="12" w:space="0" w:color="008000"/>
              <w:bottom w:val="single" w:sz="6" w:space="0" w:color="008000"/>
            </w:tcBorders>
            <w:shd w:val="clear" w:color="auto" w:fill="FFFFFF"/>
          </w:tcPr>
          <w:p w14:paraId="1B81D4C4" w14:textId="77777777" w:rsidR="00303266" w:rsidRPr="00C70ACA" w:rsidRDefault="00303266" w:rsidP="001F13F3">
            <w:r w:rsidRPr="00C70ACA">
              <w:t>Temperature</w:t>
            </w:r>
          </w:p>
          <w:p w14:paraId="5ECC1A59" w14:textId="77777777" w:rsidR="00303266" w:rsidRPr="00C70ACA" w:rsidRDefault="00303266" w:rsidP="001F13F3">
            <w:pPr>
              <w:pStyle w:val="CETBodytext"/>
              <w:rPr>
                <w:lang w:val="en-GB"/>
              </w:rPr>
            </w:pPr>
            <w:r w:rsidRPr="00C70ACA">
              <w:rPr>
                <w:lang w:val="en-GB"/>
              </w:rPr>
              <w:t>[°C]</w:t>
            </w:r>
          </w:p>
          <w:p w14:paraId="571BBC8B" w14:textId="77777777" w:rsidR="00303266" w:rsidRPr="00C70ACA" w:rsidRDefault="00303266" w:rsidP="001F13F3">
            <w:pPr>
              <w:pStyle w:val="CETBodytext"/>
              <w:rPr>
                <w:lang w:val="en-GB"/>
              </w:rPr>
            </w:pPr>
          </w:p>
        </w:tc>
        <w:tc>
          <w:tcPr>
            <w:tcW w:w="1134" w:type="dxa"/>
            <w:tcBorders>
              <w:top w:val="single" w:sz="12" w:space="0" w:color="008000"/>
              <w:bottom w:val="single" w:sz="6" w:space="0" w:color="008000"/>
            </w:tcBorders>
            <w:shd w:val="clear" w:color="auto" w:fill="FFFFFF"/>
          </w:tcPr>
          <w:p w14:paraId="5E1D1622" w14:textId="77777777" w:rsidR="00303266" w:rsidRPr="00C70ACA" w:rsidRDefault="00303266" w:rsidP="001F13F3">
            <w:pPr>
              <w:pStyle w:val="CETBodytext"/>
              <w:jc w:val="left"/>
              <w:rPr>
                <w:lang w:val="en-GB"/>
              </w:rPr>
            </w:pPr>
            <w:r w:rsidRPr="00C70ACA">
              <w:rPr>
                <w:lang w:val="en-GB"/>
              </w:rPr>
              <w:t>Slope of weight loss [g/h]</w:t>
            </w:r>
          </w:p>
        </w:tc>
        <w:tc>
          <w:tcPr>
            <w:tcW w:w="1134" w:type="dxa"/>
            <w:tcBorders>
              <w:top w:val="single" w:sz="12" w:space="0" w:color="008000"/>
              <w:bottom w:val="single" w:sz="6" w:space="0" w:color="008000"/>
            </w:tcBorders>
            <w:shd w:val="clear" w:color="auto" w:fill="FFFFFF"/>
          </w:tcPr>
          <w:p w14:paraId="1CE6F6F0" w14:textId="77777777" w:rsidR="00303266" w:rsidRPr="00C70ACA" w:rsidRDefault="00303266" w:rsidP="001F13F3">
            <w:r w:rsidRPr="00C70ACA">
              <w:t xml:space="preserve">Weight-normalized oxidation rate </w:t>
            </w:r>
          </w:p>
          <w:p w14:paraId="639C0DD5" w14:textId="77777777" w:rsidR="00303266" w:rsidRPr="00C70ACA" w:rsidRDefault="00303266" w:rsidP="001F13F3">
            <w:pPr>
              <w:pStyle w:val="CETBodytext"/>
              <w:rPr>
                <w:lang w:val="en-GB"/>
              </w:rPr>
            </w:pPr>
            <w:r w:rsidRPr="00C70ACA">
              <w:rPr>
                <w:lang w:val="en-GB"/>
              </w:rPr>
              <w:t>[gg</w:t>
            </w:r>
            <w:r w:rsidRPr="00C70ACA">
              <w:rPr>
                <w:vertAlign w:val="superscript"/>
                <w:lang w:val="en-GB"/>
              </w:rPr>
              <w:t>-1</w:t>
            </w:r>
            <w:r w:rsidRPr="00C70ACA">
              <w:rPr>
                <w:lang w:val="en-GB"/>
              </w:rPr>
              <w:t>h</w:t>
            </w:r>
            <w:r w:rsidRPr="00C70ACA">
              <w:rPr>
                <w:vertAlign w:val="superscript"/>
                <w:lang w:val="en-GB"/>
              </w:rPr>
              <w:t>-1</w:t>
            </w:r>
            <w:r w:rsidRPr="00C70ACA">
              <w:rPr>
                <w:lang w:val="en-GB"/>
              </w:rPr>
              <w:t>]</w:t>
            </w:r>
          </w:p>
        </w:tc>
        <w:tc>
          <w:tcPr>
            <w:tcW w:w="1134" w:type="dxa"/>
            <w:tcBorders>
              <w:top w:val="single" w:sz="12" w:space="0" w:color="008000"/>
              <w:bottom w:val="single" w:sz="6" w:space="0" w:color="008000"/>
            </w:tcBorders>
            <w:shd w:val="clear" w:color="auto" w:fill="FFFFFF"/>
          </w:tcPr>
          <w:p w14:paraId="74CB8A81" w14:textId="77777777" w:rsidR="00303266" w:rsidRPr="00C70ACA" w:rsidRDefault="00303266" w:rsidP="001F13F3">
            <w:r w:rsidRPr="00C70ACA">
              <w:t>Area-normalized oxidation rate</w:t>
            </w:r>
          </w:p>
          <w:p w14:paraId="3F8D66CE" w14:textId="77777777" w:rsidR="00303266" w:rsidRPr="00C70ACA" w:rsidRDefault="00303266" w:rsidP="001F13F3">
            <w:pPr>
              <w:pStyle w:val="CETBodytext"/>
              <w:ind w:right="-1"/>
              <w:rPr>
                <w:rFonts w:cs="Arial"/>
                <w:szCs w:val="18"/>
                <w:lang w:val="en-GB"/>
              </w:rPr>
            </w:pPr>
            <w:r w:rsidRPr="00C70ACA">
              <w:rPr>
                <w:lang w:val="en-GB"/>
              </w:rPr>
              <w:t>[gh</w:t>
            </w:r>
            <w:r w:rsidRPr="00C70ACA">
              <w:rPr>
                <w:vertAlign w:val="superscript"/>
                <w:lang w:val="en-GB"/>
              </w:rPr>
              <w:t>-1</w:t>
            </w:r>
            <w:r w:rsidRPr="00C70ACA">
              <w:rPr>
                <w:lang w:val="en-GB"/>
              </w:rPr>
              <w:t>m</w:t>
            </w:r>
            <w:r w:rsidRPr="00C70ACA">
              <w:rPr>
                <w:vertAlign w:val="superscript"/>
                <w:lang w:val="en-GB"/>
              </w:rPr>
              <w:t>-2</w:t>
            </w:r>
            <w:r w:rsidRPr="00C70ACA">
              <w:rPr>
                <w:lang w:val="en-GB"/>
              </w:rPr>
              <w:t>]</w:t>
            </w:r>
          </w:p>
        </w:tc>
        <w:tc>
          <w:tcPr>
            <w:tcW w:w="1134" w:type="dxa"/>
            <w:tcBorders>
              <w:top w:val="single" w:sz="12" w:space="0" w:color="008000"/>
              <w:bottom w:val="single" w:sz="6" w:space="0" w:color="008000"/>
            </w:tcBorders>
            <w:shd w:val="clear" w:color="auto" w:fill="FFFFFF"/>
          </w:tcPr>
          <w:p w14:paraId="2EADD510" w14:textId="77777777" w:rsidR="00303266" w:rsidRPr="00C70ACA" w:rsidRDefault="00303266" w:rsidP="001F13F3">
            <w:pPr>
              <w:pStyle w:val="CETBodytext"/>
              <w:ind w:right="-1"/>
              <w:rPr>
                <w:rFonts w:cs="Arial"/>
                <w:szCs w:val="18"/>
                <w:lang w:val="en-GB"/>
              </w:rPr>
            </w:pPr>
          </w:p>
        </w:tc>
      </w:tr>
      <w:tr w:rsidR="00303266" w:rsidRPr="00C70ACA" w14:paraId="21E22D75" w14:textId="77777777" w:rsidTr="008D0981">
        <w:trPr>
          <w:trHeight w:val="466"/>
        </w:trPr>
        <w:tc>
          <w:tcPr>
            <w:tcW w:w="1134" w:type="dxa"/>
            <w:shd w:val="clear" w:color="auto" w:fill="FFFFFF"/>
          </w:tcPr>
          <w:p w14:paraId="18D5AEB7" w14:textId="77777777" w:rsidR="00303266" w:rsidRPr="00C70ACA" w:rsidRDefault="00303266" w:rsidP="001F13F3">
            <w:r w:rsidRPr="00C70ACA">
              <w:t>550</w:t>
            </w:r>
          </w:p>
          <w:p w14:paraId="589C6BE9" w14:textId="77777777" w:rsidR="00303266" w:rsidRPr="00C70ACA" w:rsidRDefault="00303266" w:rsidP="001F13F3">
            <w:pPr>
              <w:pStyle w:val="CETBodytext"/>
              <w:rPr>
                <w:lang w:val="en-GB"/>
              </w:rPr>
            </w:pPr>
            <w:r w:rsidRPr="00C70ACA">
              <w:rPr>
                <w:lang w:val="en-GB"/>
              </w:rPr>
              <w:t>600</w:t>
            </w:r>
          </w:p>
          <w:p w14:paraId="235FC8C6" w14:textId="0601EB52" w:rsidR="008D0981" w:rsidRPr="00C70ACA" w:rsidRDefault="008D0981" w:rsidP="001F13F3">
            <w:pPr>
              <w:pStyle w:val="CETBodytext"/>
              <w:rPr>
                <w:lang w:val="en-GB"/>
              </w:rPr>
            </w:pPr>
            <w:r w:rsidRPr="00C70ACA">
              <w:rPr>
                <w:lang w:val="en-GB"/>
              </w:rPr>
              <w:t>625</w:t>
            </w:r>
          </w:p>
          <w:p w14:paraId="25C28DE9" w14:textId="0CF80EE3" w:rsidR="00303266" w:rsidRPr="00C70ACA" w:rsidRDefault="00303266" w:rsidP="001F13F3">
            <w:pPr>
              <w:pStyle w:val="CETBodytext"/>
              <w:rPr>
                <w:lang w:val="en-GB"/>
              </w:rPr>
            </w:pPr>
            <w:r w:rsidRPr="00C70ACA">
              <w:rPr>
                <w:lang w:val="en-GB"/>
              </w:rPr>
              <w:t>65</w:t>
            </w:r>
            <w:r w:rsidR="008D0981" w:rsidRPr="00C70ACA">
              <w:rPr>
                <w:lang w:val="en-GB"/>
              </w:rPr>
              <w:t>0</w:t>
            </w:r>
          </w:p>
        </w:tc>
        <w:tc>
          <w:tcPr>
            <w:tcW w:w="1134" w:type="dxa"/>
            <w:shd w:val="clear" w:color="auto" w:fill="FFFFFF"/>
          </w:tcPr>
          <w:p w14:paraId="33CAE848" w14:textId="7123A052" w:rsidR="00303266" w:rsidRPr="00C70ACA" w:rsidRDefault="00303266" w:rsidP="001F13F3">
            <w:pPr>
              <w:pStyle w:val="CETBodytext"/>
              <w:rPr>
                <w:lang w:val="en-GB"/>
              </w:rPr>
            </w:pPr>
            <w:r w:rsidRPr="00C70ACA">
              <w:rPr>
                <w:lang w:val="en-GB"/>
              </w:rPr>
              <w:t>0</w:t>
            </w:r>
            <w:r w:rsidR="00AF0523" w:rsidRPr="00C70ACA">
              <w:rPr>
                <w:lang w:val="en-GB"/>
              </w:rPr>
              <w:t>.</w:t>
            </w:r>
            <w:r w:rsidRPr="00C70ACA">
              <w:rPr>
                <w:lang w:val="en-GB"/>
              </w:rPr>
              <w:t>00</w:t>
            </w:r>
            <w:r w:rsidR="008D0981" w:rsidRPr="00C70ACA">
              <w:rPr>
                <w:lang w:val="en-GB"/>
              </w:rPr>
              <w:t>2</w:t>
            </w:r>
          </w:p>
          <w:p w14:paraId="0A3DD452" w14:textId="35E0EBFD" w:rsidR="00303266" w:rsidRPr="00C70ACA" w:rsidRDefault="00303266" w:rsidP="001F13F3">
            <w:pPr>
              <w:pStyle w:val="CETBodytext"/>
              <w:rPr>
                <w:lang w:val="en-GB"/>
              </w:rPr>
            </w:pPr>
            <w:r w:rsidRPr="00C70ACA">
              <w:rPr>
                <w:lang w:val="en-GB"/>
              </w:rPr>
              <w:t>0</w:t>
            </w:r>
            <w:r w:rsidR="00AF0523" w:rsidRPr="00C70ACA">
              <w:rPr>
                <w:lang w:val="en-GB"/>
              </w:rPr>
              <w:t>.</w:t>
            </w:r>
            <w:r w:rsidRPr="00C70ACA">
              <w:rPr>
                <w:lang w:val="en-GB"/>
              </w:rPr>
              <w:t>00</w:t>
            </w:r>
            <w:r w:rsidR="008D0981" w:rsidRPr="00C70ACA">
              <w:rPr>
                <w:lang w:val="en-GB"/>
              </w:rPr>
              <w:t>7</w:t>
            </w:r>
          </w:p>
          <w:p w14:paraId="0107102E" w14:textId="36AC6586" w:rsidR="00303266" w:rsidRPr="00C70ACA" w:rsidRDefault="00303266" w:rsidP="001F13F3">
            <w:pPr>
              <w:pStyle w:val="CETBodytext"/>
              <w:rPr>
                <w:lang w:val="en-GB"/>
              </w:rPr>
            </w:pPr>
            <w:r w:rsidRPr="00C70ACA">
              <w:rPr>
                <w:lang w:val="en-GB"/>
              </w:rPr>
              <w:t>0</w:t>
            </w:r>
            <w:r w:rsidR="00AF0523" w:rsidRPr="00C70ACA">
              <w:rPr>
                <w:lang w:val="en-GB"/>
              </w:rPr>
              <w:t>.</w:t>
            </w:r>
            <w:r w:rsidRPr="00C70ACA">
              <w:rPr>
                <w:lang w:val="en-GB"/>
              </w:rPr>
              <w:t>0</w:t>
            </w:r>
            <w:r w:rsidR="008D0981" w:rsidRPr="00C70ACA">
              <w:rPr>
                <w:lang w:val="en-GB"/>
              </w:rPr>
              <w:t>11</w:t>
            </w:r>
          </w:p>
          <w:p w14:paraId="1FABC5C8" w14:textId="68F2BC01" w:rsidR="00303266" w:rsidRPr="00C70ACA" w:rsidRDefault="008D0981" w:rsidP="001F13F3">
            <w:pPr>
              <w:pStyle w:val="CETBodytext"/>
              <w:rPr>
                <w:lang w:val="en-GB"/>
              </w:rPr>
            </w:pPr>
            <w:r w:rsidRPr="00C70ACA">
              <w:rPr>
                <w:lang w:val="en-GB"/>
              </w:rPr>
              <w:t>0</w:t>
            </w:r>
            <w:r w:rsidR="00AF0523" w:rsidRPr="00C70ACA">
              <w:rPr>
                <w:lang w:val="en-GB"/>
              </w:rPr>
              <w:t>.</w:t>
            </w:r>
            <w:r w:rsidRPr="00C70ACA">
              <w:rPr>
                <w:lang w:val="en-GB"/>
              </w:rPr>
              <w:t>026</w:t>
            </w:r>
          </w:p>
        </w:tc>
        <w:tc>
          <w:tcPr>
            <w:tcW w:w="1134" w:type="dxa"/>
            <w:shd w:val="clear" w:color="auto" w:fill="FFFFFF"/>
          </w:tcPr>
          <w:p w14:paraId="1BCF59D5" w14:textId="3D432C26" w:rsidR="00303266" w:rsidRPr="00C70ACA" w:rsidRDefault="00303266" w:rsidP="001F13F3">
            <w:pPr>
              <w:pStyle w:val="CETBodytext"/>
              <w:rPr>
                <w:lang w:val="en-GB"/>
              </w:rPr>
            </w:pPr>
            <w:r w:rsidRPr="00C70ACA">
              <w:rPr>
                <w:lang w:val="en-GB"/>
              </w:rPr>
              <w:t>0</w:t>
            </w:r>
            <w:r w:rsidR="00AF0523" w:rsidRPr="00C70ACA">
              <w:rPr>
                <w:lang w:val="en-GB"/>
              </w:rPr>
              <w:t>.</w:t>
            </w:r>
            <w:r w:rsidRPr="00C70ACA">
              <w:rPr>
                <w:lang w:val="en-GB"/>
              </w:rPr>
              <w:t>00</w:t>
            </w:r>
            <w:r w:rsidR="008D0981" w:rsidRPr="00C70ACA">
              <w:rPr>
                <w:lang w:val="en-GB"/>
              </w:rPr>
              <w:t>6</w:t>
            </w:r>
          </w:p>
          <w:p w14:paraId="7CB6017D" w14:textId="34E06C15" w:rsidR="00303266" w:rsidRPr="00C70ACA" w:rsidRDefault="00303266" w:rsidP="001F13F3">
            <w:pPr>
              <w:pStyle w:val="CETBodytext"/>
              <w:rPr>
                <w:lang w:val="en-GB"/>
              </w:rPr>
            </w:pPr>
            <w:r w:rsidRPr="00C70ACA">
              <w:rPr>
                <w:lang w:val="en-GB"/>
              </w:rPr>
              <w:t>0</w:t>
            </w:r>
            <w:r w:rsidR="00AF0523" w:rsidRPr="00C70ACA">
              <w:rPr>
                <w:lang w:val="en-GB"/>
              </w:rPr>
              <w:t>.</w:t>
            </w:r>
            <w:r w:rsidRPr="00C70ACA">
              <w:rPr>
                <w:lang w:val="en-GB"/>
              </w:rPr>
              <w:t>0</w:t>
            </w:r>
            <w:r w:rsidR="008D0981" w:rsidRPr="00C70ACA">
              <w:rPr>
                <w:lang w:val="en-GB"/>
              </w:rPr>
              <w:t>26</w:t>
            </w:r>
          </w:p>
          <w:p w14:paraId="6D6412B1" w14:textId="16B0C82B" w:rsidR="00303266" w:rsidRPr="00C70ACA" w:rsidRDefault="00303266" w:rsidP="001F13F3">
            <w:pPr>
              <w:pStyle w:val="CETBodytext"/>
              <w:rPr>
                <w:lang w:val="en-GB"/>
              </w:rPr>
            </w:pPr>
            <w:r w:rsidRPr="00C70ACA">
              <w:rPr>
                <w:lang w:val="en-GB"/>
              </w:rPr>
              <w:t>0</w:t>
            </w:r>
            <w:r w:rsidR="00AF0523" w:rsidRPr="00C70ACA">
              <w:rPr>
                <w:lang w:val="en-GB"/>
              </w:rPr>
              <w:t>.</w:t>
            </w:r>
            <w:r w:rsidRPr="00C70ACA">
              <w:rPr>
                <w:lang w:val="en-GB"/>
              </w:rPr>
              <w:t>0</w:t>
            </w:r>
            <w:r w:rsidR="008D0981" w:rsidRPr="00C70ACA">
              <w:rPr>
                <w:lang w:val="en-GB"/>
              </w:rPr>
              <w:t>38</w:t>
            </w:r>
          </w:p>
          <w:p w14:paraId="4D397E85" w14:textId="543A524A" w:rsidR="00303266" w:rsidRPr="00C70ACA" w:rsidRDefault="008D0981" w:rsidP="001F13F3">
            <w:pPr>
              <w:pStyle w:val="CETBodytext"/>
              <w:rPr>
                <w:lang w:val="en-GB"/>
              </w:rPr>
            </w:pPr>
            <w:r w:rsidRPr="00C70ACA">
              <w:rPr>
                <w:lang w:val="en-GB"/>
              </w:rPr>
              <w:t>0</w:t>
            </w:r>
            <w:r w:rsidR="00AF0523" w:rsidRPr="00C70ACA">
              <w:rPr>
                <w:lang w:val="en-GB"/>
              </w:rPr>
              <w:t>.</w:t>
            </w:r>
            <w:r w:rsidRPr="00C70ACA">
              <w:rPr>
                <w:lang w:val="en-GB"/>
              </w:rPr>
              <w:t>087</w:t>
            </w:r>
          </w:p>
        </w:tc>
        <w:tc>
          <w:tcPr>
            <w:tcW w:w="1134" w:type="dxa"/>
            <w:shd w:val="clear" w:color="auto" w:fill="FFFFFF"/>
          </w:tcPr>
          <w:p w14:paraId="31B7859D" w14:textId="5F4217B4" w:rsidR="00303266" w:rsidRPr="00C70ACA" w:rsidRDefault="008D0981" w:rsidP="001F13F3">
            <w:pPr>
              <w:pStyle w:val="CETBodytext"/>
              <w:ind w:right="-1"/>
              <w:rPr>
                <w:lang w:val="en-GB"/>
              </w:rPr>
            </w:pPr>
            <w:r w:rsidRPr="00C70ACA">
              <w:rPr>
                <w:lang w:val="en-GB"/>
              </w:rPr>
              <w:t>8</w:t>
            </w:r>
            <w:r w:rsidR="00AF0523" w:rsidRPr="00C70ACA">
              <w:rPr>
                <w:lang w:val="en-GB"/>
              </w:rPr>
              <w:t>.</w:t>
            </w:r>
            <w:r w:rsidRPr="00C70ACA">
              <w:rPr>
                <w:lang w:val="en-GB"/>
              </w:rPr>
              <w:t>662</w:t>
            </w:r>
          </w:p>
          <w:p w14:paraId="688DB4F2" w14:textId="24B7F153" w:rsidR="00303266" w:rsidRPr="00C70ACA" w:rsidRDefault="008D0981" w:rsidP="001F13F3">
            <w:pPr>
              <w:pStyle w:val="CETBodytext"/>
              <w:ind w:right="-1"/>
              <w:rPr>
                <w:lang w:val="en-GB"/>
              </w:rPr>
            </w:pPr>
            <w:r w:rsidRPr="00C70ACA">
              <w:rPr>
                <w:lang w:val="en-GB"/>
              </w:rPr>
              <w:t>38</w:t>
            </w:r>
            <w:r w:rsidR="00AF0523" w:rsidRPr="00C70ACA">
              <w:rPr>
                <w:lang w:val="en-GB"/>
              </w:rPr>
              <w:t>.</w:t>
            </w:r>
            <w:r w:rsidRPr="00C70ACA">
              <w:rPr>
                <w:lang w:val="en-GB"/>
              </w:rPr>
              <w:t>216</w:t>
            </w:r>
          </w:p>
          <w:p w14:paraId="17D3DA80" w14:textId="24582289" w:rsidR="00303266" w:rsidRPr="00C70ACA" w:rsidRDefault="00C21CAF" w:rsidP="001F13F3">
            <w:pPr>
              <w:pStyle w:val="CETBodytext"/>
              <w:ind w:right="-1"/>
              <w:rPr>
                <w:lang w:val="en-GB"/>
              </w:rPr>
            </w:pPr>
            <w:r w:rsidRPr="00C70ACA">
              <w:rPr>
                <w:lang w:val="en-GB"/>
              </w:rPr>
              <w:t>55</w:t>
            </w:r>
            <w:r w:rsidR="00AF0523" w:rsidRPr="00C70ACA">
              <w:rPr>
                <w:lang w:val="en-GB"/>
              </w:rPr>
              <w:t>.</w:t>
            </w:r>
            <w:r w:rsidRPr="00C70ACA">
              <w:rPr>
                <w:lang w:val="en-GB"/>
              </w:rPr>
              <w:t>541</w:t>
            </w:r>
          </w:p>
          <w:p w14:paraId="3A5624B4" w14:textId="5E009A81" w:rsidR="008D0981" w:rsidRPr="00C70ACA" w:rsidRDefault="008D0981" w:rsidP="001F13F3">
            <w:pPr>
              <w:pStyle w:val="CETBodytext"/>
              <w:ind w:right="-1"/>
              <w:rPr>
                <w:lang w:val="en-GB"/>
              </w:rPr>
            </w:pPr>
            <w:r w:rsidRPr="00C70ACA">
              <w:rPr>
                <w:lang w:val="en-GB"/>
              </w:rPr>
              <w:t>131</w:t>
            </w:r>
            <w:r w:rsidR="00AF0523" w:rsidRPr="00C70ACA">
              <w:rPr>
                <w:lang w:val="en-GB"/>
              </w:rPr>
              <w:t>.</w:t>
            </w:r>
            <w:r w:rsidR="00C21CAF" w:rsidRPr="00C70ACA">
              <w:rPr>
                <w:lang w:val="en-GB"/>
              </w:rPr>
              <w:t>465</w:t>
            </w:r>
          </w:p>
        </w:tc>
        <w:tc>
          <w:tcPr>
            <w:tcW w:w="1134" w:type="dxa"/>
            <w:shd w:val="clear" w:color="auto" w:fill="FFFFFF"/>
          </w:tcPr>
          <w:p w14:paraId="15CAD88C" w14:textId="77777777" w:rsidR="00303266" w:rsidRPr="00C70ACA" w:rsidRDefault="00303266" w:rsidP="001F13F3">
            <w:pPr>
              <w:pStyle w:val="CETBodytext"/>
              <w:ind w:right="-1"/>
              <w:rPr>
                <w:rFonts w:cs="Arial"/>
                <w:szCs w:val="18"/>
                <w:lang w:val="en-GB"/>
              </w:rPr>
            </w:pPr>
          </w:p>
        </w:tc>
      </w:tr>
    </w:tbl>
    <w:p w14:paraId="57ADC541" w14:textId="54D435F7" w:rsidR="00A95E1E" w:rsidRPr="00C70ACA" w:rsidRDefault="00A95E1E" w:rsidP="00A268FD">
      <w:pPr>
        <w:pStyle w:val="CETBodytext"/>
        <w:rPr>
          <w:lang w:val="en-GB"/>
        </w:rPr>
      </w:pPr>
    </w:p>
    <w:p w14:paraId="61EB3E3A" w14:textId="77777777" w:rsidR="009F56F9" w:rsidRPr="00C70ACA" w:rsidRDefault="009F56F9" w:rsidP="00A268FD">
      <w:pPr>
        <w:pStyle w:val="CETBodytext"/>
        <w:rPr>
          <w:lang w:val="en-GB"/>
        </w:rPr>
      </w:pPr>
    </w:p>
    <w:p w14:paraId="2B8E9866" w14:textId="7EDBD75E" w:rsidR="00AD4580" w:rsidRPr="00A66A68" w:rsidRDefault="00B574FB" w:rsidP="00A268FD">
      <w:pPr>
        <w:pStyle w:val="CETBodytext"/>
        <w:rPr>
          <w:lang w:val="it-IT"/>
        </w:rPr>
      </w:pPr>
      <w:r w:rsidRPr="00A66A68">
        <w:rPr>
          <w:lang w:val="it-IT"/>
        </w:rPr>
        <w:t xml:space="preserve"> </w:t>
      </w:r>
      <w:r>
        <w:rPr>
          <w:lang w:val="it-IT"/>
        </w:rPr>
        <w:t xml:space="preserve">   </w:t>
      </w:r>
      <w:r w:rsidR="001C6D25" w:rsidRPr="00A66A68">
        <w:rPr>
          <w:lang w:val="it-IT"/>
        </w:rPr>
        <w:t>a</w:t>
      </w:r>
      <w:r w:rsidR="00696D25" w:rsidRPr="00A66A68">
        <w:rPr>
          <w:lang w:val="it-IT"/>
        </w:rPr>
        <w:t>)</w:t>
      </w:r>
      <w:r w:rsidRPr="00A66A68">
        <w:rPr>
          <w:lang w:val="it-IT"/>
        </w:rPr>
        <w:t xml:space="preserve"> Ignalina NPP</w:t>
      </w:r>
      <w:r w:rsidR="001C6D25" w:rsidRPr="00A66A68">
        <w:rPr>
          <w:lang w:val="it-IT"/>
        </w:rPr>
        <w:t xml:space="preserve">                                                            </w:t>
      </w:r>
      <w:r>
        <w:rPr>
          <w:lang w:val="it-IT"/>
        </w:rPr>
        <w:t xml:space="preserve">     </w:t>
      </w:r>
      <w:r w:rsidR="001C6D25" w:rsidRPr="00A66A68">
        <w:rPr>
          <w:lang w:val="it-IT"/>
        </w:rPr>
        <w:t>b</w:t>
      </w:r>
      <w:r w:rsidR="00696D25" w:rsidRPr="00A66A68">
        <w:rPr>
          <w:lang w:val="it-IT"/>
        </w:rPr>
        <w:t>)</w:t>
      </w:r>
      <w:r w:rsidRPr="00A66A68">
        <w:rPr>
          <w:lang w:val="it-IT"/>
        </w:rPr>
        <w:t xml:space="preserve"> </w:t>
      </w:r>
      <w:proofErr w:type="spellStart"/>
      <w:r w:rsidRPr="00A66A68">
        <w:rPr>
          <w:lang w:val="it-IT"/>
        </w:rPr>
        <w:t>Polimi</w:t>
      </w:r>
      <w:proofErr w:type="spellEnd"/>
    </w:p>
    <w:p w14:paraId="482C1605" w14:textId="521DCA21" w:rsidR="00A95E1E" w:rsidRPr="00286506" w:rsidRDefault="003E118F" w:rsidP="00A95E1E">
      <w:pPr>
        <w:pStyle w:val="CETBodytext"/>
        <w:rPr>
          <w:lang w:val="it-IT"/>
        </w:rPr>
      </w:pPr>
      <w:r>
        <w:rPr>
          <w:noProof/>
          <w:lang w:val="it-IT" w:eastAsia="it-IT"/>
        </w:rPr>
        <mc:AlternateContent>
          <mc:Choice Requires="wps">
            <w:drawing>
              <wp:anchor distT="0" distB="0" distL="114300" distR="114300" simplePos="0" relativeHeight="251674112" behindDoc="0" locked="0" layoutInCell="1" allowOverlap="1" wp14:anchorId="79271C37" wp14:editId="402D32C1">
                <wp:simplePos x="0" y="0"/>
                <wp:positionH relativeFrom="margin">
                  <wp:posOffset>3240129</wp:posOffset>
                </wp:positionH>
                <wp:positionV relativeFrom="paragraph">
                  <wp:posOffset>1347994</wp:posOffset>
                </wp:positionV>
                <wp:extent cx="585926" cy="204186"/>
                <wp:effectExtent l="0" t="0" r="0" b="5715"/>
                <wp:wrapNone/>
                <wp:docPr id="4" name="Casella di testo 4"/>
                <wp:cNvGraphicFramePr/>
                <a:graphic xmlns:a="http://schemas.openxmlformats.org/drawingml/2006/main">
                  <a:graphicData uri="http://schemas.microsoft.com/office/word/2010/wordprocessingShape">
                    <wps:wsp>
                      <wps:cNvSpPr txBox="1"/>
                      <wps:spPr>
                        <a:xfrm>
                          <a:off x="0" y="0"/>
                          <a:ext cx="585926" cy="204186"/>
                        </a:xfrm>
                        <a:prstGeom prst="rect">
                          <a:avLst/>
                        </a:prstGeom>
                        <a:noFill/>
                        <a:ln w="6350">
                          <a:noFill/>
                        </a:ln>
                      </wps:spPr>
                      <wps:txbx>
                        <w:txbxContent>
                          <w:p w14:paraId="7493D7FB" w14:textId="77777777" w:rsidR="003E118F" w:rsidRDefault="003E118F" w:rsidP="003E118F">
                            <w:pPr>
                              <w:rPr>
                                <w:rFonts w:cs="Arial"/>
                                <w:sz w:val="12"/>
                                <w:szCs w:val="12"/>
                              </w:rPr>
                            </w:pPr>
                            <w:r w:rsidRPr="00AD53AA">
                              <w:rPr>
                                <w:rFonts w:cs="Arial"/>
                                <w:sz w:val="12"/>
                                <w:szCs w:val="12"/>
                              </w:rPr>
                              <w:t>R</w:t>
                            </w:r>
                            <w:r w:rsidRPr="00AD53AA">
                              <w:rPr>
                                <w:rFonts w:cs="Arial"/>
                                <w:sz w:val="12"/>
                                <w:szCs w:val="12"/>
                                <w:vertAlign w:val="superscript"/>
                              </w:rPr>
                              <w:t>2</w:t>
                            </w:r>
                            <w:r w:rsidRPr="00AD53AA">
                              <w:rPr>
                                <w:rFonts w:cs="Arial"/>
                                <w:sz w:val="12"/>
                                <w:szCs w:val="12"/>
                              </w:rPr>
                              <w:t>= 0.99</w:t>
                            </w:r>
                            <w:r>
                              <w:rPr>
                                <w:rFonts w:cs="Arial"/>
                                <w:sz w:val="12"/>
                                <w:szCs w:val="12"/>
                              </w:rPr>
                              <w:t>98</w:t>
                            </w:r>
                          </w:p>
                          <w:p w14:paraId="66D1A281" w14:textId="77777777" w:rsidR="003E118F" w:rsidRPr="00AD53AA" w:rsidRDefault="003E118F" w:rsidP="003E118F">
                            <w:pPr>
                              <w:rPr>
                                <w:rFonts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71C37" id="_x0000_t202" coordsize="21600,21600" o:spt="202" path="m,l,21600r21600,l21600,xe">
                <v:stroke joinstyle="miter"/>
                <v:path gradientshapeok="t" o:connecttype="rect"/>
              </v:shapetype>
              <v:shape id="Casella di testo 4" o:spid="_x0000_s1026" type="#_x0000_t202" style="position:absolute;left:0;text-align:left;margin-left:255.15pt;margin-top:106.15pt;width:46.15pt;height:16.1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DMFwIAACsEAAAOAAAAZHJzL2Uyb0RvYy54bWysU02P2jAQvVfqf7B8L0koUDY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" filled="f" stroked="f" strokeweight=".5pt">
                <v:textbox>
                  <w:txbxContent>
                    <w:p w14:paraId="7493D7FB" w14:textId="77777777" w:rsidR="003E118F" w:rsidRDefault="003E118F" w:rsidP="003E118F">
                      <w:pPr>
                        <w:rPr>
                          <w:rFonts w:cs="Arial"/>
                          <w:sz w:val="12"/>
                          <w:szCs w:val="12"/>
                        </w:rPr>
                      </w:pPr>
                      <w:r w:rsidRPr="00AD53AA">
                        <w:rPr>
                          <w:rFonts w:cs="Arial"/>
                          <w:sz w:val="12"/>
                          <w:szCs w:val="12"/>
                        </w:rPr>
                        <w:t>R</w:t>
                      </w:r>
                      <w:r w:rsidRPr="00AD53AA">
                        <w:rPr>
                          <w:rFonts w:cs="Arial"/>
                          <w:sz w:val="12"/>
                          <w:szCs w:val="12"/>
                          <w:vertAlign w:val="superscript"/>
                        </w:rPr>
                        <w:t>2</w:t>
                      </w:r>
                      <w:r w:rsidRPr="00AD53AA">
                        <w:rPr>
                          <w:rFonts w:cs="Arial"/>
                          <w:sz w:val="12"/>
                          <w:szCs w:val="12"/>
                        </w:rPr>
                        <w:t>= 0.99</w:t>
                      </w:r>
                      <w:r>
                        <w:rPr>
                          <w:rFonts w:cs="Arial"/>
                          <w:sz w:val="12"/>
                          <w:szCs w:val="12"/>
                        </w:rPr>
                        <w:t>98</w:t>
                      </w:r>
                    </w:p>
                    <w:p w14:paraId="66D1A281" w14:textId="77777777" w:rsidR="003E118F" w:rsidRPr="00AD53AA" w:rsidRDefault="003E118F" w:rsidP="003E118F">
                      <w:pPr>
                        <w:rPr>
                          <w:rFonts w:cs="Arial"/>
                          <w:sz w:val="12"/>
                          <w:szCs w:val="12"/>
                        </w:rPr>
                      </w:pPr>
                    </w:p>
                  </w:txbxContent>
                </v:textbox>
                <w10:wrap anchorx="margin"/>
              </v:shape>
            </w:pict>
          </mc:Fallback>
        </mc:AlternateContent>
      </w:r>
      <w:r>
        <w:rPr>
          <w:noProof/>
          <w:lang w:val="it-IT" w:eastAsia="it-IT"/>
        </w:rPr>
        <mc:AlternateContent>
          <mc:Choice Requires="wps">
            <w:drawing>
              <wp:anchor distT="0" distB="0" distL="114300" distR="114300" simplePos="0" relativeHeight="251672064" behindDoc="0" locked="0" layoutInCell="1" allowOverlap="1" wp14:anchorId="0EAE33D7" wp14:editId="5472F540">
                <wp:simplePos x="0" y="0"/>
                <wp:positionH relativeFrom="column">
                  <wp:posOffset>3245844</wp:posOffset>
                </wp:positionH>
                <wp:positionV relativeFrom="paragraph">
                  <wp:posOffset>1199404</wp:posOffset>
                </wp:positionV>
                <wp:extent cx="923277" cy="195308"/>
                <wp:effectExtent l="0" t="0" r="0" b="0"/>
                <wp:wrapNone/>
                <wp:docPr id="15" name="Casella di testo 15"/>
                <wp:cNvGraphicFramePr/>
                <a:graphic xmlns:a="http://schemas.openxmlformats.org/drawingml/2006/main">
                  <a:graphicData uri="http://schemas.microsoft.com/office/word/2010/wordprocessingShape">
                    <wps:wsp>
                      <wps:cNvSpPr txBox="1"/>
                      <wps:spPr>
                        <a:xfrm>
                          <a:off x="0" y="0"/>
                          <a:ext cx="923277" cy="195308"/>
                        </a:xfrm>
                        <a:prstGeom prst="rect">
                          <a:avLst/>
                        </a:prstGeom>
                        <a:noFill/>
                        <a:ln w="6350">
                          <a:noFill/>
                        </a:ln>
                      </wps:spPr>
                      <wps:txbx>
                        <w:txbxContent>
                          <w:p w14:paraId="27B6BFF8" w14:textId="75E040F5" w:rsidR="003E118F" w:rsidRPr="00AD53AA" w:rsidRDefault="003E118F" w:rsidP="003E118F">
                            <w:pPr>
                              <w:rPr>
                                <w:rFonts w:cs="Arial"/>
                                <w:sz w:val="12"/>
                                <w:szCs w:val="12"/>
                              </w:rPr>
                            </w:pPr>
                            <w:r w:rsidRPr="00AD53AA">
                              <w:rPr>
                                <w:rFonts w:cs="Arial"/>
                                <w:sz w:val="12"/>
                                <w:szCs w:val="12"/>
                              </w:rPr>
                              <w:t>y= -</w:t>
                            </w:r>
                            <w:r>
                              <w:rPr>
                                <w:rFonts w:cs="Arial"/>
                                <w:sz w:val="12"/>
                                <w:szCs w:val="12"/>
                              </w:rPr>
                              <w:t>9.2299</w:t>
                            </w:r>
                            <w:r w:rsidRPr="00AD53AA">
                              <w:rPr>
                                <w:rFonts w:cs="Arial"/>
                                <w:sz w:val="12"/>
                                <w:szCs w:val="12"/>
                              </w:rPr>
                              <w:t>x + 8</w:t>
                            </w:r>
                            <w:r w:rsidR="002546D6">
                              <w:rPr>
                                <w:rFonts w:cs="Arial"/>
                                <w:sz w:val="12"/>
                                <w:szCs w:val="12"/>
                              </w:rPr>
                              <w:t>.</w:t>
                            </w:r>
                            <w:r>
                              <w:rPr>
                                <w:rFonts w:cs="Arial"/>
                                <w:sz w:val="12"/>
                                <w:szCs w:val="12"/>
                              </w:rPr>
                              <w:t>6811</w:t>
                            </w:r>
                          </w:p>
                          <w:p w14:paraId="28EF6609" w14:textId="77777777" w:rsidR="003E118F" w:rsidRDefault="003E118F" w:rsidP="003E11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33D7" id="_x0000_t202" coordsize="21600,21600" o:spt="202" path="m,l,21600r21600,l21600,xe">
                <v:stroke joinstyle="miter"/>
                <v:path gradientshapeok="t" o:connecttype="rect"/>
              </v:shapetype>
              <v:shape id="Casella di testo 15" o:spid="_x0000_s1027" type="#_x0000_t202" style="position:absolute;left:0;text-align:left;margin-left:255.6pt;margin-top:94.45pt;width:72.7pt;height:1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B76GQIAADI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" filled="f" stroked="f" strokeweight=".5pt">
                <v:textbox>
                  <w:txbxContent>
                    <w:p w14:paraId="27B6BFF8" w14:textId="75E040F5" w:rsidR="003E118F" w:rsidRPr="00AD53AA" w:rsidRDefault="003E118F" w:rsidP="003E118F">
                      <w:pPr>
                        <w:rPr>
                          <w:rFonts w:cs="Arial"/>
                          <w:sz w:val="12"/>
                          <w:szCs w:val="12"/>
                        </w:rPr>
                      </w:pPr>
                      <w:r w:rsidRPr="00AD53AA">
                        <w:rPr>
                          <w:rFonts w:cs="Arial"/>
                          <w:sz w:val="12"/>
                          <w:szCs w:val="12"/>
                        </w:rPr>
                        <w:t>y= -</w:t>
                      </w:r>
                      <w:r>
                        <w:rPr>
                          <w:rFonts w:cs="Arial"/>
                          <w:sz w:val="12"/>
                          <w:szCs w:val="12"/>
                        </w:rPr>
                        <w:t>9.2299</w:t>
                      </w:r>
                      <w:r w:rsidRPr="00AD53AA">
                        <w:rPr>
                          <w:rFonts w:cs="Arial"/>
                          <w:sz w:val="12"/>
                          <w:szCs w:val="12"/>
                        </w:rPr>
                        <w:t>x + 8</w:t>
                      </w:r>
                      <w:r w:rsidR="002546D6">
                        <w:rPr>
                          <w:rFonts w:cs="Arial"/>
                          <w:sz w:val="12"/>
                          <w:szCs w:val="12"/>
                        </w:rPr>
                        <w:t>.</w:t>
                      </w:r>
                      <w:r>
                        <w:rPr>
                          <w:rFonts w:cs="Arial"/>
                          <w:sz w:val="12"/>
                          <w:szCs w:val="12"/>
                        </w:rPr>
                        <w:t>6811</w:t>
                      </w:r>
                    </w:p>
                    <w:p w14:paraId="28EF6609" w14:textId="77777777" w:rsidR="003E118F" w:rsidRDefault="003E118F" w:rsidP="003E118F"/>
                  </w:txbxContent>
                </v:textbox>
              </v:shape>
            </w:pict>
          </mc:Fallback>
        </mc:AlternateContent>
      </w:r>
      <w:r w:rsidR="00B920CE">
        <w:rPr>
          <w:noProof/>
          <w:lang w:val="it-IT" w:eastAsia="it-IT"/>
        </w:rPr>
        <mc:AlternateContent>
          <mc:Choice Requires="wps">
            <w:drawing>
              <wp:anchor distT="0" distB="0" distL="114300" distR="114300" simplePos="0" relativeHeight="251670016" behindDoc="0" locked="0" layoutInCell="1" allowOverlap="1" wp14:anchorId="39E80672" wp14:editId="7E7D2288">
                <wp:simplePos x="0" y="0"/>
                <wp:positionH relativeFrom="margin">
                  <wp:posOffset>426085</wp:posOffset>
                </wp:positionH>
                <wp:positionV relativeFrom="paragraph">
                  <wp:posOffset>1358912</wp:posOffset>
                </wp:positionV>
                <wp:extent cx="585926" cy="204186"/>
                <wp:effectExtent l="0" t="0" r="0" b="5715"/>
                <wp:wrapNone/>
                <wp:docPr id="14" name="Casella di testo 14"/>
                <wp:cNvGraphicFramePr/>
                <a:graphic xmlns:a="http://schemas.openxmlformats.org/drawingml/2006/main">
                  <a:graphicData uri="http://schemas.microsoft.com/office/word/2010/wordprocessingShape">
                    <wps:wsp>
                      <wps:cNvSpPr txBox="1"/>
                      <wps:spPr>
                        <a:xfrm>
                          <a:off x="0" y="0"/>
                          <a:ext cx="585926" cy="204186"/>
                        </a:xfrm>
                        <a:prstGeom prst="rect">
                          <a:avLst/>
                        </a:prstGeom>
                        <a:noFill/>
                        <a:ln w="6350">
                          <a:noFill/>
                        </a:ln>
                      </wps:spPr>
                      <wps:txbx>
                        <w:txbxContent>
                          <w:p w14:paraId="2304AB6F" w14:textId="77777777" w:rsidR="00B920CE" w:rsidRDefault="00B920CE" w:rsidP="00B920CE">
                            <w:pPr>
                              <w:rPr>
                                <w:rFonts w:cs="Arial"/>
                                <w:sz w:val="12"/>
                                <w:szCs w:val="12"/>
                              </w:rPr>
                            </w:pPr>
                            <w:r w:rsidRPr="00AD53AA">
                              <w:rPr>
                                <w:rFonts w:cs="Arial"/>
                                <w:sz w:val="12"/>
                                <w:szCs w:val="12"/>
                              </w:rPr>
                              <w:t>R</w:t>
                            </w:r>
                            <w:r w:rsidRPr="00AD53AA">
                              <w:rPr>
                                <w:rFonts w:cs="Arial"/>
                                <w:sz w:val="12"/>
                                <w:szCs w:val="12"/>
                                <w:vertAlign w:val="superscript"/>
                              </w:rPr>
                              <w:t>2</w:t>
                            </w:r>
                            <w:r w:rsidRPr="00AD53AA">
                              <w:rPr>
                                <w:rFonts w:cs="Arial"/>
                                <w:sz w:val="12"/>
                                <w:szCs w:val="12"/>
                              </w:rPr>
                              <w:t>= 0.9903</w:t>
                            </w:r>
                          </w:p>
                          <w:p w14:paraId="0531965F" w14:textId="77777777" w:rsidR="00B920CE" w:rsidRPr="00AD53AA" w:rsidRDefault="00B920CE" w:rsidP="00B920CE">
                            <w:pPr>
                              <w:rPr>
                                <w:rFonts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80672" id="Casella di testo 14" o:spid="_x0000_s1028" type="#_x0000_t202" style="position:absolute;left:0;text-align:left;margin-left:33.55pt;margin-top:107pt;width:46.15pt;height:1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cxGgIAADIEAAAOAAAAZHJzL2Uyb0RvYy54bWysU02P2jAQvVfqf7B8LwkUKBs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" filled="f" stroked="f" strokeweight=".5pt">
                <v:textbox>
                  <w:txbxContent>
                    <w:p w14:paraId="2304AB6F" w14:textId="77777777" w:rsidR="00B920CE" w:rsidRDefault="00B920CE" w:rsidP="00B920CE">
                      <w:pPr>
                        <w:rPr>
                          <w:rFonts w:cs="Arial"/>
                          <w:sz w:val="12"/>
                          <w:szCs w:val="12"/>
                        </w:rPr>
                      </w:pPr>
                      <w:r w:rsidRPr="00AD53AA">
                        <w:rPr>
                          <w:rFonts w:cs="Arial"/>
                          <w:sz w:val="12"/>
                          <w:szCs w:val="12"/>
                        </w:rPr>
                        <w:t>R</w:t>
                      </w:r>
                      <w:r w:rsidRPr="00AD53AA">
                        <w:rPr>
                          <w:rFonts w:cs="Arial"/>
                          <w:sz w:val="12"/>
                          <w:szCs w:val="12"/>
                          <w:vertAlign w:val="superscript"/>
                        </w:rPr>
                        <w:t>2</w:t>
                      </w:r>
                      <w:r w:rsidRPr="00AD53AA">
                        <w:rPr>
                          <w:rFonts w:cs="Arial"/>
                          <w:sz w:val="12"/>
                          <w:szCs w:val="12"/>
                        </w:rPr>
                        <w:t>= 0.9903</w:t>
                      </w:r>
                    </w:p>
                    <w:p w14:paraId="0531965F" w14:textId="77777777" w:rsidR="00B920CE" w:rsidRPr="00AD53AA" w:rsidRDefault="00B920CE" w:rsidP="00B920CE">
                      <w:pPr>
                        <w:rPr>
                          <w:rFonts w:cs="Arial"/>
                          <w:sz w:val="12"/>
                          <w:szCs w:val="12"/>
                        </w:rPr>
                      </w:pPr>
                    </w:p>
                  </w:txbxContent>
                </v:textbox>
                <w10:wrap anchorx="margin"/>
              </v:shape>
            </w:pict>
          </mc:Fallback>
        </mc:AlternateContent>
      </w:r>
      <w:r w:rsidR="00B920CE">
        <w:rPr>
          <w:noProof/>
          <w:lang w:val="it-IT" w:eastAsia="it-IT"/>
        </w:rPr>
        <mc:AlternateContent>
          <mc:Choice Requires="wps">
            <w:drawing>
              <wp:anchor distT="0" distB="0" distL="114300" distR="114300" simplePos="0" relativeHeight="251667968" behindDoc="0" locked="0" layoutInCell="1" allowOverlap="1" wp14:anchorId="0D782191" wp14:editId="0A08A807">
                <wp:simplePos x="0" y="0"/>
                <wp:positionH relativeFrom="column">
                  <wp:posOffset>425512</wp:posOffset>
                </wp:positionH>
                <wp:positionV relativeFrom="paragraph">
                  <wp:posOffset>1207770</wp:posOffset>
                </wp:positionV>
                <wp:extent cx="923277" cy="195308"/>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923277" cy="195308"/>
                        </a:xfrm>
                        <a:prstGeom prst="rect">
                          <a:avLst/>
                        </a:prstGeom>
                        <a:noFill/>
                        <a:ln w="6350">
                          <a:noFill/>
                        </a:ln>
                      </wps:spPr>
                      <wps:txbx>
                        <w:txbxContent>
                          <w:p w14:paraId="0C49B732" w14:textId="6B069DEA" w:rsidR="00B920CE" w:rsidRPr="00AD53AA" w:rsidRDefault="00B920CE" w:rsidP="00B920CE">
                            <w:pPr>
                              <w:rPr>
                                <w:rFonts w:cs="Arial"/>
                                <w:sz w:val="12"/>
                                <w:szCs w:val="12"/>
                              </w:rPr>
                            </w:pPr>
                            <w:r w:rsidRPr="00AD53AA">
                              <w:rPr>
                                <w:rFonts w:cs="Arial"/>
                                <w:sz w:val="12"/>
                                <w:szCs w:val="12"/>
                              </w:rPr>
                              <w:t>y= -8.6863x + 8</w:t>
                            </w:r>
                            <w:r w:rsidR="004F7A56">
                              <w:rPr>
                                <w:rFonts w:cs="Arial"/>
                                <w:sz w:val="12"/>
                                <w:szCs w:val="12"/>
                              </w:rPr>
                              <w:t>.</w:t>
                            </w:r>
                            <w:r w:rsidRPr="00AD53AA">
                              <w:rPr>
                                <w:rFonts w:cs="Arial"/>
                                <w:sz w:val="12"/>
                                <w:szCs w:val="12"/>
                              </w:rPr>
                              <w:t>2951</w:t>
                            </w:r>
                          </w:p>
                          <w:p w14:paraId="0305AE95" w14:textId="77777777" w:rsidR="00B920CE" w:rsidRDefault="00B920CE" w:rsidP="00B920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82191" id="Casella di testo 1" o:spid="_x0000_s1029" type="#_x0000_t202" style="position:absolute;left:0;text-align:left;margin-left:33.5pt;margin-top:95.1pt;width:72.7pt;height:1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CLGwIAADI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" filled="f" stroked="f" strokeweight=".5pt">
                <v:textbox>
                  <w:txbxContent>
                    <w:p w14:paraId="0C49B732" w14:textId="6B069DEA" w:rsidR="00B920CE" w:rsidRPr="00AD53AA" w:rsidRDefault="00B920CE" w:rsidP="00B920CE">
                      <w:pPr>
                        <w:rPr>
                          <w:rFonts w:cs="Arial"/>
                          <w:sz w:val="12"/>
                          <w:szCs w:val="12"/>
                        </w:rPr>
                      </w:pPr>
                      <w:r w:rsidRPr="00AD53AA">
                        <w:rPr>
                          <w:rFonts w:cs="Arial"/>
                          <w:sz w:val="12"/>
                          <w:szCs w:val="12"/>
                        </w:rPr>
                        <w:t>y= -8.6863x + 8</w:t>
                      </w:r>
                      <w:r w:rsidR="004F7A56">
                        <w:rPr>
                          <w:rFonts w:cs="Arial"/>
                          <w:sz w:val="12"/>
                          <w:szCs w:val="12"/>
                        </w:rPr>
                        <w:t>.</w:t>
                      </w:r>
                      <w:r w:rsidRPr="00AD53AA">
                        <w:rPr>
                          <w:rFonts w:cs="Arial"/>
                          <w:sz w:val="12"/>
                          <w:szCs w:val="12"/>
                        </w:rPr>
                        <w:t>2951</w:t>
                      </w:r>
                    </w:p>
                    <w:p w14:paraId="0305AE95" w14:textId="77777777" w:rsidR="00B920CE" w:rsidRDefault="00B920CE" w:rsidP="00B920CE"/>
                  </w:txbxContent>
                </v:textbox>
              </v:shape>
            </w:pict>
          </mc:Fallback>
        </mc:AlternateContent>
      </w:r>
      <w:r w:rsidR="00A95E1E" w:rsidRPr="00C70ACA">
        <w:rPr>
          <w:noProof/>
          <w:lang w:val="it-IT" w:eastAsia="it-IT"/>
        </w:rPr>
        <w:drawing>
          <wp:inline distT="0" distB="0" distL="0" distR="0" wp14:anchorId="4D2A9323" wp14:editId="261C5FFF">
            <wp:extent cx="2520000" cy="1800000"/>
            <wp:effectExtent l="0" t="0" r="0" b="0"/>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noChangeArrowheads="1"/>
                    </pic:cNvPicPr>
                  </pic:nvPicPr>
                  <pic:blipFill>
                    <a:blip r:embed="rId13"/>
                    <a:stretch>
                      <a:fillRect/>
                    </a:stretch>
                  </pic:blipFill>
                  <pic:spPr bwMode="auto">
                    <a:xfrm>
                      <a:off x="0" y="0"/>
                      <a:ext cx="2520000" cy="1800000"/>
                    </a:xfrm>
                    <a:prstGeom prst="rect">
                      <a:avLst/>
                    </a:prstGeom>
                    <a:noFill/>
                  </pic:spPr>
                </pic:pic>
              </a:graphicData>
            </a:graphic>
          </wp:inline>
        </w:drawing>
      </w:r>
      <w:r w:rsidR="00FC4349" w:rsidRPr="00286506">
        <w:rPr>
          <w:lang w:val="it-IT"/>
        </w:rPr>
        <w:t xml:space="preserve">          </w:t>
      </w:r>
      <w:r w:rsidR="00FC4349" w:rsidRPr="00C70ACA">
        <w:rPr>
          <w:noProof/>
          <w:lang w:val="it-IT" w:eastAsia="it-IT"/>
        </w:rPr>
        <w:drawing>
          <wp:inline distT="0" distB="0" distL="0" distR="0" wp14:anchorId="2BFA0E47" wp14:editId="6DE2ECF2">
            <wp:extent cx="2520000" cy="1800000"/>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noChangeArrowheads="1"/>
                    </pic:cNvPicPr>
                  </pic:nvPicPr>
                  <pic:blipFill>
                    <a:blip r:embed="rId14"/>
                    <a:stretch>
                      <a:fillRect/>
                    </a:stretch>
                  </pic:blipFill>
                  <pic:spPr bwMode="auto">
                    <a:xfrm>
                      <a:off x="0" y="0"/>
                      <a:ext cx="2520000" cy="1800000"/>
                    </a:xfrm>
                    <a:prstGeom prst="rect">
                      <a:avLst/>
                    </a:prstGeom>
                    <a:noFill/>
                  </pic:spPr>
                </pic:pic>
              </a:graphicData>
            </a:graphic>
          </wp:inline>
        </w:drawing>
      </w:r>
    </w:p>
    <w:p w14:paraId="0ED0B76A" w14:textId="6940B0F6" w:rsidR="00FD3448" w:rsidRPr="00286506" w:rsidRDefault="00A95E1E" w:rsidP="0096752E">
      <w:pPr>
        <w:pStyle w:val="CETCaption"/>
        <w:rPr>
          <w:i w:val="0"/>
          <w:lang w:val="en-US"/>
        </w:rPr>
      </w:pPr>
      <w:r w:rsidRPr="00286506">
        <w:rPr>
          <w:lang w:val="en-US"/>
        </w:rPr>
        <w:t>F</w:t>
      </w:r>
      <w:r w:rsidRPr="00286506">
        <w:rPr>
          <w:rStyle w:val="CETCaptionCarattere"/>
          <w:lang w:val="en-US"/>
        </w:rPr>
        <w:t xml:space="preserve">igure </w:t>
      </w:r>
      <w:r w:rsidR="006702CE">
        <w:rPr>
          <w:rStyle w:val="CETCaptionCarattere"/>
          <w:i/>
        </w:rPr>
        <w:t>4</w:t>
      </w:r>
      <w:r w:rsidRPr="00286506">
        <w:rPr>
          <w:rStyle w:val="CETCaptionCarattere"/>
          <w:lang w:val="en-US"/>
        </w:rPr>
        <w:t>: Arrhenius plot</w:t>
      </w:r>
      <w:r w:rsidR="003330D1" w:rsidRPr="00286506">
        <w:rPr>
          <w:rStyle w:val="CETCaptionCarattere"/>
          <w:lang w:val="en-US"/>
        </w:rPr>
        <w:t>s</w:t>
      </w:r>
      <w:r w:rsidRPr="00286506">
        <w:rPr>
          <w:rStyle w:val="CETCaptionCarattere"/>
          <w:lang w:val="en-US"/>
        </w:rPr>
        <w:t xml:space="preserve"> of weight-normalized</w:t>
      </w:r>
      <w:r w:rsidR="00B42D71" w:rsidRPr="00286506">
        <w:rPr>
          <w:rStyle w:val="CETCaptionCarattere"/>
          <w:lang w:val="en-US"/>
        </w:rPr>
        <w:t xml:space="preserve"> </w:t>
      </w:r>
      <w:r w:rsidRPr="00286506">
        <w:rPr>
          <w:rStyle w:val="CETCaptionCarattere"/>
          <w:lang w:val="en-US"/>
        </w:rPr>
        <w:t xml:space="preserve">oxidation rates </w:t>
      </w:r>
      <w:r w:rsidR="00286506" w:rsidRPr="00286506">
        <w:rPr>
          <w:rStyle w:val="CETCaptionCarattere"/>
          <w:lang w:val="en-US"/>
        </w:rPr>
        <w:t>fo</w:t>
      </w:r>
      <w:r w:rsidR="00286506">
        <w:rPr>
          <w:rStyle w:val="CETCaptionCarattere"/>
          <w:lang w:val="en-US"/>
        </w:rPr>
        <w:t xml:space="preserve">r </w:t>
      </w:r>
      <w:proofErr w:type="spellStart"/>
      <w:r w:rsidR="00286506">
        <w:rPr>
          <w:rStyle w:val="CETCaptionCarattere"/>
          <w:lang w:val="en-US"/>
        </w:rPr>
        <w:t>Ignalina</w:t>
      </w:r>
      <w:proofErr w:type="spellEnd"/>
      <w:r w:rsidR="00286506">
        <w:rPr>
          <w:rStyle w:val="CETCaptionCarattere"/>
          <w:lang w:val="en-US"/>
        </w:rPr>
        <w:t xml:space="preserve"> NPP (a) and </w:t>
      </w:r>
      <w:proofErr w:type="spellStart"/>
      <w:r w:rsidR="00286506">
        <w:rPr>
          <w:rStyle w:val="CETCaptionCarattere"/>
          <w:lang w:val="en-US"/>
        </w:rPr>
        <w:t>Polimi</w:t>
      </w:r>
      <w:proofErr w:type="spellEnd"/>
      <w:r w:rsidR="00286506">
        <w:rPr>
          <w:rStyle w:val="CETCaptionCarattere"/>
          <w:lang w:val="en-US"/>
        </w:rPr>
        <w:t xml:space="preserve"> (b) samples</w:t>
      </w:r>
    </w:p>
    <w:p w14:paraId="21776130" w14:textId="751570CD" w:rsidR="00A268FD" w:rsidRPr="00C70ACA" w:rsidRDefault="00573F57" w:rsidP="00A268FD">
      <w:pPr>
        <w:pStyle w:val="CETBodytext"/>
        <w:rPr>
          <w:color w:val="000000" w:themeColor="text1"/>
          <w:lang w:val="en-GB"/>
        </w:rPr>
      </w:pPr>
      <w:r w:rsidRPr="00C70ACA">
        <w:rPr>
          <w:lang w:val="en-GB"/>
        </w:rPr>
        <w:t>The value of a</w:t>
      </w:r>
      <w:r w:rsidR="00A268FD" w:rsidRPr="00C70ACA">
        <w:rPr>
          <w:lang w:val="en-GB"/>
        </w:rPr>
        <w:t>ctivation energy</w:t>
      </w:r>
      <w:r w:rsidRPr="00C70ACA">
        <w:rPr>
          <w:lang w:val="en-GB"/>
        </w:rPr>
        <w:t xml:space="preserve"> computed from linear Arrhenius plots</w:t>
      </w:r>
      <w:r w:rsidR="00A113D9" w:rsidRPr="00C70ACA">
        <w:rPr>
          <w:lang w:val="en-GB"/>
        </w:rPr>
        <w:t xml:space="preserve"> </w:t>
      </w:r>
      <w:r w:rsidR="006D7472" w:rsidRPr="00C70ACA">
        <w:rPr>
          <w:lang w:val="en-GB"/>
        </w:rPr>
        <w:t xml:space="preserve">for </w:t>
      </w:r>
      <w:proofErr w:type="spellStart"/>
      <w:r w:rsidR="006D7472" w:rsidRPr="00C70ACA">
        <w:rPr>
          <w:lang w:val="en-GB"/>
        </w:rPr>
        <w:t>Poli</w:t>
      </w:r>
      <w:r w:rsidR="003E3BF3" w:rsidRPr="00C70ACA">
        <w:rPr>
          <w:lang w:val="en-GB"/>
        </w:rPr>
        <w:t>mi</w:t>
      </w:r>
      <w:proofErr w:type="spellEnd"/>
      <w:r w:rsidR="006D7472" w:rsidRPr="00C70ACA">
        <w:rPr>
          <w:lang w:val="en-GB"/>
        </w:rPr>
        <w:t xml:space="preserve"> graphite</w:t>
      </w:r>
      <w:r w:rsidRPr="00C70ACA">
        <w:rPr>
          <w:lang w:val="en-GB"/>
        </w:rPr>
        <w:t xml:space="preserve"> </w:t>
      </w:r>
      <w:r w:rsidRPr="00C70ACA">
        <w:rPr>
          <w:color w:val="000000" w:themeColor="text1"/>
          <w:lang w:val="en-GB"/>
        </w:rPr>
        <w:t>was</w:t>
      </w:r>
      <w:r w:rsidR="00B11F38" w:rsidRPr="00C70ACA">
        <w:rPr>
          <w:color w:val="000000" w:themeColor="text1"/>
          <w:lang w:val="en-GB"/>
        </w:rPr>
        <w:t xml:space="preserve"> about</w:t>
      </w:r>
      <w:r w:rsidRPr="00C70ACA">
        <w:rPr>
          <w:color w:val="000000" w:themeColor="text1"/>
          <w:lang w:val="en-GB"/>
        </w:rPr>
        <w:t xml:space="preserve"> </w:t>
      </w:r>
      <w:r w:rsidR="00A268FD" w:rsidRPr="00C70ACA">
        <w:rPr>
          <w:color w:val="000000" w:themeColor="text1"/>
          <w:lang w:val="en-GB"/>
        </w:rPr>
        <w:t>176 kJ/mol</w:t>
      </w:r>
      <w:r w:rsidR="00B11F38" w:rsidRPr="00C70ACA">
        <w:rPr>
          <w:color w:val="000000" w:themeColor="text1"/>
          <w:lang w:val="en-GB"/>
        </w:rPr>
        <w:t>, while th</w:t>
      </w:r>
      <w:r w:rsidR="00B66D22" w:rsidRPr="00C70ACA">
        <w:rPr>
          <w:color w:val="000000" w:themeColor="text1"/>
          <w:lang w:val="en-GB"/>
        </w:rPr>
        <w:t>e</w:t>
      </w:r>
      <w:r w:rsidR="00B11F38" w:rsidRPr="00C70ACA">
        <w:rPr>
          <w:color w:val="000000" w:themeColor="text1"/>
          <w:lang w:val="en-GB"/>
        </w:rPr>
        <w:t xml:space="preserve"> value calculated for </w:t>
      </w:r>
      <w:proofErr w:type="spellStart"/>
      <w:r w:rsidR="0087069B">
        <w:rPr>
          <w:color w:val="000000" w:themeColor="text1"/>
          <w:lang w:val="en-GB"/>
        </w:rPr>
        <w:t>Ignalina</w:t>
      </w:r>
      <w:proofErr w:type="spellEnd"/>
      <w:r w:rsidR="0087069B">
        <w:rPr>
          <w:color w:val="000000" w:themeColor="text1"/>
          <w:lang w:val="en-GB"/>
        </w:rPr>
        <w:t xml:space="preserve"> NPP</w:t>
      </w:r>
      <w:r w:rsidR="0087069B" w:rsidRPr="00C70ACA">
        <w:rPr>
          <w:color w:val="000000" w:themeColor="text1"/>
          <w:lang w:val="en-GB"/>
        </w:rPr>
        <w:t xml:space="preserve"> </w:t>
      </w:r>
      <w:r w:rsidR="00B11F38" w:rsidRPr="00C70ACA">
        <w:rPr>
          <w:color w:val="000000" w:themeColor="text1"/>
          <w:lang w:val="en-GB"/>
        </w:rPr>
        <w:t xml:space="preserve">graphite was about 166 </w:t>
      </w:r>
      <w:r w:rsidR="003E3BF3" w:rsidRPr="00C70ACA">
        <w:rPr>
          <w:color w:val="000000" w:themeColor="text1"/>
          <w:lang w:val="en-GB"/>
        </w:rPr>
        <w:t>k</w:t>
      </w:r>
      <w:r w:rsidR="00B11F38" w:rsidRPr="00C70ACA">
        <w:rPr>
          <w:color w:val="000000" w:themeColor="text1"/>
          <w:lang w:val="en-GB"/>
        </w:rPr>
        <w:t>J/mol.</w:t>
      </w:r>
    </w:p>
    <w:p w14:paraId="77D8BC5A" w14:textId="79B1735E" w:rsidR="007A2C21" w:rsidRPr="00EC760F" w:rsidRDefault="00A268FD" w:rsidP="00542C3C">
      <w:pPr>
        <w:pStyle w:val="CETBodytext"/>
        <w:rPr>
          <w:lang w:val="en-GB"/>
        </w:rPr>
      </w:pPr>
      <w:r w:rsidRPr="00EC760F">
        <w:rPr>
          <w:lang w:val="en-GB"/>
        </w:rPr>
        <w:t>The value</w:t>
      </w:r>
      <w:r w:rsidR="00191FA1" w:rsidRPr="00EC760F">
        <w:rPr>
          <w:lang w:val="en-GB"/>
        </w:rPr>
        <w:t>s</w:t>
      </w:r>
      <w:r w:rsidRPr="00EC760F">
        <w:rPr>
          <w:lang w:val="en-GB"/>
        </w:rPr>
        <w:t xml:space="preserve"> found </w:t>
      </w:r>
      <w:r w:rsidR="009D2449" w:rsidRPr="00EC760F">
        <w:rPr>
          <w:lang w:val="en-GB"/>
        </w:rPr>
        <w:t>are</w:t>
      </w:r>
      <w:r w:rsidRPr="00EC760F">
        <w:rPr>
          <w:lang w:val="en-GB"/>
        </w:rPr>
        <w:t xml:space="preserve"> coherent with oxidation studies in literature</w:t>
      </w:r>
      <w:r w:rsidR="00F27E3E" w:rsidRPr="00EC760F">
        <w:rPr>
          <w:lang w:val="en-GB"/>
        </w:rPr>
        <w:t xml:space="preserve"> at the same temperatures</w:t>
      </w:r>
      <w:r w:rsidR="003C0C22" w:rsidRPr="00EC760F">
        <w:rPr>
          <w:lang w:val="en-GB"/>
        </w:rPr>
        <w:t>, where</w:t>
      </w:r>
      <w:r w:rsidR="001B3D44" w:rsidRPr="00EC760F">
        <w:rPr>
          <w:lang w:val="en-GB"/>
        </w:rPr>
        <w:t xml:space="preserve"> examples of </w:t>
      </w:r>
      <w:r w:rsidR="003C0C22" w:rsidRPr="00EC760F">
        <w:rPr>
          <w:lang w:val="en-GB"/>
        </w:rPr>
        <w:t>activation energy values range</w:t>
      </w:r>
      <w:r w:rsidR="001B3D44" w:rsidRPr="00EC760F">
        <w:rPr>
          <w:lang w:val="en-GB"/>
        </w:rPr>
        <w:t>s are: 150 – 160 kJ/mol</w:t>
      </w:r>
      <w:r w:rsidR="001F6153" w:rsidRPr="00EC760F">
        <w:rPr>
          <w:lang w:val="en-GB"/>
        </w:rPr>
        <w:t xml:space="preserve"> </w:t>
      </w:r>
      <w:r w:rsidR="004F5209" w:rsidRPr="00EC760F">
        <w:rPr>
          <w:lang w:val="en-GB"/>
        </w:rPr>
        <w:t>(Lu</w:t>
      </w:r>
      <w:r w:rsidR="004056D1" w:rsidRPr="00EC760F">
        <w:rPr>
          <w:lang w:val="en-GB"/>
        </w:rPr>
        <w:t xml:space="preserve"> </w:t>
      </w:r>
      <w:r w:rsidR="004F5209" w:rsidRPr="00EC760F">
        <w:rPr>
          <w:lang w:val="en-GB"/>
        </w:rPr>
        <w:t>et al.</w:t>
      </w:r>
      <w:r w:rsidR="0030780E" w:rsidRPr="00EC760F">
        <w:rPr>
          <w:lang w:val="en-GB"/>
        </w:rPr>
        <w:t>,</w:t>
      </w:r>
      <w:r w:rsidR="004F5209" w:rsidRPr="00EC760F">
        <w:rPr>
          <w:lang w:val="en-GB"/>
        </w:rPr>
        <w:t xml:space="preserve"> 2019</w:t>
      </w:r>
      <w:r w:rsidR="001B3D44" w:rsidRPr="00EC760F">
        <w:rPr>
          <w:lang w:val="en-GB"/>
        </w:rPr>
        <w:t>)</w:t>
      </w:r>
      <w:r w:rsidR="006702CE" w:rsidRPr="00EC760F">
        <w:rPr>
          <w:lang w:val="en-GB"/>
        </w:rPr>
        <w:t>;</w:t>
      </w:r>
      <w:r w:rsidR="001B3D44" w:rsidRPr="00EC760F">
        <w:rPr>
          <w:lang w:val="en-GB"/>
        </w:rPr>
        <w:t xml:space="preserve"> 170 – 210 kJ/mol</w:t>
      </w:r>
      <w:r w:rsidR="006702CE" w:rsidRPr="00EC760F">
        <w:rPr>
          <w:lang w:val="en-GB"/>
        </w:rPr>
        <w:t xml:space="preserve"> </w:t>
      </w:r>
      <w:r w:rsidR="001B3D44" w:rsidRPr="00EC760F">
        <w:rPr>
          <w:lang w:val="en-GB"/>
        </w:rPr>
        <w:t>(</w:t>
      </w:r>
      <w:r w:rsidR="009D2449" w:rsidRPr="00EC760F">
        <w:rPr>
          <w:lang w:val="en-GB"/>
        </w:rPr>
        <w:t>Kane et al.</w:t>
      </w:r>
      <w:r w:rsidR="00DB2838" w:rsidRPr="00EC760F">
        <w:rPr>
          <w:lang w:val="en-GB"/>
        </w:rPr>
        <w:t xml:space="preserve">, </w:t>
      </w:r>
      <w:r w:rsidR="009D2449" w:rsidRPr="00EC760F">
        <w:rPr>
          <w:lang w:val="en-GB"/>
        </w:rPr>
        <w:t>2017</w:t>
      </w:r>
      <w:r w:rsidR="001B3D44" w:rsidRPr="00EC760F">
        <w:rPr>
          <w:lang w:val="en-GB"/>
        </w:rPr>
        <w:t>)</w:t>
      </w:r>
      <w:r w:rsidR="006702CE" w:rsidRPr="00EC760F">
        <w:rPr>
          <w:lang w:val="en-GB"/>
        </w:rPr>
        <w:t xml:space="preserve">; </w:t>
      </w:r>
      <w:r w:rsidR="001B3D44" w:rsidRPr="00EC760F">
        <w:rPr>
          <w:lang w:val="en-GB"/>
        </w:rPr>
        <w:t>190 – 210 kJ/mol (</w:t>
      </w:r>
      <w:r w:rsidR="0032158F" w:rsidRPr="00EC760F">
        <w:rPr>
          <w:lang w:val="en-GB"/>
        </w:rPr>
        <w:t>Zho</w:t>
      </w:r>
      <w:r w:rsidR="00A47C79" w:rsidRPr="00EC760F">
        <w:rPr>
          <w:lang w:val="en-GB"/>
        </w:rPr>
        <w:t>u</w:t>
      </w:r>
      <w:r w:rsidR="0032158F" w:rsidRPr="00EC760F">
        <w:rPr>
          <w:lang w:val="en-GB"/>
        </w:rPr>
        <w:t xml:space="preserve"> et al., 2017)</w:t>
      </w:r>
      <w:r w:rsidR="006E7699" w:rsidRPr="00EC760F">
        <w:rPr>
          <w:lang w:val="en-GB"/>
        </w:rPr>
        <w:t>.</w:t>
      </w:r>
    </w:p>
    <w:p w14:paraId="474A0800" w14:textId="0C9D3BB9" w:rsidR="000B0EEB" w:rsidRPr="00EC760F" w:rsidRDefault="000B0EEB" w:rsidP="00542C3C">
      <w:pPr>
        <w:pStyle w:val="CETBodytext"/>
        <w:rPr>
          <w:lang w:val="en-GB"/>
        </w:rPr>
      </w:pPr>
      <w:r w:rsidRPr="00EC760F">
        <w:rPr>
          <w:lang w:val="en-GB"/>
        </w:rPr>
        <w:t xml:space="preserve">From data collected it can be observed that oxidation behaviours of the two materials are similar, even if </w:t>
      </w:r>
      <w:proofErr w:type="spellStart"/>
      <w:r w:rsidRPr="00EC760F">
        <w:rPr>
          <w:lang w:val="en-GB"/>
        </w:rPr>
        <w:t>Ignalina</w:t>
      </w:r>
      <w:proofErr w:type="spellEnd"/>
      <w:r w:rsidRPr="00EC760F">
        <w:rPr>
          <w:lang w:val="en-GB"/>
        </w:rPr>
        <w:t xml:space="preserve"> NPP graphite samples show a slightly lower resistance to oxidation. Lower oxidation resistance may cause a larger change and increase in porosity. Higher porosity means more reaction surface, and the oxidation reaction leads to a further change in porosity and to an increase in oxidation rate (Chen et al., 2012). However, the oxidation behaviour of each nuclear graphite is unique and related to several characteristics, such as impurities, grain size, pore structure, graphitization degree, antioxidation treatments.</w:t>
      </w:r>
    </w:p>
    <w:p w14:paraId="68D26B83" w14:textId="77777777" w:rsidR="00600535" w:rsidRPr="00C70ACA" w:rsidRDefault="00600535" w:rsidP="00600535">
      <w:pPr>
        <w:pStyle w:val="CETHeading1"/>
        <w:rPr>
          <w:lang w:val="en-GB"/>
        </w:rPr>
      </w:pPr>
      <w:r w:rsidRPr="00C70ACA">
        <w:rPr>
          <w:lang w:val="en-GB"/>
        </w:rPr>
        <w:t>Conclusions</w:t>
      </w:r>
    </w:p>
    <w:p w14:paraId="1017B715" w14:textId="1D791157" w:rsidR="00FD78A7" w:rsidRPr="00C70ACA" w:rsidRDefault="003E12D8" w:rsidP="003E12D8">
      <w:pPr>
        <w:pStyle w:val="CETBodytext"/>
        <w:rPr>
          <w:lang w:val="en-GB"/>
        </w:rPr>
      </w:pPr>
      <w:r w:rsidRPr="00C70ACA">
        <w:rPr>
          <w:lang w:val="en-GB"/>
        </w:rPr>
        <w:t>Th</w:t>
      </w:r>
      <w:r w:rsidR="002978E3" w:rsidRPr="00C70ACA">
        <w:rPr>
          <w:lang w:val="en-GB"/>
        </w:rPr>
        <w:t xml:space="preserve">is paper aims to describe </w:t>
      </w:r>
      <w:r w:rsidR="00421B8D" w:rsidRPr="00C70ACA">
        <w:rPr>
          <w:lang w:val="en-GB"/>
        </w:rPr>
        <w:t xml:space="preserve">a procedure </w:t>
      </w:r>
      <w:r w:rsidR="002978E3" w:rsidRPr="00C70ACA">
        <w:rPr>
          <w:lang w:val="en-GB"/>
        </w:rPr>
        <w:t xml:space="preserve">that was validated </w:t>
      </w:r>
      <w:r w:rsidR="00421B8D" w:rsidRPr="00C70ACA">
        <w:rPr>
          <w:lang w:val="en-GB"/>
        </w:rPr>
        <w:t>to test different graphite specimens obtained from different cutting technologies</w:t>
      </w:r>
      <w:r w:rsidR="00B4138D" w:rsidRPr="00C70ACA">
        <w:rPr>
          <w:lang w:val="en-GB"/>
        </w:rPr>
        <w:t xml:space="preserve"> during dismantling operations of nuclear reactors</w:t>
      </w:r>
      <w:r w:rsidR="002978E3" w:rsidRPr="00C70ACA">
        <w:rPr>
          <w:lang w:val="en-GB"/>
        </w:rPr>
        <w:t>, and to compare results obtained from tests on two</w:t>
      </w:r>
      <w:r w:rsidR="00561D91" w:rsidRPr="00C70ACA">
        <w:rPr>
          <w:lang w:val="en-GB"/>
        </w:rPr>
        <w:t xml:space="preserve"> different</w:t>
      </w:r>
      <w:r w:rsidR="002978E3" w:rsidRPr="00C70ACA">
        <w:rPr>
          <w:lang w:val="en-GB"/>
        </w:rPr>
        <w:t xml:space="preserve"> </w:t>
      </w:r>
      <w:proofErr w:type="spellStart"/>
      <w:r w:rsidR="002978E3" w:rsidRPr="00C70ACA">
        <w:rPr>
          <w:lang w:val="en-GB"/>
        </w:rPr>
        <w:t>graphites</w:t>
      </w:r>
      <w:proofErr w:type="spellEnd"/>
      <w:r w:rsidR="00B4138D" w:rsidRPr="00C70ACA">
        <w:rPr>
          <w:lang w:val="en-GB"/>
        </w:rPr>
        <w:t>.</w:t>
      </w:r>
    </w:p>
    <w:p w14:paraId="2287C215" w14:textId="7E968546" w:rsidR="00B6522D" w:rsidRPr="00E0617C" w:rsidRDefault="00B4138D" w:rsidP="003E12D8">
      <w:pPr>
        <w:pStyle w:val="CETBodytext"/>
        <w:rPr>
          <w:lang w:val="en-GB"/>
        </w:rPr>
      </w:pPr>
      <w:r w:rsidRPr="00C70ACA">
        <w:rPr>
          <w:lang w:val="en-GB"/>
        </w:rPr>
        <w:lastRenderedPageBreak/>
        <w:t xml:space="preserve">Results obtained from </w:t>
      </w:r>
      <w:r w:rsidR="0060253D" w:rsidRPr="00C70ACA">
        <w:rPr>
          <w:lang w:val="en-GB"/>
        </w:rPr>
        <w:t>preliminary tests on two type</w:t>
      </w:r>
      <w:r w:rsidR="009115E3" w:rsidRPr="00C70ACA">
        <w:rPr>
          <w:lang w:val="en-GB"/>
        </w:rPr>
        <w:t>s</w:t>
      </w:r>
      <w:r w:rsidR="0060253D" w:rsidRPr="00C70ACA">
        <w:rPr>
          <w:lang w:val="en-GB"/>
        </w:rPr>
        <w:t xml:space="preserve"> of graphite samples were comparable with the ones found in </w:t>
      </w:r>
      <w:r w:rsidR="0060253D" w:rsidRPr="00E0617C">
        <w:rPr>
          <w:lang w:val="en-GB"/>
        </w:rPr>
        <w:t xml:space="preserve">literature </w:t>
      </w:r>
      <w:r w:rsidR="008C052D" w:rsidRPr="00E0617C">
        <w:rPr>
          <w:lang w:val="en-GB"/>
        </w:rPr>
        <w:t>achieved also with different</w:t>
      </w:r>
      <w:r w:rsidR="00105576" w:rsidRPr="00E0617C">
        <w:rPr>
          <w:lang w:val="en-GB"/>
        </w:rPr>
        <w:t xml:space="preserve"> experimental</w:t>
      </w:r>
      <w:r w:rsidR="008C052D" w:rsidRPr="00E0617C">
        <w:rPr>
          <w:lang w:val="en-GB"/>
        </w:rPr>
        <w:t xml:space="preserve"> setups</w:t>
      </w:r>
      <w:r w:rsidR="009115E3" w:rsidRPr="00E0617C">
        <w:rPr>
          <w:lang w:val="en-GB"/>
        </w:rPr>
        <w:t>.</w:t>
      </w:r>
    </w:p>
    <w:p w14:paraId="6F83D692" w14:textId="228C69F3" w:rsidR="001E3DA2" w:rsidRPr="00E0617C" w:rsidRDefault="001E3DA2" w:rsidP="003E12D8">
      <w:pPr>
        <w:pStyle w:val="CETBodytext"/>
        <w:rPr>
          <w:lang w:val="en-GB"/>
        </w:rPr>
      </w:pPr>
      <w:r w:rsidRPr="00E0617C">
        <w:rPr>
          <w:lang w:val="en-GB"/>
        </w:rPr>
        <w:t xml:space="preserve">The oxidation behaviours of the two materials are similar, even if </w:t>
      </w:r>
      <w:proofErr w:type="spellStart"/>
      <w:r w:rsidRPr="00E0617C">
        <w:rPr>
          <w:lang w:val="en-GB"/>
        </w:rPr>
        <w:t>Ignalina</w:t>
      </w:r>
      <w:proofErr w:type="spellEnd"/>
      <w:r w:rsidRPr="00E0617C">
        <w:rPr>
          <w:lang w:val="en-GB"/>
        </w:rPr>
        <w:t xml:space="preserve"> NPP graphite samples show a slightly lower resistance to oxidation.</w:t>
      </w:r>
    </w:p>
    <w:p w14:paraId="51706449" w14:textId="51D2D437" w:rsidR="00094383" w:rsidRPr="00094383" w:rsidRDefault="00720457" w:rsidP="00094383">
      <w:pPr>
        <w:pStyle w:val="CETBodytext"/>
        <w:rPr>
          <w:lang w:val="en-GB"/>
        </w:rPr>
      </w:pPr>
      <w:r w:rsidRPr="00C70ACA">
        <w:rPr>
          <w:lang w:val="en-GB"/>
        </w:rPr>
        <w:t xml:space="preserve">As expected, </w:t>
      </w:r>
      <w:r w:rsidR="006D1B75" w:rsidRPr="00C70ACA">
        <w:rPr>
          <w:lang w:val="en-GB"/>
        </w:rPr>
        <w:t>temperature is the parameter with the highest effect on oxidation behaviour,</w:t>
      </w:r>
      <w:r w:rsidR="00094383">
        <w:rPr>
          <w:lang w:val="en-GB"/>
        </w:rPr>
        <w:t xml:space="preserve"> d</w:t>
      </w:r>
      <w:r w:rsidR="00094383" w:rsidRPr="00094383">
        <w:rPr>
          <w:lang w:val="en-GB"/>
        </w:rPr>
        <w:t xml:space="preserve">uring non-isothermal tests in air, oxidation reaction was evidenced at temperatures above 700 °C for both </w:t>
      </w:r>
      <w:proofErr w:type="spellStart"/>
      <w:r w:rsidR="00094383" w:rsidRPr="00094383">
        <w:rPr>
          <w:lang w:val="en-GB"/>
        </w:rPr>
        <w:t>graphites</w:t>
      </w:r>
      <w:proofErr w:type="spellEnd"/>
      <w:r w:rsidR="00094383" w:rsidRPr="00094383">
        <w:rPr>
          <w:lang w:val="en-GB"/>
        </w:rPr>
        <w:t xml:space="preserve"> with a very high increase in oxidation rate. At the end of </w:t>
      </w:r>
      <w:r w:rsidR="00286506" w:rsidRPr="00094383">
        <w:rPr>
          <w:lang w:val="en-GB"/>
        </w:rPr>
        <w:t>tests,</w:t>
      </w:r>
      <w:r w:rsidR="00094383" w:rsidRPr="00094383">
        <w:rPr>
          <w:lang w:val="en-GB"/>
        </w:rPr>
        <w:t xml:space="preserve"> it was observed a high degradation for both with high shrinkage and changing of dimensions, due to the higher rate of reaction in comparison with the rate of gas transport at very high temperatures. </w:t>
      </w:r>
    </w:p>
    <w:p w14:paraId="21593305" w14:textId="5FC4173D" w:rsidR="00094383" w:rsidRDefault="00094383" w:rsidP="00094383">
      <w:pPr>
        <w:pStyle w:val="CETBodytext"/>
        <w:rPr>
          <w:lang w:val="en-GB"/>
        </w:rPr>
      </w:pPr>
      <w:r w:rsidRPr="00094383">
        <w:rPr>
          <w:lang w:val="en-GB"/>
        </w:rPr>
        <w:t>On the other side, in N</w:t>
      </w:r>
      <w:r w:rsidRPr="008D6BBC">
        <w:rPr>
          <w:vertAlign w:val="subscript"/>
          <w:lang w:val="en-GB"/>
        </w:rPr>
        <w:t>2</w:t>
      </w:r>
      <w:r w:rsidRPr="00094383">
        <w:rPr>
          <w:lang w:val="en-GB"/>
        </w:rPr>
        <w:t xml:space="preserve"> mass loss extent was negligeable. So, in the case of dismantling operations, an option could be a nitrogen assisted thermal cutting technology.</w:t>
      </w:r>
    </w:p>
    <w:p w14:paraId="7047C59B" w14:textId="0AB0909D" w:rsidR="00720457" w:rsidRPr="00C70ACA" w:rsidRDefault="00866DA4" w:rsidP="003E12D8">
      <w:pPr>
        <w:pStyle w:val="CETBodytext"/>
        <w:rPr>
          <w:lang w:val="en-GB"/>
        </w:rPr>
      </w:pPr>
      <w:r>
        <w:rPr>
          <w:lang w:val="en-GB"/>
        </w:rPr>
        <w:t xml:space="preserve">In isothermal tests </w:t>
      </w:r>
      <w:r w:rsidR="006D1B75" w:rsidRPr="00C70ACA">
        <w:rPr>
          <w:lang w:val="en-GB"/>
        </w:rPr>
        <w:t xml:space="preserve">oxidation reaction was detectable at temperatures higher than 600 °C for both </w:t>
      </w:r>
      <w:proofErr w:type="spellStart"/>
      <w:r w:rsidR="006D1B75" w:rsidRPr="00C70ACA">
        <w:rPr>
          <w:lang w:val="en-GB"/>
        </w:rPr>
        <w:t>graphites</w:t>
      </w:r>
      <w:proofErr w:type="spellEnd"/>
      <w:r w:rsidR="006D1B75" w:rsidRPr="00C70ACA">
        <w:rPr>
          <w:lang w:val="en-GB"/>
        </w:rPr>
        <w:t>. At temperature above 600 °C, higher oxidation rates were re</w:t>
      </w:r>
      <w:r w:rsidR="00AA1870" w:rsidRPr="00C70ACA">
        <w:rPr>
          <w:lang w:val="en-GB"/>
        </w:rPr>
        <w:t xml:space="preserve">corded for </w:t>
      </w:r>
      <w:proofErr w:type="spellStart"/>
      <w:r w:rsidR="00E03B60">
        <w:rPr>
          <w:lang w:val="en-GB"/>
        </w:rPr>
        <w:t>Ignalina</w:t>
      </w:r>
      <w:proofErr w:type="spellEnd"/>
      <w:r w:rsidR="00E03B60">
        <w:rPr>
          <w:lang w:val="en-GB"/>
        </w:rPr>
        <w:t xml:space="preserve"> NPP</w:t>
      </w:r>
      <w:r w:rsidR="00E03B60" w:rsidRPr="00C70ACA">
        <w:rPr>
          <w:lang w:val="en-GB"/>
        </w:rPr>
        <w:t xml:space="preserve"> </w:t>
      </w:r>
      <w:r w:rsidR="00AA1870" w:rsidRPr="00C70ACA">
        <w:rPr>
          <w:lang w:val="en-GB"/>
        </w:rPr>
        <w:t xml:space="preserve">graphite which easily degrades at 650 °C. </w:t>
      </w:r>
      <w:r w:rsidR="00A513F2" w:rsidRPr="00C70ACA">
        <w:rPr>
          <w:lang w:val="en-GB"/>
        </w:rPr>
        <w:t xml:space="preserve">Activation energies </w:t>
      </w:r>
      <w:r w:rsidR="00E4486C" w:rsidRPr="00C70ACA">
        <w:rPr>
          <w:lang w:val="en-GB"/>
        </w:rPr>
        <w:t>were quite high</w:t>
      </w:r>
      <w:r w:rsidR="000A5EC7" w:rsidRPr="00C70ACA">
        <w:rPr>
          <w:lang w:val="en-GB"/>
        </w:rPr>
        <w:t xml:space="preserve"> for both kinds of graphite</w:t>
      </w:r>
      <w:r w:rsidR="00E4486C" w:rsidRPr="00C70ACA">
        <w:rPr>
          <w:lang w:val="en-GB"/>
        </w:rPr>
        <w:t>, meaning a quite good resistance to oxidation at the tes</w:t>
      </w:r>
      <w:r w:rsidR="00DF5E64" w:rsidRPr="00C70ACA">
        <w:rPr>
          <w:lang w:val="en-GB"/>
        </w:rPr>
        <w:t>t</w:t>
      </w:r>
      <w:r w:rsidR="000A5EC7" w:rsidRPr="00C70ACA">
        <w:rPr>
          <w:lang w:val="en-GB"/>
        </w:rPr>
        <w:t xml:space="preserve"> </w:t>
      </w:r>
      <w:r w:rsidR="00E4486C" w:rsidRPr="00C70ACA">
        <w:rPr>
          <w:lang w:val="en-GB"/>
        </w:rPr>
        <w:t>temperatures.</w:t>
      </w:r>
      <w:r w:rsidR="00242B8E" w:rsidRPr="00C70ACA">
        <w:rPr>
          <w:lang w:val="en-GB"/>
        </w:rPr>
        <w:t xml:space="preserve"> </w:t>
      </w:r>
    </w:p>
    <w:p w14:paraId="459D05E6" w14:textId="66FDA138" w:rsidR="00600535" w:rsidRPr="00C70ACA" w:rsidRDefault="00600535" w:rsidP="00600535">
      <w:pPr>
        <w:pStyle w:val="CETAcknowledgementstitle"/>
      </w:pPr>
      <w:r w:rsidRPr="00C70ACA">
        <w:t>Acknowledgments</w:t>
      </w:r>
    </w:p>
    <w:p w14:paraId="0373A63B" w14:textId="77777777" w:rsidR="00463F3E" w:rsidRPr="00C70ACA" w:rsidRDefault="00E17598" w:rsidP="00E17598">
      <w:pPr>
        <w:pStyle w:val="CETBodytext"/>
        <w:rPr>
          <w:lang w:val="en-GB"/>
        </w:rPr>
      </w:pPr>
      <w:r w:rsidRPr="00C70ACA">
        <w:rPr>
          <w:noProof/>
          <w:lang w:val="it-IT" w:eastAsia="it-IT"/>
        </w:rPr>
        <w:drawing>
          <wp:inline distT="0" distB="0" distL="0" distR="0" wp14:anchorId="26C12855" wp14:editId="37F6A3E3">
            <wp:extent cx="290286" cy="192537"/>
            <wp:effectExtent l="0" t="0" r="0" b="0"/>
            <wp:docPr id="11" name="Immagine 1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 clipart&#10;&#10;Descrizione generata automaticamente"/>
                    <pic:cNvPicPr/>
                  </pic:nvPicPr>
                  <pic:blipFill>
                    <a:blip r:embed="rId15"/>
                    <a:stretch>
                      <a:fillRect/>
                    </a:stretch>
                  </pic:blipFill>
                  <pic:spPr>
                    <a:xfrm>
                      <a:off x="0" y="0"/>
                      <a:ext cx="293762" cy="194843"/>
                    </a:xfrm>
                    <a:prstGeom prst="rect">
                      <a:avLst/>
                    </a:prstGeom>
                  </pic:spPr>
                </pic:pic>
              </a:graphicData>
            </a:graphic>
          </wp:inline>
        </w:drawing>
      </w:r>
      <w:r w:rsidR="00463F3E" w:rsidRPr="00C70ACA">
        <w:rPr>
          <w:lang w:val="en-GB"/>
        </w:rPr>
        <w:t xml:space="preserve"> </w:t>
      </w:r>
    </w:p>
    <w:p w14:paraId="5056E831" w14:textId="559C7B68" w:rsidR="00E17598" w:rsidRPr="00C70ACA" w:rsidRDefault="0058257A" w:rsidP="00E17598">
      <w:pPr>
        <w:pStyle w:val="CETBodytext"/>
        <w:rPr>
          <w:lang w:val="en-GB"/>
        </w:rPr>
      </w:pPr>
      <w:r w:rsidRPr="00C70ACA">
        <w:rPr>
          <w:lang w:val="en-GB"/>
        </w:rPr>
        <w:t>This project has received funding from the Eur</w:t>
      </w:r>
      <w:r w:rsidR="004E2358" w:rsidRPr="00C70ACA">
        <w:rPr>
          <w:lang w:val="en-GB"/>
        </w:rPr>
        <w:t>a</w:t>
      </w:r>
      <w:r w:rsidRPr="00C70ACA">
        <w:rPr>
          <w:lang w:val="en-GB"/>
        </w:rPr>
        <w:t>t</w:t>
      </w:r>
      <w:r w:rsidR="004E2358" w:rsidRPr="00C70ACA">
        <w:rPr>
          <w:lang w:val="en-GB"/>
        </w:rPr>
        <w:t>o</w:t>
      </w:r>
      <w:r w:rsidRPr="00C70ACA">
        <w:rPr>
          <w:lang w:val="en-GB"/>
        </w:rPr>
        <w:t>m research and training programme 201</w:t>
      </w:r>
      <w:r w:rsidR="00C2047E" w:rsidRPr="00C70ACA">
        <w:rPr>
          <w:lang w:val="en-GB"/>
        </w:rPr>
        <w:t>9</w:t>
      </w:r>
      <w:r w:rsidRPr="00C70ACA">
        <w:rPr>
          <w:lang w:val="en-GB"/>
        </w:rPr>
        <w:t>-20</w:t>
      </w:r>
      <w:r w:rsidR="00C2047E" w:rsidRPr="00C70ACA">
        <w:rPr>
          <w:lang w:val="en-GB"/>
        </w:rPr>
        <w:t>20</w:t>
      </w:r>
      <w:r w:rsidRPr="00C70ACA">
        <w:rPr>
          <w:lang w:val="en-GB"/>
        </w:rPr>
        <w:t xml:space="preserve"> under grant agreement No 945273</w:t>
      </w:r>
      <w:r w:rsidR="006F3F13">
        <w:rPr>
          <w:lang w:val="en-GB"/>
        </w:rPr>
        <w:t xml:space="preserve"> (Inno4Graph)</w:t>
      </w:r>
      <w:r w:rsidRPr="00C70ACA">
        <w:rPr>
          <w:lang w:val="en-GB"/>
        </w:rPr>
        <w:t>.</w:t>
      </w:r>
    </w:p>
    <w:p w14:paraId="40F7B12C" w14:textId="3E6BAB40" w:rsidR="003F38FD" w:rsidRPr="00C70ACA" w:rsidRDefault="003A3433" w:rsidP="00E17598">
      <w:pPr>
        <w:pStyle w:val="CETBodytext"/>
        <w:rPr>
          <w:lang w:val="en-GB"/>
        </w:rPr>
      </w:pPr>
      <w:r w:rsidRPr="00C70ACA">
        <w:rPr>
          <w:lang w:val="en-GB"/>
        </w:rPr>
        <w:t xml:space="preserve">Disclaimer: This dissemination of results reflects only the </w:t>
      </w:r>
      <w:r w:rsidR="00286506" w:rsidRPr="00C70ACA">
        <w:rPr>
          <w:lang w:val="en-GB"/>
        </w:rPr>
        <w:t>authors’</w:t>
      </w:r>
      <w:r w:rsidRPr="00C70ACA">
        <w:rPr>
          <w:lang w:val="en-GB"/>
        </w:rPr>
        <w:t xml:space="preserve"> </w:t>
      </w:r>
      <w:r w:rsidR="005D1411" w:rsidRPr="00C70ACA">
        <w:rPr>
          <w:lang w:val="en-GB"/>
        </w:rPr>
        <w:t>view;</w:t>
      </w:r>
      <w:r w:rsidRPr="00C70ACA">
        <w:rPr>
          <w:lang w:val="en-GB"/>
        </w:rPr>
        <w:t xml:space="preserve"> the Commission is not responsible </w:t>
      </w:r>
      <w:r w:rsidR="006847C3" w:rsidRPr="00C70ACA">
        <w:rPr>
          <w:lang w:val="en-GB"/>
        </w:rPr>
        <w:t>for any use that may be made of the information it contains.</w:t>
      </w:r>
      <w:r w:rsidRPr="00C70ACA">
        <w:rPr>
          <w:lang w:val="en-GB"/>
        </w:rPr>
        <w:t xml:space="preserve"> </w:t>
      </w:r>
    </w:p>
    <w:p w14:paraId="4F1327F8" w14:textId="35800BBF" w:rsidR="00600535" w:rsidRPr="00C70ACA" w:rsidRDefault="00600535" w:rsidP="00600535">
      <w:pPr>
        <w:pStyle w:val="CETReference"/>
      </w:pPr>
      <w:r w:rsidRPr="00C70ACA">
        <w:t>References</w:t>
      </w:r>
    </w:p>
    <w:p w14:paraId="0C4F8185" w14:textId="394A7203" w:rsidR="00134C50" w:rsidRPr="00C70ACA" w:rsidRDefault="006702CE" w:rsidP="00134C50">
      <w:pPr>
        <w:pStyle w:val="CETReferencetext"/>
      </w:pPr>
      <w:r>
        <w:t>ASTM D7542</w:t>
      </w:r>
      <w:r w:rsidR="00134C50" w:rsidRPr="00C70ACA">
        <w:t>-15</w:t>
      </w:r>
      <w:r w:rsidR="00316E13">
        <w:t>, 2015,</w:t>
      </w:r>
      <w:r>
        <w:t xml:space="preserve"> </w:t>
      </w:r>
      <w:r w:rsidRPr="006702CE">
        <w:t>Standard Test Method for Air Oxidation of Carbon and Graphite in the Kinetic Regime</w:t>
      </w:r>
      <w:r w:rsidR="00316E13">
        <w:t>, ASTM International.</w:t>
      </w:r>
    </w:p>
    <w:p w14:paraId="6326E606" w14:textId="4A6AC4AA" w:rsidR="00773A05" w:rsidRDefault="00773A05" w:rsidP="00773A05">
      <w:pPr>
        <w:pStyle w:val="CETReferencetext"/>
      </w:pPr>
      <w:r w:rsidRPr="00C70ACA">
        <w:t xml:space="preserve">Chen D, Li Z., Miao W., Zhang Z., 2012, Effects of porosity and temperature on oxidation behaviour in air of selected nuclear </w:t>
      </w:r>
      <w:proofErr w:type="spellStart"/>
      <w:r w:rsidRPr="00C70ACA">
        <w:t>graphites</w:t>
      </w:r>
      <w:proofErr w:type="spellEnd"/>
      <w:r w:rsidRPr="00C70ACA">
        <w:t>, Materials Transactions</w:t>
      </w:r>
      <w:r w:rsidR="00F721B4" w:rsidRPr="00C70ACA">
        <w:t>, 53, 1159-1163</w:t>
      </w:r>
    </w:p>
    <w:p w14:paraId="7D078C17" w14:textId="4B118F07" w:rsidR="008D6BBC" w:rsidRPr="008D6BBC" w:rsidRDefault="008D6BBC" w:rsidP="00773A05">
      <w:pPr>
        <w:pStyle w:val="CETReferencetext"/>
      </w:pPr>
      <w:proofErr w:type="spellStart"/>
      <w:r w:rsidRPr="008D6BBC">
        <w:t>Copelli</w:t>
      </w:r>
      <w:proofErr w:type="spellEnd"/>
      <w:r w:rsidRPr="008D6BBC">
        <w:t xml:space="preserve"> S., </w:t>
      </w:r>
      <w:proofErr w:type="spellStart"/>
      <w:r w:rsidRPr="008D6BBC">
        <w:t>Barozzi</w:t>
      </w:r>
      <w:proofErr w:type="spellEnd"/>
      <w:r w:rsidRPr="008D6BBC">
        <w:t xml:space="preserve"> M., </w:t>
      </w:r>
      <w:proofErr w:type="spellStart"/>
      <w:r w:rsidRPr="008D6BBC">
        <w:t>Fumagalli</w:t>
      </w:r>
      <w:proofErr w:type="spellEnd"/>
      <w:r w:rsidRPr="008D6BBC">
        <w:t xml:space="preserve"> A., </w:t>
      </w:r>
      <w:proofErr w:type="spellStart"/>
      <w:r w:rsidRPr="008D6BBC">
        <w:t>Derudi</w:t>
      </w:r>
      <w:proofErr w:type="spellEnd"/>
      <w:r w:rsidRPr="008D6BBC">
        <w:t xml:space="preserve"> M., 2019, Application of a Gaussian model to simulate contaminants dispersion in industrial accidents, Chemical Engineering Transactions</w:t>
      </w:r>
      <w:r>
        <w:t xml:space="preserve">, </w:t>
      </w:r>
      <w:r w:rsidRPr="008D6BBC">
        <w:t>77, 799 - 804</w:t>
      </w:r>
    </w:p>
    <w:p w14:paraId="6FEF2536" w14:textId="43294CD8" w:rsidR="00290D66" w:rsidRPr="00C70ACA" w:rsidRDefault="00290D66" w:rsidP="00773A05">
      <w:pPr>
        <w:pStyle w:val="CETReferencetext"/>
      </w:pPr>
      <w:proofErr w:type="spellStart"/>
      <w:r>
        <w:t>Féron</w:t>
      </w:r>
      <w:proofErr w:type="spellEnd"/>
      <w:r>
        <w:t xml:space="preserve"> D., 2012, Overview of nuclear materials and nuclear corrosion science and engineering, Nuclear Corrosion Science and Engineering, 31-56</w:t>
      </w:r>
    </w:p>
    <w:p w14:paraId="74420E98" w14:textId="65B30BAE" w:rsidR="006C51DB" w:rsidRPr="00C70ACA" w:rsidRDefault="006C51DB" w:rsidP="004861AE">
      <w:pPr>
        <w:pStyle w:val="CETReferencetext"/>
      </w:pPr>
      <w:r w:rsidRPr="00C70ACA">
        <w:t>Inno4graph, n.d., Objectives &amp; Results, Inno4graph &lt;inno4graph.eu/objectives-results/&gt; accessed 24.11.2021</w:t>
      </w:r>
    </w:p>
    <w:p w14:paraId="20D3F81E" w14:textId="44ACFEC9" w:rsidR="006C1C13" w:rsidRPr="00C70ACA" w:rsidRDefault="006C1C13" w:rsidP="004861AE">
      <w:pPr>
        <w:pStyle w:val="CETReferencetext"/>
      </w:pPr>
      <w:r w:rsidRPr="00C70ACA">
        <w:t xml:space="preserve">Kane J.J., </w:t>
      </w:r>
      <w:proofErr w:type="spellStart"/>
      <w:r w:rsidRPr="00C70ACA">
        <w:t>Contescu</w:t>
      </w:r>
      <w:proofErr w:type="spellEnd"/>
      <w:r w:rsidRPr="00C70ACA">
        <w:t xml:space="preserve"> C.I., Smith R.E., Strydom G., </w:t>
      </w:r>
      <w:proofErr w:type="spellStart"/>
      <w:r w:rsidRPr="00C70ACA">
        <w:t>Windes</w:t>
      </w:r>
      <w:proofErr w:type="spellEnd"/>
      <w:r w:rsidRPr="00C70ACA">
        <w:t xml:space="preserve"> W.E., 2017, Understanding the reaction of nuclear graphite with molecular oxygen: Kinetics, transport, and structural evolution, Journal of Nuclear Materials 493, 343-367</w:t>
      </w:r>
    </w:p>
    <w:p w14:paraId="0A230028" w14:textId="0E3D10EB" w:rsidR="00F614A5" w:rsidRPr="00C70ACA" w:rsidRDefault="00F614A5" w:rsidP="004861AE">
      <w:pPr>
        <w:pStyle w:val="CETReferencetext"/>
      </w:pPr>
      <w:r w:rsidRPr="00C70ACA">
        <w:t xml:space="preserve">Lu W., Li M.Y., Li X.W., Wu X.X., Sun L.B., Li Z.C., 2019, Experimental study on the oxidation </w:t>
      </w:r>
      <w:proofErr w:type="spellStart"/>
      <w:r w:rsidRPr="00C70ACA">
        <w:t>behavior</w:t>
      </w:r>
      <w:proofErr w:type="spellEnd"/>
      <w:r w:rsidRPr="00C70ACA">
        <w:t xml:space="preserve"> and microstructural evolution of NG-CT-10 and NG-CT-20 nuclear graphite, </w:t>
      </w:r>
      <w:r w:rsidR="00D60AC4" w:rsidRPr="00C70ACA">
        <w:t xml:space="preserve">Nuclear Science Techniques, </w:t>
      </w:r>
      <w:r w:rsidR="00F421B5" w:rsidRPr="00C70ACA">
        <w:t>30:165</w:t>
      </w:r>
    </w:p>
    <w:p w14:paraId="743126AF" w14:textId="2BCA47CB" w:rsidR="00FD79CE" w:rsidRPr="00C70ACA" w:rsidRDefault="00FD79CE" w:rsidP="004861AE">
      <w:pPr>
        <w:pStyle w:val="CETReferencetext"/>
      </w:pPr>
      <w:r w:rsidRPr="00C70ACA">
        <w:t>Luo X., Robin J.C., Yu S., Effect of temperature on graphite oxidation behaviour, 2004, Nuclear Engineering and Design, 227, 273-280</w:t>
      </w:r>
    </w:p>
    <w:p w14:paraId="0A310666" w14:textId="547B0619" w:rsidR="005C68ED" w:rsidRPr="00C70ACA" w:rsidRDefault="005C68ED" w:rsidP="004861AE">
      <w:pPr>
        <w:pStyle w:val="CETReferencetext"/>
      </w:pPr>
      <w:r w:rsidRPr="00C70ACA">
        <w:t>Marsden B.J., 2001, Nuclear graphite for high temperature reactors</w:t>
      </w:r>
      <w:r w:rsidR="005D74B1" w:rsidRPr="00C70ACA">
        <w:t>, International Atomic Energy Agency, 177-192</w:t>
      </w:r>
    </w:p>
    <w:p w14:paraId="54A6BC0F" w14:textId="27C2FE63" w:rsidR="0054776A" w:rsidRPr="00C70ACA" w:rsidRDefault="0054776A" w:rsidP="0054776A">
      <w:pPr>
        <w:pStyle w:val="CETReferencetext"/>
      </w:pPr>
      <w:r w:rsidRPr="00C70ACA">
        <w:t xml:space="preserve">Matthews A.C., Kane J.J., Swank W.D., </w:t>
      </w:r>
      <w:proofErr w:type="spellStart"/>
      <w:r w:rsidRPr="00C70ACA">
        <w:t>Windes</w:t>
      </w:r>
      <w:proofErr w:type="spellEnd"/>
      <w:r w:rsidRPr="00C70ACA">
        <w:t xml:space="preserve"> W.E., 2021, Nuclear graphite strength degradation under varying oxidizing conditions, Nuclear Engineering and Design</w:t>
      </w:r>
      <w:r w:rsidR="00AD3F90" w:rsidRPr="00C70ACA">
        <w:t xml:space="preserve"> </w:t>
      </w:r>
      <w:r w:rsidRPr="00C70ACA">
        <w:t>379</w:t>
      </w:r>
      <w:r w:rsidR="00AD3F90" w:rsidRPr="00C70ACA">
        <w:t>, 111245</w:t>
      </w:r>
    </w:p>
    <w:p w14:paraId="0700412A" w14:textId="25F44D33" w:rsidR="00E26D87" w:rsidRPr="00C70ACA" w:rsidRDefault="00E26D87" w:rsidP="0054776A">
      <w:pPr>
        <w:pStyle w:val="CETReferencetext"/>
      </w:pPr>
      <w:r w:rsidRPr="00C70ACA">
        <w:t>Propp W.A., 1998, Graphite Oxidation Thermodynamics/Reactions,</w:t>
      </w:r>
      <w:r w:rsidR="00036B52" w:rsidRPr="00C70ACA">
        <w:t xml:space="preserve"> U.S. Department of Energy</w:t>
      </w:r>
    </w:p>
    <w:p w14:paraId="1C5E63D3" w14:textId="68ACD59B" w:rsidR="00097265" w:rsidRPr="00C70ACA" w:rsidRDefault="00097265" w:rsidP="00097265">
      <w:pPr>
        <w:pStyle w:val="CETReferencetext"/>
      </w:pPr>
      <w:r w:rsidRPr="00C70ACA">
        <w:t xml:space="preserve">Smith R.E., Kane J.J., </w:t>
      </w:r>
      <w:proofErr w:type="spellStart"/>
      <w:r w:rsidRPr="00C70ACA">
        <w:t>Windes</w:t>
      </w:r>
      <w:proofErr w:type="spellEnd"/>
      <w:r w:rsidRPr="00C70ACA">
        <w:t xml:space="preserve"> W.E., 2021, Determining the acute oxidation </w:t>
      </w:r>
      <w:proofErr w:type="spellStart"/>
      <w:r w:rsidRPr="00C70ACA">
        <w:t>behavior</w:t>
      </w:r>
      <w:proofErr w:type="spellEnd"/>
      <w:r w:rsidRPr="00C70ACA">
        <w:t xml:space="preserve"> of several nuclear graphite grades, Journal of Nuclear Materials</w:t>
      </w:r>
      <w:r w:rsidR="00241705" w:rsidRPr="00C70ACA">
        <w:t xml:space="preserve"> </w:t>
      </w:r>
      <w:r w:rsidRPr="00C70ACA">
        <w:t>545</w:t>
      </w:r>
      <w:r w:rsidR="00241705" w:rsidRPr="00C70ACA">
        <w:t>, 152648</w:t>
      </w:r>
    </w:p>
    <w:p w14:paraId="19C4FC68" w14:textId="62B0369A" w:rsidR="004628D2" w:rsidRPr="00C70ACA" w:rsidRDefault="004926BA" w:rsidP="00883217">
      <w:pPr>
        <w:pStyle w:val="CETReferencetext"/>
      </w:pPr>
      <w:r w:rsidRPr="00C70ACA">
        <w:t xml:space="preserve">Zhou X., </w:t>
      </w:r>
      <w:proofErr w:type="spellStart"/>
      <w:r w:rsidRPr="00C70ACA">
        <w:t>Contescu</w:t>
      </w:r>
      <w:proofErr w:type="spellEnd"/>
      <w:r w:rsidRPr="00C70ACA">
        <w:t xml:space="preserve"> C.I., Zhao X., Lu Z., Zhang J., </w:t>
      </w:r>
      <w:proofErr w:type="spellStart"/>
      <w:r w:rsidRPr="00C70ACA">
        <w:t>Katoh</w:t>
      </w:r>
      <w:proofErr w:type="spellEnd"/>
      <w:r w:rsidRPr="00C70ACA">
        <w:t xml:space="preserve"> Y., Wang Y., Liu B., Tang Y., Tang C.</w:t>
      </w:r>
      <w:r w:rsidR="00CB1082" w:rsidRPr="00C70ACA">
        <w:t xml:space="preserve">, 2017, Oxidation </w:t>
      </w:r>
      <w:proofErr w:type="spellStart"/>
      <w:r w:rsidR="00CB1082" w:rsidRPr="00C70ACA">
        <w:t>Behavior</w:t>
      </w:r>
      <w:proofErr w:type="spellEnd"/>
      <w:r w:rsidR="00CB1082" w:rsidRPr="00C70ACA">
        <w:t xml:space="preserve"> of Matrix Graphite and Its Effect on Compressive Strength</w:t>
      </w:r>
      <w:r w:rsidR="00DC02B3" w:rsidRPr="00C70ACA">
        <w:t xml:space="preserve">, Science and Technology of Nuclear Installations, </w:t>
      </w:r>
      <w:r w:rsidR="00EB4703" w:rsidRPr="00C70ACA">
        <w:t>4275375</w:t>
      </w:r>
    </w:p>
    <w:sectPr w:rsidR="004628D2" w:rsidRPr="00C70AC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ECA5" w14:textId="77777777" w:rsidR="00362EEE" w:rsidRDefault="00362EEE" w:rsidP="004F5E36">
      <w:r>
        <w:separator/>
      </w:r>
    </w:p>
  </w:endnote>
  <w:endnote w:type="continuationSeparator" w:id="0">
    <w:p w14:paraId="007939EA" w14:textId="77777777" w:rsidR="00362EEE" w:rsidRDefault="00362EE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919D" w14:textId="77777777" w:rsidR="00362EEE" w:rsidRDefault="00362EEE" w:rsidP="004F5E36">
      <w:r>
        <w:separator/>
      </w:r>
    </w:p>
  </w:footnote>
  <w:footnote w:type="continuationSeparator" w:id="0">
    <w:p w14:paraId="0C3667A2" w14:textId="77777777" w:rsidR="00362EEE" w:rsidRDefault="00362EE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Immagine che contiene testo, clipart&#10;&#10;Descrizione generata automaticamente" style="width:49.5pt;height:32.4pt;visibility:visible;mso-wrap-style:square" o:bullet="t">
        <v:imagedata r:id="rId1" o:title="Immagine che contiene testo, clipart&#10;&#10;Descrizione generata automaticamente"/>
      </v:shape>
    </w:pict>
  </w:numPicBullet>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BAE2713"/>
    <w:multiLevelType w:val="hybridMultilevel"/>
    <w:tmpl w:val="8592C142"/>
    <w:lvl w:ilvl="0" w:tplc="7E46A63A">
      <w:start w:val="1"/>
      <w:numFmt w:val="bullet"/>
      <w:lvlText w:val=""/>
      <w:lvlPicBulletId w:val="0"/>
      <w:lvlJc w:val="left"/>
      <w:pPr>
        <w:tabs>
          <w:tab w:val="num" w:pos="720"/>
        </w:tabs>
        <w:ind w:left="720" w:hanging="360"/>
      </w:pPr>
      <w:rPr>
        <w:rFonts w:ascii="Symbol" w:hAnsi="Symbol" w:hint="default"/>
      </w:rPr>
    </w:lvl>
    <w:lvl w:ilvl="1" w:tplc="9412EAB0" w:tentative="1">
      <w:start w:val="1"/>
      <w:numFmt w:val="bullet"/>
      <w:lvlText w:val=""/>
      <w:lvlJc w:val="left"/>
      <w:pPr>
        <w:tabs>
          <w:tab w:val="num" w:pos="1440"/>
        </w:tabs>
        <w:ind w:left="1440" w:hanging="360"/>
      </w:pPr>
      <w:rPr>
        <w:rFonts w:ascii="Symbol" w:hAnsi="Symbol" w:hint="default"/>
      </w:rPr>
    </w:lvl>
    <w:lvl w:ilvl="2" w:tplc="DF241D6A" w:tentative="1">
      <w:start w:val="1"/>
      <w:numFmt w:val="bullet"/>
      <w:lvlText w:val=""/>
      <w:lvlJc w:val="left"/>
      <w:pPr>
        <w:tabs>
          <w:tab w:val="num" w:pos="2160"/>
        </w:tabs>
        <w:ind w:left="2160" w:hanging="360"/>
      </w:pPr>
      <w:rPr>
        <w:rFonts w:ascii="Symbol" w:hAnsi="Symbol" w:hint="default"/>
      </w:rPr>
    </w:lvl>
    <w:lvl w:ilvl="3" w:tplc="CF160424" w:tentative="1">
      <w:start w:val="1"/>
      <w:numFmt w:val="bullet"/>
      <w:lvlText w:val=""/>
      <w:lvlJc w:val="left"/>
      <w:pPr>
        <w:tabs>
          <w:tab w:val="num" w:pos="2880"/>
        </w:tabs>
        <w:ind w:left="2880" w:hanging="360"/>
      </w:pPr>
      <w:rPr>
        <w:rFonts w:ascii="Symbol" w:hAnsi="Symbol" w:hint="default"/>
      </w:rPr>
    </w:lvl>
    <w:lvl w:ilvl="4" w:tplc="276A6F7E" w:tentative="1">
      <w:start w:val="1"/>
      <w:numFmt w:val="bullet"/>
      <w:lvlText w:val=""/>
      <w:lvlJc w:val="left"/>
      <w:pPr>
        <w:tabs>
          <w:tab w:val="num" w:pos="3600"/>
        </w:tabs>
        <w:ind w:left="3600" w:hanging="360"/>
      </w:pPr>
      <w:rPr>
        <w:rFonts w:ascii="Symbol" w:hAnsi="Symbol" w:hint="default"/>
      </w:rPr>
    </w:lvl>
    <w:lvl w:ilvl="5" w:tplc="AB2C4A56" w:tentative="1">
      <w:start w:val="1"/>
      <w:numFmt w:val="bullet"/>
      <w:lvlText w:val=""/>
      <w:lvlJc w:val="left"/>
      <w:pPr>
        <w:tabs>
          <w:tab w:val="num" w:pos="4320"/>
        </w:tabs>
        <w:ind w:left="4320" w:hanging="360"/>
      </w:pPr>
      <w:rPr>
        <w:rFonts w:ascii="Symbol" w:hAnsi="Symbol" w:hint="default"/>
      </w:rPr>
    </w:lvl>
    <w:lvl w:ilvl="6" w:tplc="574C732C" w:tentative="1">
      <w:start w:val="1"/>
      <w:numFmt w:val="bullet"/>
      <w:lvlText w:val=""/>
      <w:lvlJc w:val="left"/>
      <w:pPr>
        <w:tabs>
          <w:tab w:val="num" w:pos="5040"/>
        </w:tabs>
        <w:ind w:left="5040" w:hanging="360"/>
      </w:pPr>
      <w:rPr>
        <w:rFonts w:ascii="Symbol" w:hAnsi="Symbol" w:hint="default"/>
      </w:rPr>
    </w:lvl>
    <w:lvl w:ilvl="7" w:tplc="C47A35EC" w:tentative="1">
      <w:start w:val="1"/>
      <w:numFmt w:val="bullet"/>
      <w:lvlText w:val=""/>
      <w:lvlJc w:val="left"/>
      <w:pPr>
        <w:tabs>
          <w:tab w:val="num" w:pos="5760"/>
        </w:tabs>
        <w:ind w:left="5760" w:hanging="360"/>
      </w:pPr>
      <w:rPr>
        <w:rFonts w:ascii="Symbol" w:hAnsi="Symbol" w:hint="default"/>
      </w:rPr>
    </w:lvl>
    <w:lvl w:ilvl="8" w:tplc="1946E4E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684"/>
    <w:rsid w:val="000027C0"/>
    <w:rsid w:val="00004A6C"/>
    <w:rsid w:val="000052FB"/>
    <w:rsid w:val="000117CB"/>
    <w:rsid w:val="00012E13"/>
    <w:rsid w:val="0001652F"/>
    <w:rsid w:val="000176F9"/>
    <w:rsid w:val="00017794"/>
    <w:rsid w:val="00024566"/>
    <w:rsid w:val="00024B96"/>
    <w:rsid w:val="000251C3"/>
    <w:rsid w:val="00025235"/>
    <w:rsid w:val="00026BB1"/>
    <w:rsid w:val="0003012A"/>
    <w:rsid w:val="0003148D"/>
    <w:rsid w:val="00031EEC"/>
    <w:rsid w:val="00032315"/>
    <w:rsid w:val="00035541"/>
    <w:rsid w:val="000364D6"/>
    <w:rsid w:val="00036B52"/>
    <w:rsid w:val="000427A5"/>
    <w:rsid w:val="00046ADA"/>
    <w:rsid w:val="00047E5E"/>
    <w:rsid w:val="00051566"/>
    <w:rsid w:val="000561C2"/>
    <w:rsid w:val="00057EBE"/>
    <w:rsid w:val="00062A9A"/>
    <w:rsid w:val="00063BB9"/>
    <w:rsid w:val="00065058"/>
    <w:rsid w:val="00073C1D"/>
    <w:rsid w:val="00076F58"/>
    <w:rsid w:val="00077A6D"/>
    <w:rsid w:val="00081F66"/>
    <w:rsid w:val="00083BC0"/>
    <w:rsid w:val="00086C39"/>
    <w:rsid w:val="0009182B"/>
    <w:rsid w:val="0009215D"/>
    <w:rsid w:val="00094383"/>
    <w:rsid w:val="00097265"/>
    <w:rsid w:val="000A03B2"/>
    <w:rsid w:val="000A1DBD"/>
    <w:rsid w:val="000A5D9D"/>
    <w:rsid w:val="000A5EC7"/>
    <w:rsid w:val="000B01D7"/>
    <w:rsid w:val="000B0EEB"/>
    <w:rsid w:val="000B1ADF"/>
    <w:rsid w:val="000B3B63"/>
    <w:rsid w:val="000B5480"/>
    <w:rsid w:val="000B63CF"/>
    <w:rsid w:val="000B6629"/>
    <w:rsid w:val="000C10FA"/>
    <w:rsid w:val="000D0268"/>
    <w:rsid w:val="000D29F0"/>
    <w:rsid w:val="000D34BE"/>
    <w:rsid w:val="000D7EAD"/>
    <w:rsid w:val="000E102F"/>
    <w:rsid w:val="000E36F1"/>
    <w:rsid w:val="000E3A73"/>
    <w:rsid w:val="000E414A"/>
    <w:rsid w:val="000F093C"/>
    <w:rsid w:val="000F1537"/>
    <w:rsid w:val="000F787B"/>
    <w:rsid w:val="00100C0F"/>
    <w:rsid w:val="0010356C"/>
    <w:rsid w:val="00105576"/>
    <w:rsid w:val="00106924"/>
    <w:rsid w:val="00112347"/>
    <w:rsid w:val="001152C7"/>
    <w:rsid w:val="0012091F"/>
    <w:rsid w:val="00126BC2"/>
    <w:rsid w:val="00127E67"/>
    <w:rsid w:val="001308B6"/>
    <w:rsid w:val="0013121F"/>
    <w:rsid w:val="00131FE6"/>
    <w:rsid w:val="0013263F"/>
    <w:rsid w:val="001331DF"/>
    <w:rsid w:val="00134C50"/>
    <w:rsid w:val="00134DE4"/>
    <w:rsid w:val="001369BA"/>
    <w:rsid w:val="0013707B"/>
    <w:rsid w:val="0014034D"/>
    <w:rsid w:val="00141284"/>
    <w:rsid w:val="00141D50"/>
    <w:rsid w:val="00144D16"/>
    <w:rsid w:val="00146602"/>
    <w:rsid w:val="00150E59"/>
    <w:rsid w:val="00151BBC"/>
    <w:rsid w:val="00152DE3"/>
    <w:rsid w:val="00154C83"/>
    <w:rsid w:val="00155B00"/>
    <w:rsid w:val="00162A41"/>
    <w:rsid w:val="00162BC5"/>
    <w:rsid w:val="00164CF9"/>
    <w:rsid w:val="00165423"/>
    <w:rsid w:val="001667A6"/>
    <w:rsid w:val="001679E3"/>
    <w:rsid w:val="00167CAA"/>
    <w:rsid w:val="00173E5C"/>
    <w:rsid w:val="00176096"/>
    <w:rsid w:val="00180298"/>
    <w:rsid w:val="001805E8"/>
    <w:rsid w:val="00184AD6"/>
    <w:rsid w:val="00191FA1"/>
    <w:rsid w:val="0019406B"/>
    <w:rsid w:val="001A4AF7"/>
    <w:rsid w:val="001A6184"/>
    <w:rsid w:val="001A6462"/>
    <w:rsid w:val="001B0349"/>
    <w:rsid w:val="001B1E93"/>
    <w:rsid w:val="001B3D44"/>
    <w:rsid w:val="001B3FC2"/>
    <w:rsid w:val="001B4CFA"/>
    <w:rsid w:val="001B53E7"/>
    <w:rsid w:val="001B65C1"/>
    <w:rsid w:val="001C684B"/>
    <w:rsid w:val="001C6D25"/>
    <w:rsid w:val="001D0CFB"/>
    <w:rsid w:val="001D3709"/>
    <w:rsid w:val="001D4A7D"/>
    <w:rsid w:val="001D53FC"/>
    <w:rsid w:val="001D6616"/>
    <w:rsid w:val="001D7609"/>
    <w:rsid w:val="001D7C49"/>
    <w:rsid w:val="001E07BD"/>
    <w:rsid w:val="001E146C"/>
    <w:rsid w:val="001E32DA"/>
    <w:rsid w:val="001E3DA2"/>
    <w:rsid w:val="001E709B"/>
    <w:rsid w:val="001F01EE"/>
    <w:rsid w:val="001F42A5"/>
    <w:rsid w:val="001F6153"/>
    <w:rsid w:val="001F7B9D"/>
    <w:rsid w:val="002000EF"/>
    <w:rsid w:val="0020019C"/>
    <w:rsid w:val="002017A2"/>
    <w:rsid w:val="00201C93"/>
    <w:rsid w:val="00204E1E"/>
    <w:rsid w:val="002138B8"/>
    <w:rsid w:val="00213EB9"/>
    <w:rsid w:val="00214354"/>
    <w:rsid w:val="002224B4"/>
    <w:rsid w:val="00222A5C"/>
    <w:rsid w:val="002248AE"/>
    <w:rsid w:val="00225727"/>
    <w:rsid w:val="00225F11"/>
    <w:rsid w:val="0022604D"/>
    <w:rsid w:val="00231B43"/>
    <w:rsid w:val="00237473"/>
    <w:rsid w:val="00241705"/>
    <w:rsid w:val="00242B8E"/>
    <w:rsid w:val="002447EF"/>
    <w:rsid w:val="00250E17"/>
    <w:rsid w:val="00251550"/>
    <w:rsid w:val="00252A1F"/>
    <w:rsid w:val="002546D6"/>
    <w:rsid w:val="00256167"/>
    <w:rsid w:val="00262916"/>
    <w:rsid w:val="00263B05"/>
    <w:rsid w:val="0026629C"/>
    <w:rsid w:val="00266C31"/>
    <w:rsid w:val="00267743"/>
    <w:rsid w:val="002677DD"/>
    <w:rsid w:val="00271031"/>
    <w:rsid w:val="00271933"/>
    <w:rsid w:val="0027221A"/>
    <w:rsid w:val="002722C7"/>
    <w:rsid w:val="00272D9D"/>
    <w:rsid w:val="00275B61"/>
    <w:rsid w:val="00277AC1"/>
    <w:rsid w:val="00277EBB"/>
    <w:rsid w:val="00280FAF"/>
    <w:rsid w:val="00281B4C"/>
    <w:rsid w:val="00282656"/>
    <w:rsid w:val="0028313D"/>
    <w:rsid w:val="00286506"/>
    <w:rsid w:val="0029089F"/>
    <w:rsid w:val="00290D66"/>
    <w:rsid w:val="00292876"/>
    <w:rsid w:val="002941A6"/>
    <w:rsid w:val="00296B83"/>
    <w:rsid w:val="00297171"/>
    <w:rsid w:val="002978E3"/>
    <w:rsid w:val="002A205C"/>
    <w:rsid w:val="002A4D97"/>
    <w:rsid w:val="002A62C8"/>
    <w:rsid w:val="002A642E"/>
    <w:rsid w:val="002B06D4"/>
    <w:rsid w:val="002B2A64"/>
    <w:rsid w:val="002B4015"/>
    <w:rsid w:val="002B78CE"/>
    <w:rsid w:val="002B7B24"/>
    <w:rsid w:val="002C2FB6"/>
    <w:rsid w:val="002C58C3"/>
    <w:rsid w:val="002C769C"/>
    <w:rsid w:val="002D0055"/>
    <w:rsid w:val="002D215C"/>
    <w:rsid w:val="002D5F41"/>
    <w:rsid w:val="002E2645"/>
    <w:rsid w:val="002E4247"/>
    <w:rsid w:val="002E5FA7"/>
    <w:rsid w:val="002F14A1"/>
    <w:rsid w:val="002F3309"/>
    <w:rsid w:val="002F4123"/>
    <w:rsid w:val="003008CE"/>
    <w:rsid w:val="003009B7"/>
    <w:rsid w:val="00300E56"/>
    <w:rsid w:val="00302C5D"/>
    <w:rsid w:val="00302DD9"/>
    <w:rsid w:val="00303266"/>
    <w:rsid w:val="0030469C"/>
    <w:rsid w:val="0030780E"/>
    <w:rsid w:val="0031040F"/>
    <w:rsid w:val="00315208"/>
    <w:rsid w:val="0031634F"/>
    <w:rsid w:val="00316E13"/>
    <w:rsid w:val="0032158F"/>
    <w:rsid w:val="00321CA6"/>
    <w:rsid w:val="003230A7"/>
    <w:rsid w:val="00323763"/>
    <w:rsid w:val="00324AD8"/>
    <w:rsid w:val="00330CEE"/>
    <w:rsid w:val="003330D1"/>
    <w:rsid w:val="00334C09"/>
    <w:rsid w:val="00336130"/>
    <w:rsid w:val="0033623B"/>
    <w:rsid w:val="00337D8E"/>
    <w:rsid w:val="00341DB4"/>
    <w:rsid w:val="003420B1"/>
    <w:rsid w:val="00346AD5"/>
    <w:rsid w:val="00347755"/>
    <w:rsid w:val="00351BC7"/>
    <w:rsid w:val="00351EE9"/>
    <w:rsid w:val="00357E92"/>
    <w:rsid w:val="00361142"/>
    <w:rsid w:val="00362EEE"/>
    <w:rsid w:val="00365B00"/>
    <w:rsid w:val="00370304"/>
    <w:rsid w:val="00372050"/>
    <w:rsid w:val="003723D4"/>
    <w:rsid w:val="00374F31"/>
    <w:rsid w:val="00381905"/>
    <w:rsid w:val="0038285E"/>
    <w:rsid w:val="00383062"/>
    <w:rsid w:val="00383F03"/>
    <w:rsid w:val="00384CC8"/>
    <w:rsid w:val="003871FD"/>
    <w:rsid w:val="00390DCD"/>
    <w:rsid w:val="00391837"/>
    <w:rsid w:val="003A1E30"/>
    <w:rsid w:val="003A2829"/>
    <w:rsid w:val="003A3433"/>
    <w:rsid w:val="003A7D1C"/>
    <w:rsid w:val="003B304B"/>
    <w:rsid w:val="003B3146"/>
    <w:rsid w:val="003B442B"/>
    <w:rsid w:val="003B4E5E"/>
    <w:rsid w:val="003B6092"/>
    <w:rsid w:val="003C0710"/>
    <w:rsid w:val="003C0980"/>
    <w:rsid w:val="003C0C22"/>
    <w:rsid w:val="003C1DF3"/>
    <w:rsid w:val="003C2103"/>
    <w:rsid w:val="003C34BE"/>
    <w:rsid w:val="003D0B30"/>
    <w:rsid w:val="003D427B"/>
    <w:rsid w:val="003D6073"/>
    <w:rsid w:val="003E118F"/>
    <w:rsid w:val="003E12D8"/>
    <w:rsid w:val="003E1DE9"/>
    <w:rsid w:val="003E3BF3"/>
    <w:rsid w:val="003E42F7"/>
    <w:rsid w:val="003F015E"/>
    <w:rsid w:val="003F2217"/>
    <w:rsid w:val="003F38FD"/>
    <w:rsid w:val="003F5224"/>
    <w:rsid w:val="003F591C"/>
    <w:rsid w:val="003F706E"/>
    <w:rsid w:val="00400414"/>
    <w:rsid w:val="00401728"/>
    <w:rsid w:val="00403584"/>
    <w:rsid w:val="00404E5B"/>
    <w:rsid w:val="004056D1"/>
    <w:rsid w:val="00405DEB"/>
    <w:rsid w:val="004107D4"/>
    <w:rsid w:val="0041446B"/>
    <w:rsid w:val="00415097"/>
    <w:rsid w:val="00416FAB"/>
    <w:rsid w:val="004177B1"/>
    <w:rsid w:val="0042101D"/>
    <w:rsid w:val="00421B8D"/>
    <w:rsid w:val="00421E2C"/>
    <w:rsid w:val="00440290"/>
    <w:rsid w:val="00440327"/>
    <w:rsid w:val="0044329C"/>
    <w:rsid w:val="00443CCC"/>
    <w:rsid w:val="00445035"/>
    <w:rsid w:val="00445A39"/>
    <w:rsid w:val="00452913"/>
    <w:rsid w:val="00453E24"/>
    <w:rsid w:val="004564E1"/>
    <w:rsid w:val="00457456"/>
    <w:rsid w:val="004577FE"/>
    <w:rsid w:val="00457B9C"/>
    <w:rsid w:val="0046164A"/>
    <w:rsid w:val="004628D2"/>
    <w:rsid w:val="00462DCD"/>
    <w:rsid w:val="004636DE"/>
    <w:rsid w:val="00463F3E"/>
    <w:rsid w:val="004648AD"/>
    <w:rsid w:val="00467AB2"/>
    <w:rsid w:val="004703A9"/>
    <w:rsid w:val="004760DE"/>
    <w:rsid w:val="004763D7"/>
    <w:rsid w:val="00481849"/>
    <w:rsid w:val="00481DF4"/>
    <w:rsid w:val="004821D1"/>
    <w:rsid w:val="0048391D"/>
    <w:rsid w:val="00484378"/>
    <w:rsid w:val="004861AE"/>
    <w:rsid w:val="004926BA"/>
    <w:rsid w:val="004A004E"/>
    <w:rsid w:val="004A19AC"/>
    <w:rsid w:val="004A24CF"/>
    <w:rsid w:val="004A4685"/>
    <w:rsid w:val="004B5246"/>
    <w:rsid w:val="004B6587"/>
    <w:rsid w:val="004C083E"/>
    <w:rsid w:val="004C251C"/>
    <w:rsid w:val="004C3D1D"/>
    <w:rsid w:val="004C514F"/>
    <w:rsid w:val="004C7913"/>
    <w:rsid w:val="004D0458"/>
    <w:rsid w:val="004D55F7"/>
    <w:rsid w:val="004E2358"/>
    <w:rsid w:val="004E4DD6"/>
    <w:rsid w:val="004E7DB3"/>
    <w:rsid w:val="004F5209"/>
    <w:rsid w:val="004F5E36"/>
    <w:rsid w:val="004F779D"/>
    <w:rsid w:val="004F7A56"/>
    <w:rsid w:val="00500CD3"/>
    <w:rsid w:val="005020F6"/>
    <w:rsid w:val="00503A53"/>
    <w:rsid w:val="00504299"/>
    <w:rsid w:val="005051A2"/>
    <w:rsid w:val="005054AF"/>
    <w:rsid w:val="00507B47"/>
    <w:rsid w:val="00507BEF"/>
    <w:rsid w:val="00507CC9"/>
    <w:rsid w:val="00510642"/>
    <w:rsid w:val="005119A5"/>
    <w:rsid w:val="00516FA6"/>
    <w:rsid w:val="00517646"/>
    <w:rsid w:val="00520317"/>
    <w:rsid w:val="005221C6"/>
    <w:rsid w:val="00522E66"/>
    <w:rsid w:val="00524A19"/>
    <w:rsid w:val="005260ED"/>
    <w:rsid w:val="005278B7"/>
    <w:rsid w:val="0053013D"/>
    <w:rsid w:val="00532016"/>
    <w:rsid w:val="005338F2"/>
    <w:rsid w:val="005346C8"/>
    <w:rsid w:val="0054165A"/>
    <w:rsid w:val="005417CA"/>
    <w:rsid w:val="00542C3C"/>
    <w:rsid w:val="00543E7D"/>
    <w:rsid w:val="0054463C"/>
    <w:rsid w:val="00544DBD"/>
    <w:rsid w:val="00545235"/>
    <w:rsid w:val="0054776A"/>
    <w:rsid w:val="00547A68"/>
    <w:rsid w:val="00547B0A"/>
    <w:rsid w:val="00551691"/>
    <w:rsid w:val="005531C9"/>
    <w:rsid w:val="00554A4D"/>
    <w:rsid w:val="0055768F"/>
    <w:rsid w:val="00557E68"/>
    <w:rsid w:val="00561D91"/>
    <w:rsid w:val="0056459D"/>
    <w:rsid w:val="00570C43"/>
    <w:rsid w:val="00572F4E"/>
    <w:rsid w:val="00573782"/>
    <w:rsid w:val="00573F57"/>
    <w:rsid w:val="005820A0"/>
    <w:rsid w:val="0058257A"/>
    <w:rsid w:val="005843F0"/>
    <w:rsid w:val="00584D4D"/>
    <w:rsid w:val="0058557E"/>
    <w:rsid w:val="00593BCE"/>
    <w:rsid w:val="00594BEF"/>
    <w:rsid w:val="00596D25"/>
    <w:rsid w:val="00596E24"/>
    <w:rsid w:val="005A2387"/>
    <w:rsid w:val="005A243E"/>
    <w:rsid w:val="005A36E3"/>
    <w:rsid w:val="005A5952"/>
    <w:rsid w:val="005A7916"/>
    <w:rsid w:val="005B2110"/>
    <w:rsid w:val="005B2C2E"/>
    <w:rsid w:val="005B61E6"/>
    <w:rsid w:val="005B7ABB"/>
    <w:rsid w:val="005C08DE"/>
    <w:rsid w:val="005C6408"/>
    <w:rsid w:val="005C67E1"/>
    <w:rsid w:val="005C68ED"/>
    <w:rsid w:val="005C77E1"/>
    <w:rsid w:val="005D1411"/>
    <w:rsid w:val="005D383A"/>
    <w:rsid w:val="005D62D7"/>
    <w:rsid w:val="005D668A"/>
    <w:rsid w:val="005D6A2F"/>
    <w:rsid w:val="005D74B1"/>
    <w:rsid w:val="005E1A82"/>
    <w:rsid w:val="005E4AA8"/>
    <w:rsid w:val="005E6208"/>
    <w:rsid w:val="005E77FF"/>
    <w:rsid w:val="005E794C"/>
    <w:rsid w:val="005E7ECE"/>
    <w:rsid w:val="005F0A28"/>
    <w:rsid w:val="005F0E5E"/>
    <w:rsid w:val="005F75D0"/>
    <w:rsid w:val="00600535"/>
    <w:rsid w:val="0060253D"/>
    <w:rsid w:val="006041C3"/>
    <w:rsid w:val="00604BCC"/>
    <w:rsid w:val="006051BD"/>
    <w:rsid w:val="00610CD6"/>
    <w:rsid w:val="00611F40"/>
    <w:rsid w:val="006148C6"/>
    <w:rsid w:val="00617886"/>
    <w:rsid w:val="00620DEE"/>
    <w:rsid w:val="00621F92"/>
    <w:rsid w:val="0062280A"/>
    <w:rsid w:val="00625639"/>
    <w:rsid w:val="006313DA"/>
    <w:rsid w:val="00631B33"/>
    <w:rsid w:val="006338E1"/>
    <w:rsid w:val="006346EB"/>
    <w:rsid w:val="0064184D"/>
    <w:rsid w:val="00641DBD"/>
    <w:rsid w:val="006422CC"/>
    <w:rsid w:val="006431CB"/>
    <w:rsid w:val="00645774"/>
    <w:rsid w:val="00650DC6"/>
    <w:rsid w:val="006525E4"/>
    <w:rsid w:val="0065366A"/>
    <w:rsid w:val="0066071B"/>
    <w:rsid w:val="00660E3E"/>
    <w:rsid w:val="00662E74"/>
    <w:rsid w:val="00662ED9"/>
    <w:rsid w:val="0066577C"/>
    <w:rsid w:val="00665BA5"/>
    <w:rsid w:val="00666EDD"/>
    <w:rsid w:val="006702CE"/>
    <w:rsid w:val="00673637"/>
    <w:rsid w:val="00680C23"/>
    <w:rsid w:val="006819C8"/>
    <w:rsid w:val="00682D94"/>
    <w:rsid w:val="006840CB"/>
    <w:rsid w:val="006847C3"/>
    <w:rsid w:val="006920F3"/>
    <w:rsid w:val="00693766"/>
    <w:rsid w:val="0069531E"/>
    <w:rsid w:val="00696D25"/>
    <w:rsid w:val="00697931"/>
    <w:rsid w:val="006A0821"/>
    <w:rsid w:val="006A3281"/>
    <w:rsid w:val="006B3BF1"/>
    <w:rsid w:val="006B4888"/>
    <w:rsid w:val="006C094B"/>
    <w:rsid w:val="006C1C13"/>
    <w:rsid w:val="006C2E45"/>
    <w:rsid w:val="006C359C"/>
    <w:rsid w:val="006C37A2"/>
    <w:rsid w:val="006C414B"/>
    <w:rsid w:val="006C51DB"/>
    <w:rsid w:val="006C5579"/>
    <w:rsid w:val="006C5B20"/>
    <w:rsid w:val="006C6731"/>
    <w:rsid w:val="006D0010"/>
    <w:rsid w:val="006D181B"/>
    <w:rsid w:val="006D1B75"/>
    <w:rsid w:val="006D1D10"/>
    <w:rsid w:val="006D373A"/>
    <w:rsid w:val="006D6E8B"/>
    <w:rsid w:val="006D7472"/>
    <w:rsid w:val="006E2248"/>
    <w:rsid w:val="006E69DF"/>
    <w:rsid w:val="006E737D"/>
    <w:rsid w:val="006E7699"/>
    <w:rsid w:val="006F085F"/>
    <w:rsid w:val="006F3431"/>
    <w:rsid w:val="006F3F13"/>
    <w:rsid w:val="006F5048"/>
    <w:rsid w:val="006F59B6"/>
    <w:rsid w:val="00702816"/>
    <w:rsid w:val="00707489"/>
    <w:rsid w:val="00707D00"/>
    <w:rsid w:val="00711011"/>
    <w:rsid w:val="00713973"/>
    <w:rsid w:val="00713E96"/>
    <w:rsid w:val="007176C6"/>
    <w:rsid w:val="00720457"/>
    <w:rsid w:val="00720A24"/>
    <w:rsid w:val="00722777"/>
    <w:rsid w:val="00732386"/>
    <w:rsid w:val="007336D7"/>
    <w:rsid w:val="0073514D"/>
    <w:rsid w:val="00735828"/>
    <w:rsid w:val="00735E9C"/>
    <w:rsid w:val="007417C7"/>
    <w:rsid w:val="0074224D"/>
    <w:rsid w:val="007434F1"/>
    <w:rsid w:val="007447F3"/>
    <w:rsid w:val="0074571F"/>
    <w:rsid w:val="0075499F"/>
    <w:rsid w:val="0076056C"/>
    <w:rsid w:val="007608A3"/>
    <w:rsid w:val="0076120B"/>
    <w:rsid w:val="00761BDA"/>
    <w:rsid w:val="00765A5C"/>
    <w:rsid w:val="007661C8"/>
    <w:rsid w:val="0077098D"/>
    <w:rsid w:val="007730EB"/>
    <w:rsid w:val="00773A05"/>
    <w:rsid w:val="0077750B"/>
    <w:rsid w:val="00781E8A"/>
    <w:rsid w:val="007844AC"/>
    <w:rsid w:val="00791DA7"/>
    <w:rsid w:val="007931FA"/>
    <w:rsid w:val="007944BF"/>
    <w:rsid w:val="00796E0D"/>
    <w:rsid w:val="007A0762"/>
    <w:rsid w:val="007A249F"/>
    <w:rsid w:val="007A2C21"/>
    <w:rsid w:val="007A4861"/>
    <w:rsid w:val="007A4968"/>
    <w:rsid w:val="007A51DD"/>
    <w:rsid w:val="007A589D"/>
    <w:rsid w:val="007A7BBA"/>
    <w:rsid w:val="007B0623"/>
    <w:rsid w:val="007B0C50"/>
    <w:rsid w:val="007B2A54"/>
    <w:rsid w:val="007B3829"/>
    <w:rsid w:val="007B3E6D"/>
    <w:rsid w:val="007B48F9"/>
    <w:rsid w:val="007B6D80"/>
    <w:rsid w:val="007B7AEC"/>
    <w:rsid w:val="007C1A43"/>
    <w:rsid w:val="007C2E39"/>
    <w:rsid w:val="007C3988"/>
    <w:rsid w:val="007C3FD1"/>
    <w:rsid w:val="007C5957"/>
    <w:rsid w:val="007D1B5F"/>
    <w:rsid w:val="007D3C09"/>
    <w:rsid w:val="007D7389"/>
    <w:rsid w:val="007E00CE"/>
    <w:rsid w:val="007E0DFA"/>
    <w:rsid w:val="007E15F9"/>
    <w:rsid w:val="007E4EFB"/>
    <w:rsid w:val="007E5487"/>
    <w:rsid w:val="007E5CEE"/>
    <w:rsid w:val="007E66CB"/>
    <w:rsid w:val="007F11B2"/>
    <w:rsid w:val="007F3B04"/>
    <w:rsid w:val="007F4163"/>
    <w:rsid w:val="0080013E"/>
    <w:rsid w:val="0080464D"/>
    <w:rsid w:val="0081246A"/>
    <w:rsid w:val="00813288"/>
    <w:rsid w:val="00814EA6"/>
    <w:rsid w:val="008168FC"/>
    <w:rsid w:val="00816FD9"/>
    <w:rsid w:val="00817E92"/>
    <w:rsid w:val="0082501D"/>
    <w:rsid w:val="00830996"/>
    <w:rsid w:val="00833AE8"/>
    <w:rsid w:val="008345F1"/>
    <w:rsid w:val="00840A74"/>
    <w:rsid w:val="008533FA"/>
    <w:rsid w:val="00853927"/>
    <w:rsid w:val="00855421"/>
    <w:rsid w:val="0086042A"/>
    <w:rsid w:val="00865B07"/>
    <w:rsid w:val="00865E57"/>
    <w:rsid w:val="008667EA"/>
    <w:rsid w:val="00866DA4"/>
    <w:rsid w:val="0087069B"/>
    <w:rsid w:val="00870859"/>
    <w:rsid w:val="00871E94"/>
    <w:rsid w:val="008756B6"/>
    <w:rsid w:val="0087637F"/>
    <w:rsid w:val="00883217"/>
    <w:rsid w:val="00884C52"/>
    <w:rsid w:val="00887368"/>
    <w:rsid w:val="00892AD5"/>
    <w:rsid w:val="00892E46"/>
    <w:rsid w:val="008965F7"/>
    <w:rsid w:val="00896A4A"/>
    <w:rsid w:val="008A1512"/>
    <w:rsid w:val="008A1D7E"/>
    <w:rsid w:val="008A7144"/>
    <w:rsid w:val="008B0548"/>
    <w:rsid w:val="008B1BD8"/>
    <w:rsid w:val="008C0296"/>
    <w:rsid w:val="008C052D"/>
    <w:rsid w:val="008C2EC0"/>
    <w:rsid w:val="008C4E3A"/>
    <w:rsid w:val="008C56CE"/>
    <w:rsid w:val="008D0981"/>
    <w:rsid w:val="008D32B9"/>
    <w:rsid w:val="008D331B"/>
    <w:rsid w:val="008D36D0"/>
    <w:rsid w:val="008D433B"/>
    <w:rsid w:val="008D69E1"/>
    <w:rsid w:val="008D6BBC"/>
    <w:rsid w:val="008D7F83"/>
    <w:rsid w:val="008E18E0"/>
    <w:rsid w:val="008E2E81"/>
    <w:rsid w:val="008E2ED2"/>
    <w:rsid w:val="008E53A7"/>
    <w:rsid w:val="008E566E"/>
    <w:rsid w:val="008F14F6"/>
    <w:rsid w:val="008F4360"/>
    <w:rsid w:val="008F7A52"/>
    <w:rsid w:val="0090161A"/>
    <w:rsid w:val="00901EB6"/>
    <w:rsid w:val="009037C6"/>
    <w:rsid w:val="00904C62"/>
    <w:rsid w:val="00904DAC"/>
    <w:rsid w:val="009115E3"/>
    <w:rsid w:val="00912FCB"/>
    <w:rsid w:val="009141F0"/>
    <w:rsid w:val="00914321"/>
    <w:rsid w:val="00914B97"/>
    <w:rsid w:val="00920306"/>
    <w:rsid w:val="0092274A"/>
    <w:rsid w:val="00922BA8"/>
    <w:rsid w:val="00923403"/>
    <w:rsid w:val="00923427"/>
    <w:rsid w:val="0092428C"/>
    <w:rsid w:val="009243C0"/>
    <w:rsid w:val="00924DAC"/>
    <w:rsid w:val="00927058"/>
    <w:rsid w:val="00932835"/>
    <w:rsid w:val="00934656"/>
    <w:rsid w:val="00935F5D"/>
    <w:rsid w:val="00935FC0"/>
    <w:rsid w:val="009422F9"/>
    <w:rsid w:val="00942750"/>
    <w:rsid w:val="00944F5F"/>
    <w:rsid w:val="009450CE"/>
    <w:rsid w:val="00946565"/>
    <w:rsid w:val="00947179"/>
    <w:rsid w:val="0095164B"/>
    <w:rsid w:val="00953438"/>
    <w:rsid w:val="00954090"/>
    <w:rsid w:val="00956355"/>
    <w:rsid w:val="009573E7"/>
    <w:rsid w:val="00963E05"/>
    <w:rsid w:val="00965379"/>
    <w:rsid w:val="00966D23"/>
    <w:rsid w:val="0096752E"/>
    <w:rsid w:val="00967843"/>
    <w:rsid w:val="00967D54"/>
    <w:rsid w:val="00971028"/>
    <w:rsid w:val="00973E88"/>
    <w:rsid w:val="00976D25"/>
    <w:rsid w:val="0097724C"/>
    <w:rsid w:val="00977313"/>
    <w:rsid w:val="009822D9"/>
    <w:rsid w:val="00985EE1"/>
    <w:rsid w:val="00993227"/>
    <w:rsid w:val="009934B1"/>
    <w:rsid w:val="00993B84"/>
    <w:rsid w:val="00994967"/>
    <w:rsid w:val="0099613A"/>
    <w:rsid w:val="00996483"/>
    <w:rsid w:val="00996913"/>
    <w:rsid w:val="00996F5A"/>
    <w:rsid w:val="00997911"/>
    <w:rsid w:val="009A4682"/>
    <w:rsid w:val="009A4FEF"/>
    <w:rsid w:val="009A5162"/>
    <w:rsid w:val="009A6833"/>
    <w:rsid w:val="009A71EF"/>
    <w:rsid w:val="009B041A"/>
    <w:rsid w:val="009C298D"/>
    <w:rsid w:val="009C339A"/>
    <w:rsid w:val="009C37C3"/>
    <w:rsid w:val="009C6D51"/>
    <w:rsid w:val="009C7149"/>
    <w:rsid w:val="009C7C86"/>
    <w:rsid w:val="009D236D"/>
    <w:rsid w:val="009D2449"/>
    <w:rsid w:val="009D2FF7"/>
    <w:rsid w:val="009D3F68"/>
    <w:rsid w:val="009D41CF"/>
    <w:rsid w:val="009E6FD4"/>
    <w:rsid w:val="009E70CC"/>
    <w:rsid w:val="009E7884"/>
    <w:rsid w:val="009E788A"/>
    <w:rsid w:val="009F0679"/>
    <w:rsid w:val="009F0E08"/>
    <w:rsid w:val="009F45CF"/>
    <w:rsid w:val="009F56F9"/>
    <w:rsid w:val="00A10527"/>
    <w:rsid w:val="00A113D9"/>
    <w:rsid w:val="00A12420"/>
    <w:rsid w:val="00A12AE0"/>
    <w:rsid w:val="00A12BC5"/>
    <w:rsid w:val="00A14D54"/>
    <w:rsid w:val="00A16D09"/>
    <w:rsid w:val="00A1763D"/>
    <w:rsid w:val="00A17CEC"/>
    <w:rsid w:val="00A23F22"/>
    <w:rsid w:val="00A268FD"/>
    <w:rsid w:val="00A27EF0"/>
    <w:rsid w:val="00A340FB"/>
    <w:rsid w:val="00A3420C"/>
    <w:rsid w:val="00A35EB4"/>
    <w:rsid w:val="00A42361"/>
    <w:rsid w:val="00A476B8"/>
    <w:rsid w:val="00A47C79"/>
    <w:rsid w:val="00A50B20"/>
    <w:rsid w:val="00A51390"/>
    <w:rsid w:val="00A513F2"/>
    <w:rsid w:val="00A537E3"/>
    <w:rsid w:val="00A54912"/>
    <w:rsid w:val="00A5556A"/>
    <w:rsid w:val="00A56F9C"/>
    <w:rsid w:val="00A57511"/>
    <w:rsid w:val="00A60D13"/>
    <w:rsid w:val="00A66A68"/>
    <w:rsid w:val="00A67BF1"/>
    <w:rsid w:val="00A7141E"/>
    <w:rsid w:val="00A72745"/>
    <w:rsid w:val="00A74690"/>
    <w:rsid w:val="00A76EFC"/>
    <w:rsid w:val="00A777E0"/>
    <w:rsid w:val="00A77903"/>
    <w:rsid w:val="00A80280"/>
    <w:rsid w:val="00A852E0"/>
    <w:rsid w:val="00A868B1"/>
    <w:rsid w:val="00A87DE1"/>
    <w:rsid w:val="00A90AEE"/>
    <w:rsid w:val="00A91010"/>
    <w:rsid w:val="00A913AF"/>
    <w:rsid w:val="00A94815"/>
    <w:rsid w:val="00A95E1E"/>
    <w:rsid w:val="00A97F29"/>
    <w:rsid w:val="00AA05D7"/>
    <w:rsid w:val="00AA157A"/>
    <w:rsid w:val="00AA1870"/>
    <w:rsid w:val="00AA4D7A"/>
    <w:rsid w:val="00AA62C0"/>
    <w:rsid w:val="00AA702E"/>
    <w:rsid w:val="00AA7B32"/>
    <w:rsid w:val="00AB0964"/>
    <w:rsid w:val="00AB5011"/>
    <w:rsid w:val="00AC70B8"/>
    <w:rsid w:val="00AC7368"/>
    <w:rsid w:val="00AD037A"/>
    <w:rsid w:val="00AD16B9"/>
    <w:rsid w:val="00AD1B57"/>
    <w:rsid w:val="00AD3582"/>
    <w:rsid w:val="00AD3F90"/>
    <w:rsid w:val="00AD40FD"/>
    <w:rsid w:val="00AD4580"/>
    <w:rsid w:val="00AD772F"/>
    <w:rsid w:val="00AD7F44"/>
    <w:rsid w:val="00AE2FBF"/>
    <w:rsid w:val="00AE377D"/>
    <w:rsid w:val="00AE5D42"/>
    <w:rsid w:val="00AE6419"/>
    <w:rsid w:val="00AF0523"/>
    <w:rsid w:val="00AF0EBA"/>
    <w:rsid w:val="00AF6371"/>
    <w:rsid w:val="00AF72CD"/>
    <w:rsid w:val="00B02C8A"/>
    <w:rsid w:val="00B03576"/>
    <w:rsid w:val="00B0424D"/>
    <w:rsid w:val="00B108A9"/>
    <w:rsid w:val="00B11F38"/>
    <w:rsid w:val="00B17FBD"/>
    <w:rsid w:val="00B2604C"/>
    <w:rsid w:val="00B26A11"/>
    <w:rsid w:val="00B26A16"/>
    <w:rsid w:val="00B304C3"/>
    <w:rsid w:val="00B315A6"/>
    <w:rsid w:val="00B31813"/>
    <w:rsid w:val="00B33365"/>
    <w:rsid w:val="00B4138D"/>
    <w:rsid w:val="00B42D71"/>
    <w:rsid w:val="00B43735"/>
    <w:rsid w:val="00B47645"/>
    <w:rsid w:val="00B502D2"/>
    <w:rsid w:val="00B50C23"/>
    <w:rsid w:val="00B51881"/>
    <w:rsid w:val="00B53EA6"/>
    <w:rsid w:val="00B5633E"/>
    <w:rsid w:val="00B574FB"/>
    <w:rsid w:val="00B57B36"/>
    <w:rsid w:val="00B57E6F"/>
    <w:rsid w:val="00B637C2"/>
    <w:rsid w:val="00B64356"/>
    <w:rsid w:val="00B64584"/>
    <w:rsid w:val="00B64AF5"/>
    <w:rsid w:val="00B6522D"/>
    <w:rsid w:val="00B6626F"/>
    <w:rsid w:val="00B66D22"/>
    <w:rsid w:val="00B6745B"/>
    <w:rsid w:val="00B67F12"/>
    <w:rsid w:val="00B70B84"/>
    <w:rsid w:val="00B75D6A"/>
    <w:rsid w:val="00B8686D"/>
    <w:rsid w:val="00B907B8"/>
    <w:rsid w:val="00B920CE"/>
    <w:rsid w:val="00B93F69"/>
    <w:rsid w:val="00B95B4C"/>
    <w:rsid w:val="00B96115"/>
    <w:rsid w:val="00B97B23"/>
    <w:rsid w:val="00BA2C5F"/>
    <w:rsid w:val="00BA2DA0"/>
    <w:rsid w:val="00BA3DEC"/>
    <w:rsid w:val="00BA49AC"/>
    <w:rsid w:val="00BB1252"/>
    <w:rsid w:val="00BB1DDC"/>
    <w:rsid w:val="00BB2D47"/>
    <w:rsid w:val="00BB3D2D"/>
    <w:rsid w:val="00BB4263"/>
    <w:rsid w:val="00BC30C9"/>
    <w:rsid w:val="00BC3529"/>
    <w:rsid w:val="00BD077D"/>
    <w:rsid w:val="00BD07C2"/>
    <w:rsid w:val="00BE3E58"/>
    <w:rsid w:val="00BE406E"/>
    <w:rsid w:val="00BE46AE"/>
    <w:rsid w:val="00BE4B6B"/>
    <w:rsid w:val="00BF22BD"/>
    <w:rsid w:val="00BF6CBC"/>
    <w:rsid w:val="00C0011A"/>
    <w:rsid w:val="00C01616"/>
    <w:rsid w:val="00C0162B"/>
    <w:rsid w:val="00C01B1F"/>
    <w:rsid w:val="00C03719"/>
    <w:rsid w:val="00C068ED"/>
    <w:rsid w:val="00C15F30"/>
    <w:rsid w:val="00C2047E"/>
    <w:rsid w:val="00C21CAF"/>
    <w:rsid w:val="00C21CB0"/>
    <w:rsid w:val="00C22E0C"/>
    <w:rsid w:val="00C27618"/>
    <w:rsid w:val="00C27A2F"/>
    <w:rsid w:val="00C27A4A"/>
    <w:rsid w:val="00C32444"/>
    <w:rsid w:val="00C345B1"/>
    <w:rsid w:val="00C40142"/>
    <w:rsid w:val="00C40D03"/>
    <w:rsid w:val="00C40DCA"/>
    <w:rsid w:val="00C4468E"/>
    <w:rsid w:val="00C52C3C"/>
    <w:rsid w:val="00C53AAF"/>
    <w:rsid w:val="00C5589F"/>
    <w:rsid w:val="00C57182"/>
    <w:rsid w:val="00C57863"/>
    <w:rsid w:val="00C6278F"/>
    <w:rsid w:val="00C655FD"/>
    <w:rsid w:val="00C658C0"/>
    <w:rsid w:val="00C66EF4"/>
    <w:rsid w:val="00C677AD"/>
    <w:rsid w:val="00C70ACA"/>
    <w:rsid w:val="00C72F86"/>
    <w:rsid w:val="00C75407"/>
    <w:rsid w:val="00C77E17"/>
    <w:rsid w:val="00C853C4"/>
    <w:rsid w:val="00C870A8"/>
    <w:rsid w:val="00C90EF2"/>
    <w:rsid w:val="00C9338E"/>
    <w:rsid w:val="00C94434"/>
    <w:rsid w:val="00CA05BE"/>
    <w:rsid w:val="00CA0D75"/>
    <w:rsid w:val="00CA1C95"/>
    <w:rsid w:val="00CA2429"/>
    <w:rsid w:val="00CA5A9C"/>
    <w:rsid w:val="00CB092C"/>
    <w:rsid w:val="00CB1082"/>
    <w:rsid w:val="00CB60C1"/>
    <w:rsid w:val="00CB7D5A"/>
    <w:rsid w:val="00CC1CD6"/>
    <w:rsid w:val="00CC3552"/>
    <w:rsid w:val="00CC4093"/>
    <w:rsid w:val="00CC44AF"/>
    <w:rsid w:val="00CC4C20"/>
    <w:rsid w:val="00CC51C4"/>
    <w:rsid w:val="00CC7E61"/>
    <w:rsid w:val="00CD0001"/>
    <w:rsid w:val="00CD34C1"/>
    <w:rsid w:val="00CD3517"/>
    <w:rsid w:val="00CD4DB8"/>
    <w:rsid w:val="00CD5FE2"/>
    <w:rsid w:val="00CE2507"/>
    <w:rsid w:val="00CE3322"/>
    <w:rsid w:val="00CE7C68"/>
    <w:rsid w:val="00CF24E6"/>
    <w:rsid w:val="00D02B4C"/>
    <w:rsid w:val="00D040C4"/>
    <w:rsid w:val="00D05FA6"/>
    <w:rsid w:val="00D1125F"/>
    <w:rsid w:val="00D12081"/>
    <w:rsid w:val="00D131C9"/>
    <w:rsid w:val="00D16492"/>
    <w:rsid w:val="00D200BB"/>
    <w:rsid w:val="00D25CE9"/>
    <w:rsid w:val="00D26F6B"/>
    <w:rsid w:val="00D277B5"/>
    <w:rsid w:val="00D320B9"/>
    <w:rsid w:val="00D34DA3"/>
    <w:rsid w:val="00D46B7E"/>
    <w:rsid w:val="00D47D75"/>
    <w:rsid w:val="00D51184"/>
    <w:rsid w:val="00D53ABC"/>
    <w:rsid w:val="00D5501D"/>
    <w:rsid w:val="00D55318"/>
    <w:rsid w:val="00D55792"/>
    <w:rsid w:val="00D57634"/>
    <w:rsid w:val="00D57C84"/>
    <w:rsid w:val="00D6057D"/>
    <w:rsid w:val="00D60AC4"/>
    <w:rsid w:val="00D60AE4"/>
    <w:rsid w:val="00D60D9D"/>
    <w:rsid w:val="00D61360"/>
    <w:rsid w:val="00D61C49"/>
    <w:rsid w:val="00D62A42"/>
    <w:rsid w:val="00D630DF"/>
    <w:rsid w:val="00D63BEC"/>
    <w:rsid w:val="00D66C4F"/>
    <w:rsid w:val="00D70BFE"/>
    <w:rsid w:val="00D72C1F"/>
    <w:rsid w:val="00D74369"/>
    <w:rsid w:val="00D74C87"/>
    <w:rsid w:val="00D752BF"/>
    <w:rsid w:val="00D75868"/>
    <w:rsid w:val="00D81B59"/>
    <w:rsid w:val="00D836C5"/>
    <w:rsid w:val="00D84576"/>
    <w:rsid w:val="00D94373"/>
    <w:rsid w:val="00D9584C"/>
    <w:rsid w:val="00DA1399"/>
    <w:rsid w:val="00DA24C6"/>
    <w:rsid w:val="00DA3922"/>
    <w:rsid w:val="00DA4D7B"/>
    <w:rsid w:val="00DB1B9F"/>
    <w:rsid w:val="00DB2838"/>
    <w:rsid w:val="00DB777C"/>
    <w:rsid w:val="00DB7842"/>
    <w:rsid w:val="00DC014E"/>
    <w:rsid w:val="00DC02B3"/>
    <w:rsid w:val="00DC1710"/>
    <w:rsid w:val="00DC34C8"/>
    <w:rsid w:val="00DC41EA"/>
    <w:rsid w:val="00DD16C4"/>
    <w:rsid w:val="00DD267F"/>
    <w:rsid w:val="00DD5536"/>
    <w:rsid w:val="00DD6E6A"/>
    <w:rsid w:val="00DE0313"/>
    <w:rsid w:val="00DE0A17"/>
    <w:rsid w:val="00DE264A"/>
    <w:rsid w:val="00DE4742"/>
    <w:rsid w:val="00DE5978"/>
    <w:rsid w:val="00DF066B"/>
    <w:rsid w:val="00DF0DA4"/>
    <w:rsid w:val="00DF273E"/>
    <w:rsid w:val="00DF5072"/>
    <w:rsid w:val="00DF5E64"/>
    <w:rsid w:val="00E02D18"/>
    <w:rsid w:val="00E03A4A"/>
    <w:rsid w:val="00E03B60"/>
    <w:rsid w:val="00E03EE9"/>
    <w:rsid w:val="00E041E7"/>
    <w:rsid w:val="00E0617C"/>
    <w:rsid w:val="00E11302"/>
    <w:rsid w:val="00E14546"/>
    <w:rsid w:val="00E15E7F"/>
    <w:rsid w:val="00E17598"/>
    <w:rsid w:val="00E20686"/>
    <w:rsid w:val="00E23441"/>
    <w:rsid w:val="00E23CA1"/>
    <w:rsid w:val="00E24ED3"/>
    <w:rsid w:val="00E26D87"/>
    <w:rsid w:val="00E30A62"/>
    <w:rsid w:val="00E31114"/>
    <w:rsid w:val="00E3129F"/>
    <w:rsid w:val="00E31A65"/>
    <w:rsid w:val="00E32933"/>
    <w:rsid w:val="00E354FF"/>
    <w:rsid w:val="00E356A3"/>
    <w:rsid w:val="00E35D85"/>
    <w:rsid w:val="00E409A8"/>
    <w:rsid w:val="00E4486C"/>
    <w:rsid w:val="00E45AD8"/>
    <w:rsid w:val="00E50C12"/>
    <w:rsid w:val="00E524A6"/>
    <w:rsid w:val="00E530E7"/>
    <w:rsid w:val="00E547D3"/>
    <w:rsid w:val="00E60049"/>
    <w:rsid w:val="00E60F53"/>
    <w:rsid w:val="00E635E9"/>
    <w:rsid w:val="00E642A4"/>
    <w:rsid w:val="00E643F1"/>
    <w:rsid w:val="00E65B91"/>
    <w:rsid w:val="00E66811"/>
    <w:rsid w:val="00E70E09"/>
    <w:rsid w:val="00E7209D"/>
    <w:rsid w:val="00E72EAD"/>
    <w:rsid w:val="00E73000"/>
    <w:rsid w:val="00E77223"/>
    <w:rsid w:val="00E81672"/>
    <w:rsid w:val="00E82E9D"/>
    <w:rsid w:val="00E8528B"/>
    <w:rsid w:val="00E85B94"/>
    <w:rsid w:val="00E8638E"/>
    <w:rsid w:val="00E96A1D"/>
    <w:rsid w:val="00E96CD3"/>
    <w:rsid w:val="00E978D0"/>
    <w:rsid w:val="00EA3C40"/>
    <w:rsid w:val="00EA4613"/>
    <w:rsid w:val="00EA7F91"/>
    <w:rsid w:val="00EB1523"/>
    <w:rsid w:val="00EB22B5"/>
    <w:rsid w:val="00EB4703"/>
    <w:rsid w:val="00EB585B"/>
    <w:rsid w:val="00EB7515"/>
    <w:rsid w:val="00EC0E49"/>
    <w:rsid w:val="00EC101F"/>
    <w:rsid w:val="00EC1D9F"/>
    <w:rsid w:val="00EC57CF"/>
    <w:rsid w:val="00EC6D60"/>
    <w:rsid w:val="00EC760F"/>
    <w:rsid w:val="00ED022A"/>
    <w:rsid w:val="00ED0E2E"/>
    <w:rsid w:val="00ED1809"/>
    <w:rsid w:val="00ED1E67"/>
    <w:rsid w:val="00ED3250"/>
    <w:rsid w:val="00ED383F"/>
    <w:rsid w:val="00ED61A0"/>
    <w:rsid w:val="00ED6C95"/>
    <w:rsid w:val="00ED6D9A"/>
    <w:rsid w:val="00EE0131"/>
    <w:rsid w:val="00EE17B0"/>
    <w:rsid w:val="00EE1C66"/>
    <w:rsid w:val="00EF06D9"/>
    <w:rsid w:val="00EF0D8B"/>
    <w:rsid w:val="00EF404D"/>
    <w:rsid w:val="00F04D01"/>
    <w:rsid w:val="00F05121"/>
    <w:rsid w:val="00F07221"/>
    <w:rsid w:val="00F124F5"/>
    <w:rsid w:val="00F16A58"/>
    <w:rsid w:val="00F1747C"/>
    <w:rsid w:val="00F2543A"/>
    <w:rsid w:val="00F27E3E"/>
    <w:rsid w:val="00F30C64"/>
    <w:rsid w:val="00F32BA2"/>
    <w:rsid w:val="00F32CDB"/>
    <w:rsid w:val="00F34FF0"/>
    <w:rsid w:val="00F40E07"/>
    <w:rsid w:val="00F421B5"/>
    <w:rsid w:val="00F43586"/>
    <w:rsid w:val="00F45204"/>
    <w:rsid w:val="00F5271F"/>
    <w:rsid w:val="00F543E4"/>
    <w:rsid w:val="00F565FE"/>
    <w:rsid w:val="00F570DF"/>
    <w:rsid w:val="00F5795C"/>
    <w:rsid w:val="00F60EB9"/>
    <w:rsid w:val="00F611D7"/>
    <w:rsid w:val="00F614A5"/>
    <w:rsid w:val="00F63A70"/>
    <w:rsid w:val="00F65573"/>
    <w:rsid w:val="00F659C9"/>
    <w:rsid w:val="00F721B4"/>
    <w:rsid w:val="00F7295E"/>
    <w:rsid w:val="00F73930"/>
    <w:rsid w:val="00F7534E"/>
    <w:rsid w:val="00F76A38"/>
    <w:rsid w:val="00F80205"/>
    <w:rsid w:val="00F87AFC"/>
    <w:rsid w:val="00F87FD0"/>
    <w:rsid w:val="00F96BA1"/>
    <w:rsid w:val="00FA0D0B"/>
    <w:rsid w:val="00FA1928"/>
    <w:rsid w:val="00FA21D0"/>
    <w:rsid w:val="00FA55AA"/>
    <w:rsid w:val="00FA5F5F"/>
    <w:rsid w:val="00FB2C05"/>
    <w:rsid w:val="00FB4A2E"/>
    <w:rsid w:val="00FB5B69"/>
    <w:rsid w:val="00FB730C"/>
    <w:rsid w:val="00FC099F"/>
    <w:rsid w:val="00FC2695"/>
    <w:rsid w:val="00FC3E03"/>
    <w:rsid w:val="00FC3FC1"/>
    <w:rsid w:val="00FC4349"/>
    <w:rsid w:val="00FC4A0F"/>
    <w:rsid w:val="00FC5CB3"/>
    <w:rsid w:val="00FD1628"/>
    <w:rsid w:val="00FD3448"/>
    <w:rsid w:val="00FD410E"/>
    <w:rsid w:val="00FD565F"/>
    <w:rsid w:val="00FD78A7"/>
    <w:rsid w:val="00FD79CE"/>
    <w:rsid w:val="00FE17CC"/>
    <w:rsid w:val="00FE5E82"/>
    <w:rsid w:val="00FF035F"/>
    <w:rsid w:val="00FF3A38"/>
    <w:rsid w:val="00FF7EF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CEA4EDB3-10DF-4154-AD9A-5A148040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141D50"/>
    <w:rPr>
      <w:color w:val="808080"/>
    </w:rPr>
  </w:style>
  <w:style w:type="character" w:customStyle="1" w:styleId="Menzionenonrisolta1">
    <w:name w:val="Menzione non risolta1"/>
    <w:basedOn w:val="Carpredefinitoparagrafo"/>
    <w:uiPriority w:val="99"/>
    <w:semiHidden/>
    <w:unhideWhenUsed/>
    <w:rsid w:val="00547B0A"/>
    <w:rPr>
      <w:color w:val="605E5C"/>
      <w:shd w:val="clear" w:color="auto" w:fill="E1DFDD"/>
    </w:rPr>
  </w:style>
  <w:style w:type="paragraph" w:styleId="Revisione">
    <w:name w:val="Revision"/>
    <w:hidden/>
    <w:uiPriority w:val="99"/>
    <w:semiHidden/>
    <w:rsid w:val="00024566"/>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42899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77623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0179">
      <w:bodyDiv w:val="1"/>
      <w:marLeft w:val="0"/>
      <w:marRight w:val="0"/>
      <w:marTop w:val="0"/>
      <w:marBottom w:val="0"/>
      <w:divBdr>
        <w:top w:val="none" w:sz="0" w:space="0" w:color="auto"/>
        <w:left w:val="none" w:sz="0" w:space="0" w:color="auto"/>
        <w:bottom w:val="none" w:sz="0" w:space="0" w:color="auto"/>
        <w:right w:val="none" w:sz="0" w:space="0" w:color="auto"/>
      </w:divBdr>
    </w:div>
    <w:div w:id="136081471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0027968">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225824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66183-587D-4312-AD5F-AD15036B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2810</Words>
  <Characters>16017</Characters>
  <Application>Microsoft Office Word</Application>
  <DocSecurity>0</DocSecurity>
  <Lines>133</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Martina Mazzi</cp:lastModifiedBy>
  <cp:revision>6</cp:revision>
  <cp:lastPrinted>2022-01-10T10:40:00Z</cp:lastPrinted>
  <dcterms:created xsi:type="dcterms:W3CDTF">2022-03-22T08:53:00Z</dcterms:created>
  <dcterms:modified xsi:type="dcterms:W3CDTF">2022-03-22T09:29:00Z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