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4249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42496" w:rsidRDefault="000A03B2" w:rsidP="00DE264A">
            <w:pPr>
              <w:tabs>
                <w:tab w:val="left" w:pos="-108"/>
              </w:tabs>
              <w:ind w:left="-108"/>
              <w:jc w:val="left"/>
              <w:rPr>
                <w:rFonts w:cs="Arial"/>
                <w:b/>
                <w:bCs/>
                <w:i/>
                <w:iCs/>
                <w:color w:val="000066"/>
                <w:sz w:val="12"/>
                <w:szCs w:val="12"/>
                <w:lang w:eastAsia="it-IT"/>
              </w:rPr>
            </w:pPr>
            <w:r w:rsidRPr="0044249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42496">
              <w:rPr>
                <w:rFonts w:ascii="AdvP6960" w:hAnsi="AdvP6960" w:cs="AdvP6960"/>
                <w:color w:val="241F20"/>
                <w:szCs w:val="18"/>
                <w:lang w:eastAsia="it-IT"/>
              </w:rPr>
              <w:t xml:space="preserve"> </w:t>
            </w:r>
            <w:r w:rsidRPr="00442496">
              <w:rPr>
                <w:rFonts w:cs="Arial"/>
                <w:b/>
                <w:bCs/>
                <w:i/>
                <w:iCs/>
                <w:color w:val="000066"/>
                <w:sz w:val="24"/>
                <w:szCs w:val="24"/>
                <w:lang w:eastAsia="it-IT"/>
              </w:rPr>
              <w:t>CHEMICAL ENGINEERING</w:t>
            </w:r>
            <w:r w:rsidRPr="00442496">
              <w:rPr>
                <w:rFonts w:cs="Arial"/>
                <w:b/>
                <w:bCs/>
                <w:i/>
                <w:iCs/>
                <w:color w:val="0033FF"/>
                <w:sz w:val="24"/>
                <w:szCs w:val="24"/>
                <w:lang w:eastAsia="it-IT"/>
              </w:rPr>
              <w:t xml:space="preserve"> </w:t>
            </w:r>
            <w:r w:rsidRPr="00442496">
              <w:rPr>
                <w:rFonts w:cs="Arial"/>
                <w:b/>
                <w:bCs/>
                <w:i/>
                <w:iCs/>
                <w:color w:val="666666"/>
                <w:sz w:val="24"/>
                <w:szCs w:val="24"/>
                <w:lang w:eastAsia="it-IT"/>
              </w:rPr>
              <w:t>TRANSACTIONS</w:t>
            </w:r>
            <w:r w:rsidRPr="00442496">
              <w:rPr>
                <w:color w:val="333333"/>
                <w:sz w:val="24"/>
                <w:szCs w:val="24"/>
                <w:lang w:eastAsia="it-IT"/>
              </w:rPr>
              <w:t xml:space="preserve"> </w:t>
            </w:r>
            <w:r w:rsidRPr="00442496">
              <w:rPr>
                <w:rFonts w:cs="Arial"/>
                <w:b/>
                <w:bCs/>
                <w:i/>
                <w:iCs/>
                <w:color w:val="000066"/>
                <w:sz w:val="27"/>
                <w:szCs w:val="27"/>
                <w:lang w:eastAsia="it-IT"/>
              </w:rPr>
              <w:br/>
            </w:r>
          </w:p>
          <w:p w14:paraId="4B780582" w14:textId="740002EE" w:rsidR="000A03B2" w:rsidRPr="00442496" w:rsidRDefault="00A76EFC" w:rsidP="00B57E6F">
            <w:pPr>
              <w:tabs>
                <w:tab w:val="left" w:pos="-108"/>
              </w:tabs>
              <w:ind w:left="-108"/>
              <w:rPr>
                <w:rFonts w:cs="Arial"/>
                <w:b/>
                <w:bCs/>
                <w:i/>
                <w:iCs/>
                <w:color w:val="000066"/>
                <w:sz w:val="22"/>
                <w:szCs w:val="22"/>
                <w:lang w:eastAsia="it-IT"/>
              </w:rPr>
            </w:pPr>
            <w:r w:rsidRPr="00442496">
              <w:rPr>
                <w:rFonts w:cs="Arial"/>
                <w:b/>
                <w:bCs/>
                <w:i/>
                <w:iCs/>
                <w:color w:val="000066"/>
                <w:sz w:val="22"/>
                <w:szCs w:val="22"/>
                <w:lang w:eastAsia="it-IT"/>
              </w:rPr>
              <w:t xml:space="preserve">VOL. </w:t>
            </w:r>
            <w:r w:rsidR="00D46B7E" w:rsidRPr="00442496">
              <w:rPr>
                <w:rFonts w:cs="Arial"/>
                <w:b/>
                <w:bCs/>
                <w:i/>
                <w:iCs/>
                <w:color w:val="000066"/>
                <w:sz w:val="22"/>
                <w:szCs w:val="22"/>
                <w:lang w:eastAsia="it-IT"/>
              </w:rPr>
              <w:t>9</w:t>
            </w:r>
            <w:r w:rsidR="00B57E6F" w:rsidRPr="00442496">
              <w:rPr>
                <w:rFonts w:cs="Arial"/>
                <w:b/>
                <w:bCs/>
                <w:i/>
                <w:iCs/>
                <w:color w:val="000066"/>
                <w:sz w:val="22"/>
                <w:szCs w:val="22"/>
                <w:lang w:eastAsia="it-IT"/>
              </w:rPr>
              <w:t>1</w:t>
            </w:r>
            <w:r w:rsidR="007B48F9" w:rsidRPr="00442496">
              <w:rPr>
                <w:rFonts w:cs="Arial"/>
                <w:b/>
                <w:bCs/>
                <w:i/>
                <w:iCs/>
                <w:color w:val="000066"/>
                <w:sz w:val="22"/>
                <w:szCs w:val="22"/>
                <w:lang w:eastAsia="it-IT"/>
              </w:rPr>
              <w:t>,</w:t>
            </w:r>
            <w:r w:rsidR="00FA5F5F" w:rsidRPr="00442496">
              <w:rPr>
                <w:rFonts w:cs="Arial"/>
                <w:b/>
                <w:bCs/>
                <w:i/>
                <w:iCs/>
                <w:color w:val="000066"/>
                <w:sz w:val="22"/>
                <w:szCs w:val="22"/>
                <w:lang w:eastAsia="it-IT"/>
              </w:rPr>
              <w:t xml:space="preserve"> 20</w:t>
            </w:r>
            <w:r w:rsidR="00DF5072" w:rsidRPr="00442496">
              <w:rPr>
                <w:rFonts w:cs="Arial"/>
                <w:b/>
                <w:bCs/>
                <w:i/>
                <w:iCs/>
                <w:color w:val="000066"/>
                <w:sz w:val="22"/>
                <w:szCs w:val="22"/>
                <w:lang w:eastAsia="it-IT"/>
              </w:rPr>
              <w:t>2</w:t>
            </w:r>
            <w:r w:rsidR="007B48F9" w:rsidRPr="00442496">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442496" w:rsidRDefault="000A03B2" w:rsidP="00CD5FE2">
            <w:pPr>
              <w:spacing w:line="140" w:lineRule="atLeast"/>
              <w:jc w:val="right"/>
              <w:rPr>
                <w:rFonts w:cs="Arial"/>
                <w:sz w:val="14"/>
                <w:szCs w:val="14"/>
              </w:rPr>
            </w:pPr>
            <w:r w:rsidRPr="00442496">
              <w:rPr>
                <w:rFonts w:cs="Arial"/>
                <w:sz w:val="14"/>
                <w:szCs w:val="14"/>
              </w:rPr>
              <w:t>A publication of</w:t>
            </w:r>
          </w:p>
          <w:p w14:paraId="599E5441" w14:textId="77777777" w:rsidR="000A03B2" w:rsidRPr="00442496" w:rsidRDefault="000A03B2" w:rsidP="00CD5FE2">
            <w:pPr>
              <w:jc w:val="right"/>
            </w:pPr>
            <w:r w:rsidRPr="0044249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B2594" w14:paraId="380FA3CD" w14:textId="77777777" w:rsidTr="00DE264A">
        <w:trPr>
          <w:trHeight w:val="567"/>
          <w:jc w:val="center"/>
        </w:trPr>
        <w:tc>
          <w:tcPr>
            <w:tcW w:w="6946" w:type="dxa"/>
            <w:vMerge/>
            <w:tcBorders>
              <w:right w:val="single" w:sz="4" w:space="0" w:color="auto"/>
            </w:tcBorders>
          </w:tcPr>
          <w:p w14:paraId="39E5E4C1" w14:textId="77777777" w:rsidR="000A03B2" w:rsidRPr="0044249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442496" w:rsidRDefault="000A03B2" w:rsidP="00CD5FE2">
            <w:pPr>
              <w:spacing w:line="140" w:lineRule="atLeast"/>
              <w:jc w:val="right"/>
              <w:rPr>
                <w:rFonts w:cs="Arial"/>
                <w:sz w:val="14"/>
                <w:szCs w:val="14"/>
              </w:rPr>
            </w:pPr>
            <w:r w:rsidRPr="00442496">
              <w:rPr>
                <w:rFonts w:cs="Arial"/>
                <w:sz w:val="14"/>
                <w:szCs w:val="14"/>
              </w:rPr>
              <w:t>The Italian Association</w:t>
            </w:r>
          </w:p>
          <w:p w14:paraId="7522B1D2" w14:textId="77777777" w:rsidR="000A03B2" w:rsidRPr="00442496" w:rsidRDefault="000A03B2" w:rsidP="00CD5FE2">
            <w:pPr>
              <w:spacing w:line="140" w:lineRule="atLeast"/>
              <w:jc w:val="right"/>
              <w:rPr>
                <w:rFonts w:cs="Arial"/>
                <w:sz w:val="14"/>
                <w:szCs w:val="14"/>
              </w:rPr>
            </w:pPr>
            <w:r w:rsidRPr="00442496">
              <w:rPr>
                <w:rFonts w:cs="Arial"/>
                <w:sz w:val="14"/>
                <w:szCs w:val="14"/>
              </w:rPr>
              <w:t>of Chemical Engineering</w:t>
            </w:r>
          </w:p>
          <w:p w14:paraId="4F0CC5DE" w14:textId="47FDB2FC" w:rsidR="000A03B2" w:rsidRPr="00CD2B77" w:rsidRDefault="000D0268" w:rsidP="00CD5FE2">
            <w:pPr>
              <w:spacing w:line="140" w:lineRule="atLeast"/>
              <w:jc w:val="right"/>
              <w:rPr>
                <w:rFonts w:cs="Arial"/>
                <w:sz w:val="13"/>
                <w:szCs w:val="13"/>
                <w:lang w:val="nb-NO"/>
              </w:rPr>
            </w:pPr>
            <w:r w:rsidRPr="00CD2B77">
              <w:rPr>
                <w:rFonts w:cs="Arial"/>
                <w:sz w:val="13"/>
                <w:szCs w:val="13"/>
                <w:lang w:val="nb-NO"/>
              </w:rPr>
              <w:t>Online at www.cetjournal.it</w:t>
            </w:r>
          </w:p>
        </w:tc>
      </w:tr>
      <w:tr w:rsidR="000A03B2" w:rsidRPr="00442496" w14:paraId="2D1B7169" w14:textId="77777777" w:rsidTr="00DE264A">
        <w:trPr>
          <w:trHeight w:val="68"/>
          <w:jc w:val="center"/>
        </w:trPr>
        <w:tc>
          <w:tcPr>
            <w:tcW w:w="8789" w:type="dxa"/>
            <w:gridSpan w:val="2"/>
          </w:tcPr>
          <w:p w14:paraId="4B0BB442" w14:textId="4EADF2C2" w:rsidR="00300E56" w:rsidRPr="00CD2B77" w:rsidRDefault="00300E56" w:rsidP="00B57E6F">
            <w:pPr>
              <w:ind w:left="-107"/>
              <w:outlineLvl w:val="2"/>
              <w:rPr>
                <w:rFonts w:ascii="Tahoma" w:hAnsi="Tahoma" w:cs="Tahoma"/>
                <w:bCs/>
                <w:color w:val="000000"/>
                <w:sz w:val="14"/>
                <w:szCs w:val="14"/>
                <w:lang w:val="it-IT" w:eastAsia="it-IT"/>
              </w:rPr>
            </w:pPr>
            <w:r w:rsidRPr="00CD2B77">
              <w:rPr>
                <w:rFonts w:ascii="Tahoma" w:hAnsi="Tahoma" w:cs="Tahoma"/>
                <w:iCs/>
                <w:color w:val="333333"/>
                <w:sz w:val="14"/>
                <w:szCs w:val="14"/>
                <w:lang w:val="it-IT" w:eastAsia="it-IT"/>
              </w:rPr>
              <w:t>Guest Editors:</w:t>
            </w:r>
            <w:r w:rsidR="00904C62" w:rsidRPr="00CD2B77">
              <w:rPr>
                <w:rFonts w:ascii="Tahoma" w:hAnsi="Tahoma" w:cs="Tahoma"/>
                <w:iCs/>
                <w:color w:val="333333"/>
                <w:sz w:val="14"/>
                <w:szCs w:val="14"/>
                <w:lang w:val="it-IT" w:eastAsia="it-IT"/>
              </w:rPr>
              <w:t xml:space="preserve"> </w:t>
            </w:r>
            <w:r w:rsidR="00B57E6F" w:rsidRPr="00CD2B77">
              <w:rPr>
                <w:rFonts w:ascii="Tahoma" w:hAnsi="Tahoma" w:cs="Tahoma"/>
                <w:color w:val="000000"/>
                <w:sz w:val="14"/>
                <w:szCs w:val="14"/>
                <w:shd w:val="clear" w:color="auto" w:fill="FFFFFF"/>
                <w:lang w:val="it-IT"/>
              </w:rPr>
              <w:t xml:space="preserve">Valerio Cozzani, </w:t>
            </w:r>
            <w:r w:rsidR="001331DF" w:rsidRPr="00CD2B77">
              <w:rPr>
                <w:rFonts w:ascii="Tahoma" w:hAnsi="Tahoma" w:cs="Tahoma"/>
                <w:color w:val="000000"/>
                <w:sz w:val="14"/>
                <w:szCs w:val="14"/>
                <w:shd w:val="clear" w:color="auto" w:fill="FFFFFF"/>
                <w:lang w:val="it-IT"/>
              </w:rPr>
              <w:t>Bruno Fabiano</w:t>
            </w:r>
            <w:r w:rsidR="00B57E6F" w:rsidRPr="00CD2B77">
              <w:rPr>
                <w:rFonts w:ascii="Tahoma" w:hAnsi="Tahoma" w:cs="Tahoma"/>
                <w:color w:val="000000"/>
                <w:sz w:val="14"/>
                <w:szCs w:val="14"/>
                <w:shd w:val="clear" w:color="auto" w:fill="FFFFFF"/>
                <w:lang w:val="it-IT"/>
              </w:rPr>
              <w:t xml:space="preserve">, </w:t>
            </w:r>
            <w:r w:rsidR="00B57E6F" w:rsidRPr="00CD2B77">
              <w:rPr>
                <w:rFonts w:ascii="Tahoma" w:hAnsi="Tahoma" w:cs="Tahoma"/>
                <w:bCs/>
                <w:color w:val="000000"/>
                <w:sz w:val="14"/>
                <w:szCs w:val="14"/>
                <w:lang w:val="it-IT" w:eastAsia="it-IT"/>
              </w:rPr>
              <w:t>Genserik Reniers</w:t>
            </w:r>
          </w:p>
          <w:p w14:paraId="1B0F1814" w14:textId="08709475" w:rsidR="000A03B2" w:rsidRPr="00442496" w:rsidRDefault="00FA5F5F" w:rsidP="00B57E6F">
            <w:pPr>
              <w:tabs>
                <w:tab w:val="left" w:pos="-108"/>
              </w:tabs>
              <w:spacing w:line="140" w:lineRule="atLeast"/>
              <w:ind w:left="-107"/>
              <w:jc w:val="left"/>
            </w:pPr>
            <w:r w:rsidRPr="00442496">
              <w:rPr>
                <w:rFonts w:ascii="Tahoma" w:hAnsi="Tahoma" w:cs="Tahoma"/>
                <w:iCs/>
                <w:color w:val="333333"/>
                <w:sz w:val="14"/>
                <w:szCs w:val="14"/>
                <w:lang w:eastAsia="it-IT"/>
              </w:rPr>
              <w:t>Copyright © 20</w:t>
            </w:r>
            <w:r w:rsidR="00DF5072" w:rsidRPr="00442496">
              <w:rPr>
                <w:rFonts w:ascii="Tahoma" w:hAnsi="Tahoma" w:cs="Tahoma"/>
                <w:iCs/>
                <w:color w:val="333333"/>
                <w:sz w:val="14"/>
                <w:szCs w:val="14"/>
                <w:lang w:eastAsia="it-IT"/>
              </w:rPr>
              <w:t>2</w:t>
            </w:r>
            <w:r w:rsidR="00E72EAD" w:rsidRPr="00442496">
              <w:rPr>
                <w:rFonts w:ascii="Tahoma" w:hAnsi="Tahoma" w:cs="Tahoma"/>
                <w:iCs/>
                <w:color w:val="333333"/>
                <w:sz w:val="14"/>
                <w:szCs w:val="14"/>
                <w:lang w:eastAsia="it-IT"/>
              </w:rPr>
              <w:t>2</w:t>
            </w:r>
            <w:r w:rsidR="00904C62" w:rsidRPr="00442496">
              <w:rPr>
                <w:rFonts w:ascii="Tahoma" w:hAnsi="Tahoma" w:cs="Tahoma"/>
                <w:iCs/>
                <w:color w:val="333333"/>
                <w:sz w:val="14"/>
                <w:szCs w:val="14"/>
                <w:lang w:eastAsia="it-IT"/>
              </w:rPr>
              <w:t xml:space="preserve">, AIDIC </w:t>
            </w:r>
            <w:proofErr w:type="spellStart"/>
            <w:r w:rsidR="00904C62" w:rsidRPr="00442496">
              <w:rPr>
                <w:rFonts w:ascii="Tahoma" w:hAnsi="Tahoma" w:cs="Tahoma"/>
                <w:iCs/>
                <w:color w:val="333333"/>
                <w:sz w:val="14"/>
                <w:szCs w:val="14"/>
                <w:lang w:eastAsia="it-IT"/>
              </w:rPr>
              <w:t>Servizi</w:t>
            </w:r>
            <w:proofErr w:type="spellEnd"/>
            <w:r w:rsidR="00904C62" w:rsidRPr="00442496">
              <w:rPr>
                <w:rFonts w:ascii="Tahoma" w:hAnsi="Tahoma" w:cs="Tahoma"/>
                <w:iCs/>
                <w:color w:val="333333"/>
                <w:sz w:val="14"/>
                <w:szCs w:val="14"/>
                <w:lang w:eastAsia="it-IT"/>
              </w:rPr>
              <w:t xml:space="preserve"> </w:t>
            </w:r>
            <w:proofErr w:type="spellStart"/>
            <w:r w:rsidR="00904C62" w:rsidRPr="00442496">
              <w:rPr>
                <w:rFonts w:ascii="Tahoma" w:hAnsi="Tahoma" w:cs="Tahoma"/>
                <w:iCs/>
                <w:color w:val="333333"/>
                <w:sz w:val="14"/>
                <w:szCs w:val="14"/>
                <w:lang w:eastAsia="it-IT"/>
              </w:rPr>
              <w:t>S.r.l</w:t>
            </w:r>
            <w:proofErr w:type="spellEnd"/>
            <w:r w:rsidR="00904C62" w:rsidRPr="00442496">
              <w:rPr>
                <w:rFonts w:ascii="Tahoma" w:hAnsi="Tahoma" w:cs="Tahoma"/>
                <w:iCs/>
                <w:color w:val="333333"/>
                <w:sz w:val="14"/>
                <w:szCs w:val="14"/>
                <w:lang w:eastAsia="it-IT"/>
              </w:rPr>
              <w:t>.</w:t>
            </w:r>
            <w:r w:rsidR="00300E56" w:rsidRPr="00442496">
              <w:rPr>
                <w:rFonts w:ascii="Tahoma" w:hAnsi="Tahoma" w:cs="Tahoma"/>
                <w:iCs/>
                <w:color w:val="333333"/>
                <w:sz w:val="14"/>
                <w:szCs w:val="14"/>
                <w:lang w:eastAsia="it-IT"/>
              </w:rPr>
              <w:br/>
            </w:r>
            <w:r w:rsidR="00300E56" w:rsidRPr="00442496">
              <w:rPr>
                <w:rFonts w:ascii="Tahoma" w:hAnsi="Tahoma" w:cs="Tahoma"/>
                <w:b/>
                <w:iCs/>
                <w:color w:val="000000"/>
                <w:sz w:val="14"/>
                <w:szCs w:val="14"/>
                <w:lang w:eastAsia="it-IT"/>
              </w:rPr>
              <w:t>ISBN</w:t>
            </w:r>
            <w:r w:rsidR="00300E56" w:rsidRPr="00442496">
              <w:rPr>
                <w:rFonts w:ascii="Tahoma" w:hAnsi="Tahoma" w:cs="Tahoma"/>
                <w:iCs/>
                <w:color w:val="000000"/>
                <w:sz w:val="14"/>
                <w:szCs w:val="14"/>
                <w:lang w:eastAsia="it-IT"/>
              </w:rPr>
              <w:t xml:space="preserve"> </w:t>
            </w:r>
            <w:r w:rsidR="008D32B9" w:rsidRPr="00442496">
              <w:rPr>
                <w:rFonts w:ascii="Tahoma" w:hAnsi="Tahoma" w:cs="Tahoma"/>
                <w:sz w:val="14"/>
                <w:szCs w:val="14"/>
              </w:rPr>
              <w:t>978-88-95608</w:t>
            </w:r>
            <w:r w:rsidR="00D46B7E" w:rsidRPr="00442496">
              <w:rPr>
                <w:rFonts w:ascii="Tahoma" w:hAnsi="Tahoma" w:cs="Tahoma"/>
                <w:sz w:val="14"/>
                <w:szCs w:val="14"/>
              </w:rPr>
              <w:t>-8</w:t>
            </w:r>
            <w:r w:rsidR="00B57E6F" w:rsidRPr="00442496">
              <w:rPr>
                <w:rFonts w:ascii="Tahoma" w:hAnsi="Tahoma" w:cs="Tahoma"/>
                <w:sz w:val="14"/>
                <w:szCs w:val="14"/>
              </w:rPr>
              <w:t>9</w:t>
            </w:r>
            <w:r w:rsidR="00D46B7E" w:rsidRPr="00442496">
              <w:rPr>
                <w:rFonts w:ascii="Tahoma" w:hAnsi="Tahoma" w:cs="Tahoma"/>
                <w:sz w:val="14"/>
                <w:szCs w:val="14"/>
              </w:rPr>
              <w:t>-</w:t>
            </w:r>
            <w:r w:rsidR="00B57E6F" w:rsidRPr="00442496">
              <w:rPr>
                <w:rFonts w:ascii="Tahoma" w:hAnsi="Tahoma" w:cs="Tahoma"/>
                <w:sz w:val="14"/>
                <w:szCs w:val="14"/>
              </w:rPr>
              <w:t>1</w:t>
            </w:r>
            <w:r w:rsidR="007B48F9" w:rsidRPr="00442496">
              <w:rPr>
                <w:rFonts w:ascii="Tahoma" w:hAnsi="Tahoma" w:cs="Tahoma"/>
                <w:iCs/>
                <w:color w:val="333333"/>
                <w:sz w:val="14"/>
                <w:szCs w:val="14"/>
                <w:lang w:eastAsia="it-IT"/>
              </w:rPr>
              <w:t>;</w:t>
            </w:r>
            <w:r w:rsidR="00300E56" w:rsidRPr="00442496">
              <w:rPr>
                <w:rFonts w:ascii="Tahoma" w:hAnsi="Tahoma" w:cs="Tahoma"/>
                <w:iCs/>
                <w:color w:val="333333"/>
                <w:sz w:val="14"/>
                <w:szCs w:val="14"/>
                <w:lang w:eastAsia="it-IT"/>
              </w:rPr>
              <w:t xml:space="preserve"> </w:t>
            </w:r>
            <w:r w:rsidR="00300E56" w:rsidRPr="00442496">
              <w:rPr>
                <w:rFonts w:ascii="Tahoma" w:hAnsi="Tahoma" w:cs="Tahoma"/>
                <w:b/>
                <w:iCs/>
                <w:color w:val="333333"/>
                <w:sz w:val="14"/>
                <w:szCs w:val="14"/>
                <w:lang w:eastAsia="it-IT"/>
              </w:rPr>
              <w:t>ISSN</w:t>
            </w:r>
            <w:r w:rsidR="00300E56" w:rsidRPr="00442496">
              <w:rPr>
                <w:rFonts w:ascii="Tahoma" w:hAnsi="Tahoma" w:cs="Tahoma"/>
                <w:iCs/>
                <w:color w:val="333333"/>
                <w:sz w:val="14"/>
                <w:szCs w:val="14"/>
                <w:lang w:eastAsia="it-IT"/>
              </w:rPr>
              <w:t xml:space="preserve"> 2283-9216</w:t>
            </w:r>
          </w:p>
        </w:tc>
      </w:tr>
    </w:tbl>
    <w:p w14:paraId="2E667253" w14:textId="15768819" w:rsidR="00E978D0" w:rsidRPr="00442496" w:rsidRDefault="003623B2" w:rsidP="00442496">
      <w:pPr>
        <w:pStyle w:val="CETTitle"/>
      </w:pPr>
      <w:r w:rsidRPr="00442496">
        <w:t xml:space="preserve">On the </w:t>
      </w:r>
      <w:r w:rsidR="0003345C">
        <w:t>M</w:t>
      </w:r>
      <w:r w:rsidR="0003345C" w:rsidRPr="00442496">
        <w:t xml:space="preserve">echanical </w:t>
      </w:r>
      <w:r w:rsidR="0003345C">
        <w:t>E</w:t>
      </w:r>
      <w:r w:rsidR="0003345C" w:rsidRPr="00442496">
        <w:t xml:space="preserve">nergy </w:t>
      </w:r>
      <w:r w:rsidR="0003345C">
        <w:t>I</w:t>
      </w:r>
      <w:r w:rsidR="0003345C" w:rsidRPr="00442496">
        <w:t xml:space="preserve">nvolved </w:t>
      </w:r>
      <w:r w:rsidR="00BC1DE6" w:rsidRPr="00442496">
        <w:t xml:space="preserve">in </w:t>
      </w:r>
      <w:r w:rsidR="003F49EF" w:rsidRPr="00442496">
        <w:t xml:space="preserve">the </w:t>
      </w:r>
      <w:r w:rsidR="0003345C">
        <w:t>C</w:t>
      </w:r>
      <w:r w:rsidR="0003345C" w:rsidRPr="00442496">
        <w:t xml:space="preserve">atastrophic </w:t>
      </w:r>
      <w:r w:rsidR="0003345C">
        <w:t>R</w:t>
      </w:r>
      <w:r w:rsidR="0003345C" w:rsidRPr="00442496">
        <w:t xml:space="preserve">upture </w:t>
      </w:r>
      <w:r w:rsidR="003F49EF" w:rsidRPr="00442496">
        <w:t>of</w:t>
      </w:r>
      <w:r w:rsidR="00DF1965" w:rsidRPr="00442496">
        <w:t xml:space="preserve"> </w:t>
      </w:r>
      <w:r w:rsidR="0003345C">
        <w:t>L</w:t>
      </w:r>
      <w:r w:rsidR="0003345C" w:rsidRPr="00442496">
        <w:t xml:space="preserve">iquid </w:t>
      </w:r>
      <w:r w:rsidR="0003345C">
        <w:t>H</w:t>
      </w:r>
      <w:r w:rsidR="0003345C" w:rsidRPr="00442496">
        <w:t xml:space="preserve">ydrogen </w:t>
      </w:r>
      <w:r w:rsidR="0003345C">
        <w:t>T</w:t>
      </w:r>
      <w:r w:rsidR="0003345C" w:rsidRPr="00442496">
        <w:t>anks</w:t>
      </w:r>
    </w:p>
    <w:p w14:paraId="0488FED2" w14:textId="02C0C1F7" w:rsidR="00B57E6F" w:rsidRPr="00CD2B77" w:rsidRDefault="00237FDE" w:rsidP="00B57E6F">
      <w:pPr>
        <w:pStyle w:val="CETAuthors"/>
        <w:rPr>
          <w:lang w:val="it-IT"/>
        </w:rPr>
      </w:pPr>
      <w:r w:rsidRPr="00CD2B77">
        <w:rPr>
          <w:lang w:val="it-IT"/>
        </w:rPr>
        <w:t xml:space="preserve">Federico </w:t>
      </w:r>
      <w:r w:rsidR="008341CF" w:rsidRPr="00CD2B77">
        <w:rPr>
          <w:lang w:val="it-IT"/>
        </w:rPr>
        <w:t>Ustolin</w:t>
      </w:r>
      <w:r w:rsidR="008341CF">
        <w:rPr>
          <w:vertAlign w:val="superscript"/>
          <w:lang w:val="it-IT"/>
        </w:rPr>
        <w:t>a</w:t>
      </w:r>
      <w:r w:rsidRPr="00CD2B77">
        <w:rPr>
          <w:vertAlign w:val="superscript"/>
          <w:lang w:val="it-IT"/>
        </w:rPr>
        <w:t>,</w:t>
      </w:r>
      <w:r w:rsidRPr="00CD2B77">
        <w:rPr>
          <w:lang w:val="it-IT"/>
        </w:rPr>
        <w:t xml:space="preserve">*, Leonardo </w:t>
      </w:r>
      <w:r w:rsidR="008341CF" w:rsidRPr="00CD2B77">
        <w:rPr>
          <w:lang w:val="it-IT"/>
        </w:rPr>
        <w:t>Giannini</w:t>
      </w:r>
      <w:r w:rsidR="008341CF">
        <w:rPr>
          <w:vertAlign w:val="superscript"/>
          <w:lang w:val="it-IT"/>
        </w:rPr>
        <w:t>a</w:t>
      </w:r>
      <w:r w:rsidRPr="00CD2B77">
        <w:rPr>
          <w:vertAlign w:val="superscript"/>
          <w:lang w:val="it-IT"/>
        </w:rPr>
        <w:t>,</w:t>
      </w:r>
      <w:r w:rsidR="008341CF">
        <w:rPr>
          <w:vertAlign w:val="superscript"/>
          <w:lang w:val="it-IT"/>
        </w:rPr>
        <w:t>b</w:t>
      </w:r>
      <w:r w:rsidRPr="00CD2B77">
        <w:rPr>
          <w:lang w:val="it-IT"/>
        </w:rPr>
        <w:t xml:space="preserve">, Gianmaria </w:t>
      </w:r>
      <w:r w:rsidR="008341CF" w:rsidRPr="00CD2B77">
        <w:rPr>
          <w:lang w:val="it-IT"/>
        </w:rPr>
        <w:t>Pio</w:t>
      </w:r>
      <w:r w:rsidR="008341CF">
        <w:rPr>
          <w:vertAlign w:val="superscript"/>
          <w:lang w:val="it-IT"/>
        </w:rPr>
        <w:t>b</w:t>
      </w:r>
      <w:r w:rsidRPr="00CD2B77">
        <w:rPr>
          <w:lang w:val="it-IT"/>
        </w:rPr>
        <w:t xml:space="preserve">, Ernesto </w:t>
      </w:r>
      <w:r w:rsidR="008341CF" w:rsidRPr="00CD2B77">
        <w:rPr>
          <w:lang w:val="it-IT"/>
        </w:rPr>
        <w:t>Salzano</w:t>
      </w:r>
      <w:r w:rsidR="008341CF">
        <w:rPr>
          <w:vertAlign w:val="superscript"/>
          <w:lang w:val="it-IT"/>
        </w:rPr>
        <w:t>b</w:t>
      </w:r>
      <w:r w:rsidRPr="00CD2B77">
        <w:rPr>
          <w:lang w:val="it-IT"/>
        </w:rPr>
        <w:t xml:space="preserve">, Nicola </w:t>
      </w:r>
      <w:r w:rsidR="008341CF" w:rsidRPr="00CD2B77">
        <w:rPr>
          <w:lang w:val="it-IT"/>
        </w:rPr>
        <w:t>Paltrinieri</w:t>
      </w:r>
      <w:r w:rsidR="008341CF">
        <w:rPr>
          <w:vertAlign w:val="superscript"/>
          <w:lang w:val="it-IT"/>
        </w:rPr>
        <w:t>a</w:t>
      </w:r>
      <w:r w:rsidRPr="00CD2B77">
        <w:rPr>
          <w:vertAlign w:val="superscript"/>
          <w:lang w:val="it-IT"/>
        </w:rPr>
        <w:t>,</w:t>
      </w:r>
      <w:r w:rsidR="008341CF">
        <w:rPr>
          <w:vertAlign w:val="superscript"/>
          <w:lang w:val="it-IT"/>
        </w:rPr>
        <w:t>b</w:t>
      </w:r>
    </w:p>
    <w:p w14:paraId="6B2D21B3" w14:textId="4AD207C1" w:rsidR="00B57E6F" w:rsidRPr="00442496" w:rsidRDefault="00B57E6F" w:rsidP="00502267">
      <w:pPr>
        <w:pStyle w:val="CETAddress"/>
      </w:pPr>
      <w:r w:rsidRPr="00442496">
        <w:rPr>
          <w:vertAlign w:val="superscript"/>
        </w:rPr>
        <w:t>a</w:t>
      </w:r>
      <w:r w:rsidR="00B355E2" w:rsidRPr="00442496">
        <w:t>Department of Mechanical and Industrial Engineering, Norwegian University of Science and Technology NTNU, Richard Birkelands vei 2B, 7034 Trondheim, Norway</w:t>
      </w:r>
      <w:r w:rsidRPr="00442496">
        <w:t xml:space="preserve"> </w:t>
      </w:r>
    </w:p>
    <w:p w14:paraId="3D72B0B0" w14:textId="76805931" w:rsidR="00B57E6F" w:rsidRPr="00CD2B77" w:rsidRDefault="00B57E6F" w:rsidP="00502267">
      <w:pPr>
        <w:pStyle w:val="CETAddress"/>
        <w:rPr>
          <w:lang w:val="it-IT"/>
        </w:rPr>
      </w:pPr>
      <w:r w:rsidRPr="00CD2B77">
        <w:rPr>
          <w:vertAlign w:val="superscript"/>
          <w:lang w:val="it-IT"/>
        </w:rPr>
        <w:t>b</w:t>
      </w:r>
      <w:r w:rsidR="00502267" w:rsidRPr="00CD2B77">
        <w:rPr>
          <w:lang w:val="it-IT"/>
        </w:rPr>
        <w:t>Dipartimento di Ingegneria Civile, Chimica, Ambientale e dei Materiali, Università degli studi di Bologna, Via Terracini 28, 40131 Bologna, Italy</w:t>
      </w:r>
      <w:r w:rsidRPr="00CD2B77">
        <w:rPr>
          <w:lang w:val="it-IT"/>
        </w:rPr>
        <w:t xml:space="preserve"> </w:t>
      </w:r>
    </w:p>
    <w:p w14:paraId="73F1267A" w14:textId="59C9A80D" w:rsidR="00B57E6F" w:rsidRPr="00442496" w:rsidRDefault="00B57E6F" w:rsidP="00D25144">
      <w:pPr>
        <w:pStyle w:val="CETemail"/>
      </w:pPr>
      <w:r w:rsidRPr="00CD2B77">
        <w:rPr>
          <w:lang w:val="it-IT"/>
        </w:rPr>
        <w:t xml:space="preserve"> </w:t>
      </w:r>
      <w:r w:rsidR="00B355E2" w:rsidRPr="00442496">
        <w:t>federico.ustolin@ntnu.no</w:t>
      </w:r>
    </w:p>
    <w:p w14:paraId="7A4F7670" w14:textId="3A23AA43" w:rsidR="00E024D5" w:rsidRPr="00442496" w:rsidRDefault="00E024D5" w:rsidP="00E024D5">
      <w:pPr>
        <w:pStyle w:val="CETBodytext"/>
        <w:rPr>
          <w:lang w:val="en-GB"/>
        </w:rPr>
      </w:pPr>
      <w:bookmarkStart w:id="0" w:name="_Hlk495475023"/>
      <w:r w:rsidRPr="00442496">
        <w:rPr>
          <w:lang w:val="en-GB"/>
        </w:rPr>
        <w:t>Hydrogen can play a central role in the energy transition thanks to its unique properties. However, its low density is one of the main drawbacks. The liquefaction process can drastically increase its density up to virtually 71 kg m</w:t>
      </w:r>
      <w:r w:rsidRPr="00442496">
        <w:rPr>
          <w:vertAlign w:val="superscript"/>
          <w:lang w:val="en-GB"/>
        </w:rPr>
        <w:t>-3</w:t>
      </w:r>
      <w:r w:rsidRPr="00442496">
        <w:rPr>
          <w:lang w:val="en-GB"/>
        </w:rPr>
        <w:t xml:space="preserve"> at atmospheric pressure and -253°C (NIST, 2019). The safety knowledge gap on physical explosions is still broad in the case of liquid hydrogen (LH</w:t>
      </w:r>
      <w:r w:rsidRPr="00442496">
        <w:rPr>
          <w:vertAlign w:val="subscript"/>
          <w:lang w:val="en-GB"/>
        </w:rPr>
        <w:t>2</w:t>
      </w:r>
      <w:r w:rsidRPr="00442496">
        <w:rPr>
          <w:lang w:val="en-GB"/>
        </w:rPr>
        <w:t>). For instance, it is unclear what are the consequences yields as well as the probabilities of a catastrophic rupture of an LH</w:t>
      </w:r>
      <w:r w:rsidRPr="00442496">
        <w:rPr>
          <w:vertAlign w:val="subscript"/>
          <w:lang w:val="en-GB"/>
        </w:rPr>
        <w:t>2</w:t>
      </w:r>
      <w:r w:rsidRPr="00442496">
        <w:rPr>
          <w:lang w:val="en-GB"/>
        </w:rPr>
        <w:t xml:space="preserve"> tank. A boiling liquid expanding </w:t>
      </w:r>
      <w:r w:rsidR="00F730B6" w:rsidRPr="00442496">
        <w:rPr>
          <w:lang w:val="en-GB"/>
        </w:rPr>
        <w:t>vapo</w:t>
      </w:r>
      <w:r w:rsidR="00BE4F4F">
        <w:rPr>
          <w:lang w:val="en-GB"/>
        </w:rPr>
        <w:t>u</w:t>
      </w:r>
      <w:r w:rsidR="00F730B6" w:rsidRPr="00442496">
        <w:rPr>
          <w:lang w:val="en-GB"/>
        </w:rPr>
        <w:t>r</w:t>
      </w:r>
      <w:r w:rsidRPr="00442496">
        <w:rPr>
          <w:lang w:val="en-GB"/>
        </w:rPr>
        <w:t xml:space="preserve"> explosion (BLEVE) might arise after this top event. In this case, the expansion of the compressed gaseous phase is followed by the flashing of a fraction of the liquid. Moreover, combustion may occur for hydrogen since it is highly flammable. This complex phenomenon was not widely explored for LH</w:t>
      </w:r>
      <w:r w:rsidRPr="00442496">
        <w:rPr>
          <w:vertAlign w:val="subscript"/>
          <w:lang w:val="en-GB"/>
        </w:rPr>
        <w:t>2</w:t>
      </w:r>
      <w:r w:rsidRPr="00442496">
        <w:rPr>
          <w:lang w:val="en-GB"/>
        </w:rPr>
        <w:t xml:space="preserve"> yet.</w:t>
      </w:r>
    </w:p>
    <w:p w14:paraId="37A61FCE" w14:textId="16318BE2" w:rsidR="00DA24C6" w:rsidRPr="00442496" w:rsidRDefault="00E024D5" w:rsidP="00237FDE">
      <w:pPr>
        <w:pStyle w:val="CETBodytext"/>
        <w:rPr>
          <w:lang w:val="en-GB"/>
        </w:rPr>
      </w:pPr>
      <w:r w:rsidRPr="00442496">
        <w:rPr>
          <w:lang w:val="en-GB"/>
        </w:rPr>
        <w:t xml:space="preserve">This study </w:t>
      </w:r>
      <w:r w:rsidR="00F730B6" w:rsidRPr="00442496">
        <w:rPr>
          <w:lang w:val="en-GB"/>
        </w:rPr>
        <w:t>focused</w:t>
      </w:r>
      <w:r w:rsidRPr="00442496">
        <w:rPr>
          <w:lang w:val="en-GB"/>
        </w:rPr>
        <w:t xml:space="preserve"> on the physical explosion by </w:t>
      </w:r>
      <w:r w:rsidR="00BF15CC" w:rsidRPr="00442496">
        <w:rPr>
          <w:lang w:val="en-GB"/>
        </w:rPr>
        <w:t>also considering</w:t>
      </w:r>
      <w:r w:rsidRPr="00442496">
        <w:rPr>
          <w:lang w:val="en-GB"/>
        </w:rPr>
        <w:t xml:space="preserve"> the combustion process. Many integral models were adopted to estimate the mechanical energy developed by the explosion. The tank pressure prior </w:t>
      </w:r>
      <w:r w:rsidR="00EC554B" w:rsidRPr="00442496">
        <w:rPr>
          <w:lang w:val="en-GB"/>
        </w:rPr>
        <w:t xml:space="preserve">to </w:t>
      </w:r>
      <w:r w:rsidRPr="00442496">
        <w:rPr>
          <w:lang w:val="en-GB"/>
        </w:rPr>
        <w:t xml:space="preserve">the rupture was considered </w:t>
      </w:r>
      <w:r w:rsidR="00E3687B" w:rsidRPr="00442496">
        <w:rPr>
          <w:lang w:val="en-GB"/>
        </w:rPr>
        <w:t>below</w:t>
      </w:r>
      <w:r w:rsidRPr="00442496">
        <w:rPr>
          <w:lang w:val="en-GB"/>
        </w:rPr>
        <w:t xml:space="preserve"> the critical one (1.298 MPa (NIST, 2019)). It was assumed that </w:t>
      </w:r>
      <w:r w:rsidR="00E3687B" w:rsidRPr="00442496">
        <w:rPr>
          <w:lang w:val="en-GB"/>
        </w:rPr>
        <w:t xml:space="preserve">both </w:t>
      </w:r>
      <w:r w:rsidRPr="00442496">
        <w:rPr>
          <w:lang w:val="en-GB"/>
        </w:rPr>
        <w:t>liquid</w:t>
      </w:r>
      <w:r w:rsidR="00E3687B" w:rsidRPr="00442496">
        <w:rPr>
          <w:lang w:val="en-GB"/>
        </w:rPr>
        <w:t xml:space="preserve"> </w:t>
      </w:r>
      <w:r w:rsidR="00BC1BBF" w:rsidRPr="00442496">
        <w:rPr>
          <w:lang w:val="en-GB"/>
        </w:rPr>
        <w:t>and gaseous phases</w:t>
      </w:r>
      <w:r w:rsidRPr="00442496">
        <w:rPr>
          <w:lang w:val="en-GB"/>
        </w:rPr>
        <w:t xml:space="preserve"> </w:t>
      </w:r>
      <w:r w:rsidR="00BC1BBF" w:rsidRPr="00442496">
        <w:rPr>
          <w:lang w:val="en-GB"/>
        </w:rPr>
        <w:t>are</w:t>
      </w:r>
      <w:r w:rsidRPr="00442496">
        <w:rPr>
          <w:lang w:val="en-GB"/>
        </w:rPr>
        <w:t xml:space="preserve"> present inside the tank. The influences of the filling degree of the tank (liquid level) and the temperatures of the liquid and gaseous phases on the </w:t>
      </w:r>
      <w:r w:rsidR="00BF15CC" w:rsidRPr="00442496">
        <w:rPr>
          <w:lang w:val="en-GB"/>
        </w:rPr>
        <w:t>explosion</w:t>
      </w:r>
      <w:r w:rsidRPr="00442496">
        <w:rPr>
          <w:lang w:val="en-GB"/>
        </w:rPr>
        <w:t xml:space="preserve"> energy were </w:t>
      </w:r>
      <w:r w:rsidR="00442496" w:rsidRPr="00442496">
        <w:rPr>
          <w:lang w:val="en-GB"/>
        </w:rPr>
        <w:t>analysed</w:t>
      </w:r>
      <w:r w:rsidRPr="00442496">
        <w:rPr>
          <w:lang w:val="en-GB"/>
        </w:rPr>
        <w:t>. The results were compared with the ones of a previous study where similar models were employed to estimate the mechanical energy of an LH</w:t>
      </w:r>
      <w:r w:rsidRPr="00442496">
        <w:rPr>
          <w:vertAlign w:val="subscript"/>
          <w:lang w:val="en-GB"/>
        </w:rPr>
        <w:t>2</w:t>
      </w:r>
      <w:r w:rsidRPr="00442496">
        <w:rPr>
          <w:lang w:val="en-GB"/>
        </w:rPr>
        <w:t xml:space="preserve"> tank with different initial conditions (Ustolin et al., 2020</w:t>
      </w:r>
      <w:r w:rsidR="004337C9" w:rsidRPr="00442496">
        <w:rPr>
          <w:lang w:val="en-GB"/>
        </w:rPr>
        <w:t>a</w:t>
      </w:r>
      <w:r w:rsidRPr="00442496">
        <w:rPr>
          <w:lang w:val="en-GB"/>
        </w:rPr>
        <w:t>). In particular, the</w:t>
      </w:r>
      <w:r w:rsidR="00400E8B" w:rsidRPr="00442496">
        <w:rPr>
          <w:lang w:val="en-GB"/>
        </w:rPr>
        <w:t xml:space="preserve"> effect of the</w:t>
      </w:r>
      <w:r w:rsidRPr="00442496">
        <w:rPr>
          <w:lang w:val="en-GB"/>
        </w:rPr>
        <w:t xml:space="preserve"> </w:t>
      </w:r>
      <w:r w:rsidR="00BF15CC" w:rsidRPr="00442496">
        <w:rPr>
          <w:lang w:val="en-GB"/>
        </w:rPr>
        <w:t>combustion process</w:t>
      </w:r>
      <w:r w:rsidR="00400E8B" w:rsidRPr="00442496">
        <w:rPr>
          <w:lang w:val="en-GB"/>
        </w:rPr>
        <w:t xml:space="preserve"> on the </w:t>
      </w:r>
      <w:r w:rsidR="00215778" w:rsidRPr="00442496">
        <w:rPr>
          <w:lang w:val="en-GB"/>
        </w:rPr>
        <w:t>explosion energy and shock wave overpressure</w:t>
      </w:r>
      <w:r w:rsidR="00BF15CC" w:rsidRPr="00442496">
        <w:rPr>
          <w:lang w:val="en-GB"/>
        </w:rPr>
        <w:t xml:space="preserve"> </w:t>
      </w:r>
      <w:r w:rsidR="00400E8B" w:rsidRPr="00442496">
        <w:rPr>
          <w:lang w:val="en-GB"/>
        </w:rPr>
        <w:t xml:space="preserve">was </w:t>
      </w:r>
      <w:r w:rsidR="00215778" w:rsidRPr="00442496">
        <w:rPr>
          <w:lang w:val="en-GB"/>
        </w:rPr>
        <w:t>not accounted for</w:t>
      </w:r>
      <w:r w:rsidRPr="00442496">
        <w:rPr>
          <w:lang w:val="en-GB"/>
        </w:rPr>
        <w:t>. The aim of th</w:t>
      </w:r>
      <w:r w:rsidR="00215778" w:rsidRPr="00442496">
        <w:rPr>
          <w:lang w:val="en-GB"/>
        </w:rPr>
        <w:t>is</w:t>
      </w:r>
      <w:r w:rsidRPr="00442496">
        <w:rPr>
          <w:lang w:val="en-GB"/>
        </w:rPr>
        <w:t xml:space="preserve"> study is to conduct a comparison between different models and assess which are the most and the least conservative. The outcomes of this work provide critical suggestions on the consequence analysis of cryogenic liquefied gas vessels explosions.</w:t>
      </w:r>
      <w:bookmarkEnd w:id="0"/>
    </w:p>
    <w:p w14:paraId="476B2F2E" w14:textId="77777777" w:rsidR="00600535" w:rsidRPr="00442496" w:rsidRDefault="00600535" w:rsidP="00600535">
      <w:pPr>
        <w:pStyle w:val="CETHeading1"/>
        <w:rPr>
          <w:lang w:val="en-GB"/>
        </w:rPr>
      </w:pPr>
      <w:r w:rsidRPr="00442496">
        <w:rPr>
          <w:lang w:val="en-GB"/>
        </w:rPr>
        <w:t>Introduction</w:t>
      </w:r>
    </w:p>
    <w:p w14:paraId="15B8D147" w14:textId="05D02A22" w:rsidR="008F4535" w:rsidRPr="00442496" w:rsidRDefault="002F17E0" w:rsidP="00600535">
      <w:pPr>
        <w:pStyle w:val="CETBodytext"/>
        <w:rPr>
          <w:lang w:val="en-GB"/>
        </w:rPr>
      </w:pPr>
      <w:r w:rsidRPr="00442496">
        <w:rPr>
          <w:lang w:val="en-GB"/>
        </w:rPr>
        <w:t>Considerable quantities</w:t>
      </w:r>
      <w:r w:rsidR="008E4DE4" w:rsidRPr="00442496">
        <w:rPr>
          <w:lang w:val="en-GB"/>
        </w:rPr>
        <w:t xml:space="preserve"> of hydrogen are</w:t>
      </w:r>
      <w:r w:rsidR="008B794C" w:rsidRPr="00442496">
        <w:rPr>
          <w:lang w:val="en-GB"/>
        </w:rPr>
        <w:t xml:space="preserve"> foreseen to be </w:t>
      </w:r>
      <w:r w:rsidR="00A4183E" w:rsidRPr="00442496">
        <w:rPr>
          <w:lang w:val="en-GB"/>
        </w:rPr>
        <w:t>consum</w:t>
      </w:r>
      <w:r w:rsidR="008B794C" w:rsidRPr="00442496">
        <w:rPr>
          <w:lang w:val="en-GB"/>
        </w:rPr>
        <w:t xml:space="preserve">ed in </w:t>
      </w:r>
      <w:r w:rsidR="0099702A" w:rsidRPr="00442496">
        <w:rPr>
          <w:lang w:val="en-GB"/>
        </w:rPr>
        <w:t>many</w:t>
      </w:r>
      <w:r w:rsidR="008B794C" w:rsidRPr="00442496">
        <w:rPr>
          <w:lang w:val="en-GB"/>
        </w:rPr>
        <w:t xml:space="preserve"> applications </w:t>
      </w:r>
      <w:r w:rsidR="0099702A" w:rsidRPr="00442496">
        <w:rPr>
          <w:lang w:val="en-GB"/>
        </w:rPr>
        <w:t xml:space="preserve">if hydrogen technologies </w:t>
      </w:r>
      <w:r w:rsidR="00A4183E" w:rsidRPr="00442496">
        <w:rPr>
          <w:lang w:val="en-GB"/>
        </w:rPr>
        <w:t xml:space="preserve">will be deployed </w:t>
      </w:r>
      <w:r w:rsidR="0099702A" w:rsidRPr="00442496">
        <w:rPr>
          <w:lang w:val="en-GB"/>
        </w:rPr>
        <w:t>on a large scale</w:t>
      </w:r>
      <w:r w:rsidR="00A4183E" w:rsidRPr="00442496">
        <w:rPr>
          <w:lang w:val="en-GB"/>
        </w:rPr>
        <w:t>. The employment of liquid hydrogen (LH</w:t>
      </w:r>
      <w:r w:rsidR="00A4183E" w:rsidRPr="00442496">
        <w:rPr>
          <w:vertAlign w:val="subscript"/>
          <w:lang w:val="en-GB"/>
        </w:rPr>
        <w:t>2</w:t>
      </w:r>
      <w:r w:rsidR="00A4183E" w:rsidRPr="00442496">
        <w:rPr>
          <w:lang w:val="en-GB"/>
        </w:rPr>
        <w:t xml:space="preserve">) is predicted for </w:t>
      </w:r>
      <w:r w:rsidR="00371AAD" w:rsidRPr="00442496">
        <w:rPr>
          <w:lang w:val="en-GB"/>
        </w:rPr>
        <w:t xml:space="preserve">mobile applications </w:t>
      </w:r>
      <w:r w:rsidR="00560509" w:rsidRPr="00442496">
        <w:rPr>
          <w:lang w:val="en-GB"/>
        </w:rPr>
        <w:t xml:space="preserve">in </w:t>
      </w:r>
      <w:r w:rsidR="0035115A" w:rsidRPr="00442496">
        <w:rPr>
          <w:lang w:val="en-GB"/>
        </w:rPr>
        <w:t xml:space="preserve">the </w:t>
      </w:r>
      <w:r w:rsidR="00371AAD" w:rsidRPr="00442496">
        <w:rPr>
          <w:lang w:val="en-GB"/>
        </w:rPr>
        <w:t>maritime and aviation</w:t>
      </w:r>
      <w:r w:rsidR="00D059AD" w:rsidRPr="00442496">
        <w:rPr>
          <w:lang w:val="en-GB"/>
        </w:rPr>
        <w:t xml:space="preserve"> sectors</w:t>
      </w:r>
      <w:r w:rsidR="00EE41B2" w:rsidRPr="00442496">
        <w:rPr>
          <w:lang w:val="en-GB"/>
        </w:rPr>
        <w:t xml:space="preserve"> (DNV, 2021)</w:t>
      </w:r>
      <w:r w:rsidR="0035115A" w:rsidRPr="00442496">
        <w:rPr>
          <w:lang w:val="en-GB"/>
        </w:rPr>
        <w:t>. LH</w:t>
      </w:r>
      <w:r w:rsidR="0035115A" w:rsidRPr="00442496">
        <w:rPr>
          <w:vertAlign w:val="subscript"/>
          <w:lang w:val="en-GB"/>
        </w:rPr>
        <w:t>2</w:t>
      </w:r>
      <w:r w:rsidR="0035115A" w:rsidRPr="00442496">
        <w:rPr>
          <w:lang w:val="en-GB"/>
        </w:rPr>
        <w:t xml:space="preserve"> can </w:t>
      </w:r>
      <w:r w:rsidR="008952C1" w:rsidRPr="00442496">
        <w:rPr>
          <w:lang w:val="en-GB"/>
        </w:rPr>
        <w:t>broadly increase the low hydrogen density.</w:t>
      </w:r>
      <w:r w:rsidR="00E04AEA" w:rsidRPr="00442496">
        <w:rPr>
          <w:lang w:val="en-GB"/>
        </w:rPr>
        <w:t xml:space="preserve"> Emerging risks must be avoided </w:t>
      </w:r>
      <w:r w:rsidR="00427736" w:rsidRPr="00442496">
        <w:rPr>
          <w:lang w:val="en-GB"/>
        </w:rPr>
        <w:t xml:space="preserve">when hydrogen is employed in new applications. One of the </w:t>
      </w:r>
      <w:r w:rsidR="002322D2" w:rsidRPr="00442496">
        <w:rPr>
          <w:lang w:val="en-GB"/>
        </w:rPr>
        <w:t>worst-case</w:t>
      </w:r>
      <w:r w:rsidR="00427736" w:rsidRPr="00442496">
        <w:rPr>
          <w:lang w:val="en-GB"/>
        </w:rPr>
        <w:t xml:space="preserve"> scenarios </w:t>
      </w:r>
      <w:r w:rsidR="006431A1" w:rsidRPr="00442496">
        <w:rPr>
          <w:lang w:val="en-GB"/>
        </w:rPr>
        <w:t>might be the catastrophic rupture of the LH</w:t>
      </w:r>
      <w:r w:rsidR="006431A1" w:rsidRPr="00442496">
        <w:rPr>
          <w:vertAlign w:val="subscript"/>
          <w:lang w:val="en-GB"/>
        </w:rPr>
        <w:t>2</w:t>
      </w:r>
      <w:r w:rsidR="006431A1" w:rsidRPr="00442496">
        <w:rPr>
          <w:lang w:val="en-GB"/>
        </w:rPr>
        <w:t xml:space="preserve"> vessel</w:t>
      </w:r>
      <w:r w:rsidR="001C1EFA" w:rsidRPr="00442496">
        <w:rPr>
          <w:lang w:val="en-GB"/>
        </w:rPr>
        <w:t xml:space="preserve">. From this critical event, a physical explosion called </w:t>
      </w:r>
      <w:r w:rsidR="002322D2" w:rsidRPr="00442496">
        <w:rPr>
          <w:lang w:val="en-GB"/>
        </w:rPr>
        <w:t xml:space="preserve">boiling liquid expanding </w:t>
      </w:r>
      <w:r w:rsidR="00F730B6" w:rsidRPr="00442496">
        <w:rPr>
          <w:lang w:val="en-GB"/>
        </w:rPr>
        <w:t>vapo</w:t>
      </w:r>
      <w:r w:rsidR="00442496">
        <w:rPr>
          <w:lang w:val="en-GB"/>
        </w:rPr>
        <w:t>u</w:t>
      </w:r>
      <w:r w:rsidR="00F730B6" w:rsidRPr="00442496">
        <w:rPr>
          <w:lang w:val="en-GB"/>
        </w:rPr>
        <w:t>r</w:t>
      </w:r>
      <w:r w:rsidR="002322D2" w:rsidRPr="00442496">
        <w:rPr>
          <w:lang w:val="en-GB"/>
        </w:rPr>
        <w:t xml:space="preserve"> explosion (BLEVE) might arise.</w:t>
      </w:r>
      <w:r w:rsidR="00613FBD" w:rsidRPr="00442496">
        <w:rPr>
          <w:lang w:val="en-GB"/>
        </w:rPr>
        <w:t xml:space="preserve"> A thorough description of this phenomenon for LH</w:t>
      </w:r>
      <w:r w:rsidR="00613FBD" w:rsidRPr="00442496">
        <w:rPr>
          <w:vertAlign w:val="subscript"/>
          <w:lang w:val="en-GB"/>
        </w:rPr>
        <w:t>2</w:t>
      </w:r>
      <w:r w:rsidR="00613FBD" w:rsidRPr="00442496">
        <w:rPr>
          <w:lang w:val="en-GB"/>
        </w:rPr>
        <w:t xml:space="preserve"> tanks can be found in (Ustolin et al., 2020a)</w:t>
      </w:r>
      <w:r w:rsidR="00C4121E" w:rsidRPr="00442496">
        <w:rPr>
          <w:lang w:val="en-GB"/>
        </w:rPr>
        <w:t xml:space="preserve"> where it was </w:t>
      </w:r>
      <w:r w:rsidR="00762FB2" w:rsidRPr="00442496">
        <w:rPr>
          <w:lang w:val="en-GB"/>
        </w:rPr>
        <w:t xml:space="preserve">attempted to </w:t>
      </w:r>
      <w:r w:rsidR="00193318" w:rsidRPr="00442496">
        <w:rPr>
          <w:lang w:val="en-GB"/>
        </w:rPr>
        <w:t>simulate</w:t>
      </w:r>
      <w:r w:rsidR="00762FB2" w:rsidRPr="00442496">
        <w:rPr>
          <w:lang w:val="en-GB"/>
        </w:rPr>
        <w:t xml:space="preserve"> </w:t>
      </w:r>
      <w:r w:rsidR="003F63AA" w:rsidRPr="00442496">
        <w:rPr>
          <w:lang w:val="en-GB"/>
        </w:rPr>
        <w:t>its</w:t>
      </w:r>
      <w:r w:rsidR="00762FB2" w:rsidRPr="00442496">
        <w:rPr>
          <w:lang w:val="en-GB"/>
        </w:rPr>
        <w:t xml:space="preserve"> consequences</w:t>
      </w:r>
      <w:r w:rsidR="00C20CA6" w:rsidRPr="00442496">
        <w:rPr>
          <w:lang w:val="en-GB"/>
        </w:rPr>
        <w:t xml:space="preserve"> (shock wave, </w:t>
      </w:r>
      <w:r w:rsidR="00ED43C6" w:rsidRPr="00442496">
        <w:rPr>
          <w:lang w:val="en-GB"/>
        </w:rPr>
        <w:t>missiles,</w:t>
      </w:r>
      <w:r w:rsidR="00C20CA6" w:rsidRPr="00442496">
        <w:rPr>
          <w:lang w:val="en-GB"/>
        </w:rPr>
        <w:t xml:space="preserve"> and fireball)</w:t>
      </w:r>
      <w:r w:rsidR="003F63AA" w:rsidRPr="00442496">
        <w:rPr>
          <w:lang w:val="en-GB"/>
        </w:rPr>
        <w:t xml:space="preserve"> by means of </w:t>
      </w:r>
      <w:r w:rsidR="00193318" w:rsidRPr="00442496">
        <w:rPr>
          <w:lang w:val="en-GB"/>
        </w:rPr>
        <w:t>integral</w:t>
      </w:r>
      <w:r w:rsidR="00C20CA6" w:rsidRPr="00442496">
        <w:rPr>
          <w:lang w:val="en-GB"/>
        </w:rPr>
        <w:t xml:space="preserve"> and empirical</w:t>
      </w:r>
      <w:r w:rsidR="00193318" w:rsidRPr="00442496">
        <w:rPr>
          <w:lang w:val="en-GB"/>
        </w:rPr>
        <w:t xml:space="preserve"> models</w:t>
      </w:r>
      <w:r w:rsidR="00613FBD" w:rsidRPr="00442496">
        <w:rPr>
          <w:lang w:val="en-GB"/>
        </w:rPr>
        <w:t>.</w:t>
      </w:r>
      <w:r w:rsidR="00F47741" w:rsidRPr="00442496">
        <w:rPr>
          <w:lang w:val="en-GB"/>
        </w:rPr>
        <w:t xml:space="preserve"> </w:t>
      </w:r>
      <w:r w:rsidR="002B6326" w:rsidRPr="00442496">
        <w:rPr>
          <w:lang w:val="en-GB"/>
        </w:rPr>
        <w:t>In that study, an underestimation of the</w:t>
      </w:r>
      <w:r w:rsidR="00E61B34" w:rsidRPr="00442496">
        <w:rPr>
          <w:lang w:val="en-GB"/>
        </w:rPr>
        <w:t xml:space="preserve"> BLEVE</w:t>
      </w:r>
      <w:r w:rsidR="002B6326" w:rsidRPr="00442496">
        <w:rPr>
          <w:lang w:val="en-GB"/>
        </w:rPr>
        <w:t xml:space="preserve"> </w:t>
      </w:r>
      <w:r w:rsidR="00E61B34" w:rsidRPr="00442496">
        <w:rPr>
          <w:lang w:val="en-GB"/>
        </w:rPr>
        <w:t xml:space="preserve">shock wave overpressure </w:t>
      </w:r>
      <w:r w:rsidR="00295FDD" w:rsidRPr="00442496">
        <w:rPr>
          <w:lang w:val="en-GB"/>
        </w:rPr>
        <w:t xml:space="preserve">was found </w:t>
      </w:r>
      <w:r w:rsidR="00E61B34" w:rsidRPr="00442496">
        <w:rPr>
          <w:lang w:val="en-GB"/>
        </w:rPr>
        <w:t xml:space="preserve">when comparing the simulated results with the </w:t>
      </w:r>
      <w:r w:rsidR="00CC7DD4" w:rsidRPr="00442496">
        <w:rPr>
          <w:lang w:val="en-GB"/>
        </w:rPr>
        <w:t xml:space="preserve">experimental data. Therefore, it was speculated that the sudden combustion </w:t>
      </w:r>
      <w:r w:rsidR="00E214DA" w:rsidRPr="00442496">
        <w:rPr>
          <w:lang w:val="en-GB"/>
        </w:rPr>
        <w:t xml:space="preserve">of hydrogen might </w:t>
      </w:r>
      <w:r w:rsidR="00ED43C6" w:rsidRPr="00442496">
        <w:rPr>
          <w:lang w:val="en-GB"/>
        </w:rPr>
        <w:t>influence</w:t>
      </w:r>
      <w:r w:rsidR="00E214DA" w:rsidRPr="00442496">
        <w:rPr>
          <w:lang w:val="en-GB"/>
        </w:rPr>
        <w:t xml:space="preserve"> the blast wave overpressure.</w:t>
      </w:r>
      <w:r w:rsidR="00C01F12" w:rsidRPr="00442496">
        <w:rPr>
          <w:lang w:val="en-GB"/>
        </w:rPr>
        <w:t xml:space="preserve"> This hypothesis was also proposed by Molkov and </w:t>
      </w:r>
      <w:proofErr w:type="spellStart"/>
      <w:r w:rsidR="00E53939" w:rsidRPr="00442496">
        <w:rPr>
          <w:lang w:val="en-GB"/>
        </w:rPr>
        <w:t>Kashkarov</w:t>
      </w:r>
      <w:proofErr w:type="spellEnd"/>
      <w:r w:rsidR="00E53939" w:rsidRPr="00442496">
        <w:rPr>
          <w:lang w:val="en-GB"/>
        </w:rPr>
        <w:t xml:space="preserve"> (2015) who </w:t>
      </w:r>
      <w:r w:rsidR="0040797A" w:rsidRPr="00442496">
        <w:rPr>
          <w:lang w:val="en-GB"/>
        </w:rPr>
        <w:t xml:space="preserve">modelled the shock wave </w:t>
      </w:r>
      <w:r w:rsidR="009E0004" w:rsidRPr="00442496">
        <w:rPr>
          <w:lang w:val="en-GB"/>
        </w:rPr>
        <w:t>crea</w:t>
      </w:r>
      <w:r w:rsidR="0040797A" w:rsidRPr="00442496">
        <w:rPr>
          <w:lang w:val="en-GB"/>
        </w:rPr>
        <w:t>ted after the rupture of compressed gaseous hydrogen</w:t>
      </w:r>
      <w:r w:rsidR="007D7758" w:rsidRPr="00442496">
        <w:rPr>
          <w:lang w:val="en-GB"/>
        </w:rPr>
        <w:t xml:space="preserve"> vessels</w:t>
      </w:r>
      <w:r w:rsidR="008F4535" w:rsidRPr="00442496">
        <w:rPr>
          <w:lang w:val="en-GB"/>
        </w:rPr>
        <w:t xml:space="preserve"> by considering the combustion process. </w:t>
      </w:r>
      <w:r w:rsidR="007A17F2" w:rsidRPr="00442496">
        <w:rPr>
          <w:lang w:val="en-GB"/>
        </w:rPr>
        <w:t xml:space="preserve">Hence, the aim </w:t>
      </w:r>
      <w:r w:rsidR="007A17F2" w:rsidRPr="00442496">
        <w:rPr>
          <w:lang w:val="en-GB"/>
        </w:rPr>
        <w:lastRenderedPageBreak/>
        <w:t xml:space="preserve">of this study was to investigate how hydrogen combustion affects the energy </w:t>
      </w:r>
      <w:r w:rsidR="009E0004" w:rsidRPr="00442496">
        <w:rPr>
          <w:lang w:val="en-GB"/>
        </w:rPr>
        <w:t>generated by the explosion and the blast wave overpressure.</w:t>
      </w:r>
    </w:p>
    <w:p w14:paraId="5741900F" w14:textId="2F87ABC8" w:rsidR="00453E24" w:rsidRPr="00442496" w:rsidRDefault="007E50EE" w:rsidP="00453E24">
      <w:pPr>
        <w:pStyle w:val="CETHeading1"/>
        <w:rPr>
          <w:lang w:val="en-GB"/>
        </w:rPr>
      </w:pPr>
      <w:r w:rsidRPr="00442496">
        <w:rPr>
          <w:lang w:val="en-GB"/>
        </w:rPr>
        <w:t>Methodology</w:t>
      </w:r>
    </w:p>
    <w:p w14:paraId="4A6CC353" w14:textId="5FCD72E4" w:rsidR="00FE1451" w:rsidRPr="00442496" w:rsidRDefault="00485724" w:rsidP="007614DF">
      <w:pPr>
        <w:pStyle w:val="CETBodytext"/>
        <w:rPr>
          <w:lang w:val="en-GB"/>
        </w:rPr>
      </w:pPr>
      <w:r w:rsidRPr="00442496">
        <w:rPr>
          <w:lang w:val="en-GB"/>
        </w:rPr>
        <w:t>The mechanical energy generated by the explosion</w:t>
      </w:r>
      <w:r w:rsidR="00A63A7D" w:rsidRPr="00442496">
        <w:rPr>
          <w:lang w:val="en-GB"/>
        </w:rPr>
        <w:t xml:space="preserve"> which may occur after the catastrophic rupture</w:t>
      </w:r>
      <w:r w:rsidRPr="00442496">
        <w:rPr>
          <w:lang w:val="en-GB"/>
        </w:rPr>
        <w:t xml:space="preserve"> of liquefied gas vessels was </w:t>
      </w:r>
      <w:r w:rsidR="006A75F4" w:rsidRPr="00442496">
        <w:rPr>
          <w:lang w:val="en-GB"/>
        </w:rPr>
        <w:t xml:space="preserve">assessed by means of integral models. The focus was placed on </w:t>
      </w:r>
      <w:r w:rsidR="00F52F5C" w:rsidRPr="00442496">
        <w:rPr>
          <w:lang w:val="en-GB"/>
        </w:rPr>
        <w:t>cryogenic vessels</w:t>
      </w:r>
      <w:r w:rsidR="006C1A36" w:rsidRPr="00442496">
        <w:rPr>
          <w:lang w:val="en-GB"/>
        </w:rPr>
        <w:t xml:space="preserve"> containing LH</w:t>
      </w:r>
      <w:r w:rsidR="006C1A36" w:rsidRPr="00442496">
        <w:rPr>
          <w:vertAlign w:val="subscript"/>
          <w:lang w:val="en-GB"/>
        </w:rPr>
        <w:t>2</w:t>
      </w:r>
      <w:r w:rsidR="00F52F5C" w:rsidRPr="00442496">
        <w:rPr>
          <w:lang w:val="en-GB"/>
        </w:rPr>
        <w:t>.</w:t>
      </w:r>
      <w:r w:rsidR="00EC554B" w:rsidRPr="00442496">
        <w:rPr>
          <w:lang w:val="en-GB"/>
        </w:rPr>
        <w:t xml:space="preserve"> However,</w:t>
      </w:r>
      <w:r w:rsidR="00D90ADF" w:rsidRPr="00442496">
        <w:rPr>
          <w:lang w:val="en-GB"/>
        </w:rPr>
        <w:t xml:space="preserve"> the same models were already applied to different substances such as methane and propane (Ustolin et al., 20</w:t>
      </w:r>
      <w:r w:rsidR="00D53361" w:rsidRPr="00442496">
        <w:rPr>
          <w:lang w:val="en-GB"/>
        </w:rPr>
        <w:t>20b</w:t>
      </w:r>
      <w:r w:rsidR="00D90ADF" w:rsidRPr="00442496">
        <w:rPr>
          <w:lang w:val="en-GB"/>
        </w:rPr>
        <w:t>).</w:t>
      </w:r>
      <w:r w:rsidR="00C00515" w:rsidRPr="00442496">
        <w:rPr>
          <w:lang w:val="en-GB"/>
        </w:rPr>
        <w:t xml:space="preserve"> Both ideal and real gas </w:t>
      </w:r>
      <w:r w:rsidR="00BE4F4F" w:rsidRPr="00442496">
        <w:rPr>
          <w:lang w:val="en-GB"/>
        </w:rPr>
        <w:t>behaviour</w:t>
      </w:r>
      <w:r w:rsidR="00C00515" w:rsidRPr="00442496">
        <w:rPr>
          <w:lang w:val="en-GB"/>
        </w:rPr>
        <w:t xml:space="preserve"> models were employed in this analysis</w:t>
      </w:r>
      <w:r w:rsidR="003C60B0" w:rsidRPr="00442496">
        <w:rPr>
          <w:lang w:val="en-GB"/>
        </w:rPr>
        <w:t xml:space="preserve"> to estimate the </w:t>
      </w:r>
      <w:r w:rsidR="00072A08" w:rsidRPr="00442496">
        <w:rPr>
          <w:lang w:val="en-GB"/>
        </w:rPr>
        <w:t xml:space="preserve">abovementioned </w:t>
      </w:r>
      <w:r w:rsidR="003C60B0" w:rsidRPr="00442496">
        <w:rPr>
          <w:lang w:val="en-GB"/>
        </w:rPr>
        <w:t>mechanical energy</w:t>
      </w:r>
      <w:r w:rsidR="00C00515" w:rsidRPr="00442496">
        <w:rPr>
          <w:lang w:val="en-GB"/>
        </w:rPr>
        <w:t xml:space="preserve">. </w:t>
      </w:r>
      <w:r w:rsidR="00DB150E" w:rsidRPr="00442496">
        <w:rPr>
          <w:lang w:val="en-GB"/>
        </w:rPr>
        <w:t xml:space="preserve">The </w:t>
      </w:r>
      <w:r w:rsidR="003C60B0" w:rsidRPr="00442496">
        <w:rPr>
          <w:lang w:val="en-GB"/>
        </w:rPr>
        <w:t xml:space="preserve">considered </w:t>
      </w:r>
      <w:r w:rsidR="00DB150E" w:rsidRPr="00442496">
        <w:rPr>
          <w:lang w:val="en-GB"/>
        </w:rPr>
        <w:t xml:space="preserve">ideal </w:t>
      </w:r>
      <w:r w:rsidR="007F6A6A" w:rsidRPr="00442496">
        <w:rPr>
          <w:lang w:val="en-GB"/>
        </w:rPr>
        <w:t xml:space="preserve">gas </w:t>
      </w:r>
      <w:r w:rsidR="00BE4F4F" w:rsidRPr="00442496">
        <w:rPr>
          <w:lang w:val="en-GB"/>
        </w:rPr>
        <w:t>behaviour</w:t>
      </w:r>
      <w:r w:rsidR="007F6A6A" w:rsidRPr="00442496">
        <w:rPr>
          <w:lang w:val="en-GB"/>
        </w:rPr>
        <w:t xml:space="preserve"> </w:t>
      </w:r>
      <w:r w:rsidR="00DB150E" w:rsidRPr="00442496">
        <w:rPr>
          <w:lang w:val="en-GB"/>
        </w:rPr>
        <w:t>models were</w:t>
      </w:r>
      <w:r w:rsidR="007F6A6A" w:rsidRPr="00442496">
        <w:rPr>
          <w:lang w:val="en-GB"/>
        </w:rPr>
        <w:t xml:space="preserve"> </w:t>
      </w:r>
      <w:r w:rsidR="003C60B0" w:rsidRPr="00442496">
        <w:rPr>
          <w:lang w:val="en-GB"/>
        </w:rPr>
        <w:t xml:space="preserve">developed by </w:t>
      </w:r>
      <w:r w:rsidR="007F6A6A" w:rsidRPr="00442496">
        <w:rPr>
          <w:lang w:val="en-GB"/>
        </w:rPr>
        <w:t>the following</w:t>
      </w:r>
      <w:r w:rsidR="003C60B0" w:rsidRPr="00442496">
        <w:rPr>
          <w:lang w:val="en-GB"/>
        </w:rPr>
        <w:t xml:space="preserve"> authors</w:t>
      </w:r>
      <w:r w:rsidR="007F6A6A" w:rsidRPr="00442496">
        <w:rPr>
          <w:lang w:val="en-GB"/>
        </w:rPr>
        <w:t>:</w:t>
      </w:r>
      <w:r w:rsidR="00912826" w:rsidRPr="00442496">
        <w:rPr>
          <w:lang w:val="en-GB"/>
        </w:rPr>
        <w:t xml:space="preserve"> </w:t>
      </w:r>
      <w:proofErr w:type="spellStart"/>
      <w:r w:rsidR="00666E63" w:rsidRPr="00442496">
        <w:rPr>
          <w:lang w:val="en-GB"/>
        </w:rPr>
        <w:t>Brode</w:t>
      </w:r>
      <w:proofErr w:type="spellEnd"/>
      <w:r w:rsidR="008D3094" w:rsidRPr="00442496">
        <w:rPr>
          <w:lang w:val="en-GB"/>
        </w:rPr>
        <w:t xml:space="preserve"> (1959)</w:t>
      </w:r>
      <w:r w:rsidR="00912826" w:rsidRPr="00442496">
        <w:rPr>
          <w:lang w:val="en-GB"/>
        </w:rPr>
        <w:t xml:space="preserve">; </w:t>
      </w:r>
      <w:r w:rsidR="008D3094" w:rsidRPr="00442496">
        <w:rPr>
          <w:lang w:val="en-GB"/>
        </w:rPr>
        <w:t>Smith and Van Ness (1996)</w:t>
      </w:r>
      <w:r w:rsidR="00912826" w:rsidRPr="00442496">
        <w:rPr>
          <w:lang w:val="en-GB"/>
        </w:rPr>
        <w:t xml:space="preserve">; </w:t>
      </w:r>
      <w:proofErr w:type="spellStart"/>
      <w:r w:rsidR="008D3094" w:rsidRPr="00442496">
        <w:rPr>
          <w:lang w:val="en-GB"/>
        </w:rPr>
        <w:t>Crowl</w:t>
      </w:r>
      <w:proofErr w:type="spellEnd"/>
      <w:r w:rsidR="008D3094" w:rsidRPr="00442496">
        <w:rPr>
          <w:lang w:val="en-GB"/>
        </w:rPr>
        <w:t xml:space="preserve"> (1992, 1991), thermodynamic availability (TA) model;</w:t>
      </w:r>
      <w:r w:rsidR="007614DF" w:rsidRPr="00442496">
        <w:rPr>
          <w:lang w:val="en-GB"/>
        </w:rPr>
        <w:t xml:space="preserve"> </w:t>
      </w:r>
      <w:proofErr w:type="spellStart"/>
      <w:r w:rsidR="008D3094" w:rsidRPr="00442496">
        <w:rPr>
          <w:lang w:val="en-GB"/>
        </w:rPr>
        <w:t>Prugh</w:t>
      </w:r>
      <w:proofErr w:type="spellEnd"/>
      <w:r w:rsidR="008D3094" w:rsidRPr="00442496">
        <w:rPr>
          <w:lang w:val="en-GB"/>
        </w:rPr>
        <w:t xml:space="preserve"> (1991)</w:t>
      </w:r>
      <w:r w:rsidR="00B55032" w:rsidRPr="00442496">
        <w:rPr>
          <w:lang w:val="en-GB"/>
        </w:rPr>
        <w:t>;</w:t>
      </w:r>
      <w:r w:rsidR="007614DF" w:rsidRPr="00442496">
        <w:rPr>
          <w:lang w:val="en-GB"/>
        </w:rPr>
        <w:t xml:space="preserve"> </w:t>
      </w:r>
      <w:r w:rsidR="00B55032" w:rsidRPr="00442496">
        <w:rPr>
          <w:lang w:val="en-GB"/>
        </w:rPr>
        <w:t>w</w:t>
      </w:r>
      <w:r w:rsidR="007B75EF" w:rsidRPr="00442496">
        <w:rPr>
          <w:lang w:val="en-GB"/>
        </w:rPr>
        <w:t xml:space="preserve">hile the </w:t>
      </w:r>
      <w:r w:rsidR="00863F5A" w:rsidRPr="00442496">
        <w:rPr>
          <w:lang w:val="en-GB"/>
        </w:rPr>
        <w:t xml:space="preserve">selected </w:t>
      </w:r>
      <w:r w:rsidR="007B75EF" w:rsidRPr="00442496">
        <w:rPr>
          <w:lang w:val="en-GB"/>
        </w:rPr>
        <w:t xml:space="preserve">real gas </w:t>
      </w:r>
      <w:r w:rsidR="0007523F" w:rsidRPr="00442496">
        <w:rPr>
          <w:lang w:val="en-GB"/>
        </w:rPr>
        <w:t>behavio</w:t>
      </w:r>
      <w:r w:rsidR="00EC554B" w:rsidRPr="00442496">
        <w:rPr>
          <w:lang w:val="en-GB"/>
        </w:rPr>
        <w:t>u</w:t>
      </w:r>
      <w:r w:rsidR="0007523F" w:rsidRPr="00442496">
        <w:rPr>
          <w:lang w:val="en-GB"/>
        </w:rPr>
        <w:t>r</w:t>
      </w:r>
      <w:r w:rsidR="007B75EF" w:rsidRPr="00442496">
        <w:rPr>
          <w:lang w:val="en-GB"/>
        </w:rPr>
        <w:t xml:space="preserve"> models were proposed by:</w:t>
      </w:r>
      <w:r w:rsidR="007614DF" w:rsidRPr="00442496">
        <w:rPr>
          <w:lang w:val="en-GB"/>
        </w:rPr>
        <w:t xml:space="preserve"> </w:t>
      </w:r>
      <w:r w:rsidR="007B75EF" w:rsidRPr="00442496">
        <w:rPr>
          <w:lang w:val="en-GB"/>
        </w:rPr>
        <w:t xml:space="preserve">van den Bosch and </w:t>
      </w:r>
      <w:proofErr w:type="spellStart"/>
      <w:r w:rsidR="007B75EF" w:rsidRPr="00442496">
        <w:rPr>
          <w:lang w:val="en-GB"/>
        </w:rPr>
        <w:t>Weterings</w:t>
      </w:r>
      <w:proofErr w:type="spellEnd"/>
      <w:r w:rsidR="007B75EF" w:rsidRPr="00442496">
        <w:rPr>
          <w:lang w:val="en-GB"/>
        </w:rPr>
        <w:t xml:space="preserve"> (2005), TNO model;</w:t>
      </w:r>
      <w:r w:rsidR="007614DF" w:rsidRPr="00442496">
        <w:rPr>
          <w:lang w:val="en-GB"/>
        </w:rPr>
        <w:t xml:space="preserve"> </w:t>
      </w:r>
      <w:proofErr w:type="spellStart"/>
      <w:r w:rsidR="007B75EF" w:rsidRPr="00442496">
        <w:rPr>
          <w:lang w:val="en-GB"/>
        </w:rPr>
        <w:t>Planas-Cuchi</w:t>
      </w:r>
      <w:proofErr w:type="spellEnd"/>
      <w:r w:rsidR="007B75EF" w:rsidRPr="00442496">
        <w:rPr>
          <w:lang w:val="en-GB"/>
        </w:rPr>
        <w:t xml:space="preserve"> et al. (2004);</w:t>
      </w:r>
      <w:r w:rsidR="007614DF" w:rsidRPr="00442496">
        <w:rPr>
          <w:lang w:val="en-GB"/>
        </w:rPr>
        <w:t xml:space="preserve"> </w:t>
      </w:r>
      <w:r w:rsidR="007B75EF" w:rsidRPr="00442496">
        <w:rPr>
          <w:lang w:val="en-GB"/>
        </w:rPr>
        <w:t>Genova et al. (2008</w:t>
      </w:r>
      <w:r w:rsidR="00FE1451" w:rsidRPr="00442496">
        <w:rPr>
          <w:lang w:val="en-GB"/>
        </w:rPr>
        <w:t>);</w:t>
      </w:r>
      <w:r w:rsidR="007614DF" w:rsidRPr="00442496">
        <w:rPr>
          <w:lang w:val="en-GB"/>
        </w:rPr>
        <w:t xml:space="preserve"> </w:t>
      </w:r>
      <w:r w:rsidR="00FE1451" w:rsidRPr="00442496">
        <w:rPr>
          <w:lang w:val="en-GB"/>
        </w:rPr>
        <w:t>Birk et al. (2007).</w:t>
      </w:r>
    </w:p>
    <w:p w14:paraId="7BA3D0AF" w14:textId="33C087D1" w:rsidR="009D3CF4" w:rsidRPr="00442496" w:rsidRDefault="00FE61D5" w:rsidP="00960352">
      <w:pPr>
        <w:pStyle w:val="CETBodytext"/>
        <w:rPr>
          <w:lang w:val="en-GB"/>
        </w:rPr>
      </w:pPr>
      <w:r w:rsidRPr="00442496">
        <w:rPr>
          <w:lang w:val="en-GB"/>
        </w:rPr>
        <w:t>These models were already applied to LH</w:t>
      </w:r>
      <w:r w:rsidRPr="00442496">
        <w:rPr>
          <w:vertAlign w:val="subscript"/>
          <w:lang w:val="en-GB"/>
        </w:rPr>
        <w:t>2</w:t>
      </w:r>
      <w:r w:rsidRPr="00442496">
        <w:rPr>
          <w:lang w:val="en-GB"/>
        </w:rPr>
        <w:t xml:space="preserve"> vessels by Ustolin et al. (2020a), and a description of the </w:t>
      </w:r>
      <w:r w:rsidR="008D3094" w:rsidRPr="00442496">
        <w:rPr>
          <w:lang w:val="en-GB"/>
        </w:rPr>
        <w:t>equations</w:t>
      </w:r>
      <w:r w:rsidR="00116338">
        <w:rPr>
          <w:lang w:val="en-GB"/>
        </w:rPr>
        <w:t xml:space="preserve"> of the models</w:t>
      </w:r>
      <w:r w:rsidR="008D3094" w:rsidRPr="00442496">
        <w:rPr>
          <w:lang w:val="en-GB"/>
        </w:rPr>
        <w:t xml:space="preserve"> can be found there.</w:t>
      </w:r>
      <w:r w:rsidR="00973F60" w:rsidRPr="00442496">
        <w:rPr>
          <w:lang w:val="en-GB"/>
        </w:rPr>
        <w:t xml:space="preserve"> </w:t>
      </w:r>
      <w:r w:rsidR="008E3F60" w:rsidRPr="00442496">
        <w:rPr>
          <w:lang w:val="en-GB"/>
        </w:rPr>
        <w:t>In this work, the superheating energy model (</w:t>
      </w:r>
      <w:proofErr w:type="spellStart"/>
      <w:r w:rsidR="008E3F60" w:rsidRPr="00442496">
        <w:rPr>
          <w:lang w:val="en-GB"/>
        </w:rPr>
        <w:t>Casal</w:t>
      </w:r>
      <w:proofErr w:type="spellEnd"/>
      <w:r w:rsidR="008E3F60" w:rsidRPr="00442496">
        <w:rPr>
          <w:lang w:val="en-GB"/>
        </w:rPr>
        <w:t xml:space="preserve"> and Salla, 2006) was not considered because it is </w:t>
      </w:r>
      <w:r w:rsidR="0030109F" w:rsidRPr="00442496">
        <w:rPr>
          <w:lang w:val="en-GB"/>
        </w:rPr>
        <w:t xml:space="preserve">usually </w:t>
      </w:r>
      <w:r w:rsidR="008E3F60" w:rsidRPr="00442496">
        <w:rPr>
          <w:lang w:val="en-GB"/>
        </w:rPr>
        <w:t xml:space="preserve">employed to directly estimate the overpressure of the blast wave and not the mechanical energy. </w:t>
      </w:r>
      <w:r w:rsidR="00796DA9" w:rsidRPr="00442496">
        <w:rPr>
          <w:lang w:val="en-GB"/>
        </w:rPr>
        <w:t>I</w:t>
      </w:r>
      <w:r w:rsidR="001C6ADE" w:rsidRPr="00442496">
        <w:rPr>
          <w:lang w:val="en-GB"/>
        </w:rPr>
        <w:t xml:space="preserve">t was </w:t>
      </w:r>
      <w:r w:rsidR="00796DA9" w:rsidRPr="00442496">
        <w:rPr>
          <w:lang w:val="en-GB"/>
        </w:rPr>
        <w:t>assum</w:t>
      </w:r>
      <w:r w:rsidR="001C6ADE" w:rsidRPr="00442496">
        <w:rPr>
          <w:lang w:val="en-GB"/>
        </w:rPr>
        <w:t xml:space="preserve">ed that the hydrogen contained in the vessel was at saturation conditions to obtain the most conservative estimations. </w:t>
      </w:r>
      <w:r w:rsidR="00EE7184" w:rsidRPr="00442496">
        <w:rPr>
          <w:lang w:val="en-GB"/>
        </w:rPr>
        <w:t xml:space="preserve">The </w:t>
      </w:r>
      <w:proofErr w:type="spellStart"/>
      <w:r w:rsidR="00EE7184" w:rsidRPr="00442496">
        <w:rPr>
          <w:lang w:val="en-GB"/>
        </w:rPr>
        <w:t>CoolProp</w:t>
      </w:r>
      <w:proofErr w:type="spellEnd"/>
      <w:r w:rsidR="00EE7184" w:rsidRPr="00442496">
        <w:rPr>
          <w:lang w:val="en-GB"/>
        </w:rPr>
        <w:t xml:space="preserve"> package</w:t>
      </w:r>
      <w:r w:rsidR="00960352" w:rsidRPr="00442496">
        <w:rPr>
          <w:lang w:val="en-GB"/>
        </w:rPr>
        <w:t xml:space="preserve"> (Bell et al., 2014)</w:t>
      </w:r>
      <w:r w:rsidR="00EE7184" w:rsidRPr="00442496">
        <w:rPr>
          <w:lang w:val="en-GB"/>
        </w:rPr>
        <w:t xml:space="preserve"> </w:t>
      </w:r>
      <w:r w:rsidR="00616CD5" w:rsidRPr="00442496">
        <w:rPr>
          <w:lang w:val="en-GB"/>
        </w:rPr>
        <w:t xml:space="preserve">was </w:t>
      </w:r>
      <w:r w:rsidR="00960352" w:rsidRPr="00442496">
        <w:rPr>
          <w:lang w:val="en-GB"/>
        </w:rPr>
        <w:t>used to retrieve the hydrogen t</w:t>
      </w:r>
      <w:r w:rsidR="00182C29" w:rsidRPr="00442496">
        <w:rPr>
          <w:lang w:val="en-GB"/>
        </w:rPr>
        <w:t>hermodynamic properties</w:t>
      </w:r>
      <w:r w:rsidR="00960352" w:rsidRPr="00442496">
        <w:rPr>
          <w:lang w:val="en-GB"/>
        </w:rPr>
        <w:t>.</w:t>
      </w:r>
    </w:p>
    <w:p w14:paraId="48454F34" w14:textId="3CC1D741" w:rsidR="00C92DB8" w:rsidRPr="00442496" w:rsidRDefault="00C92DB8" w:rsidP="00C92DB8">
      <w:pPr>
        <w:pStyle w:val="CETBodytext"/>
        <w:rPr>
          <w:lang w:val="en-GB"/>
        </w:rPr>
      </w:pPr>
      <w:r w:rsidRPr="00442496">
        <w:rPr>
          <w:lang w:val="en-GB"/>
        </w:rPr>
        <w:t xml:space="preserve">Barely the fraction of energy that contributes to the shock wave should be considered to determine its overpressure. </w:t>
      </w:r>
      <w:proofErr w:type="spellStart"/>
      <w:r w:rsidRPr="00442496">
        <w:rPr>
          <w:lang w:val="en-GB"/>
        </w:rPr>
        <w:t>Hemmatian</w:t>
      </w:r>
      <w:proofErr w:type="spellEnd"/>
      <w:r w:rsidRPr="00442496">
        <w:rPr>
          <w:lang w:val="en-GB"/>
        </w:rPr>
        <w:t xml:space="preserve"> et al. (2017) suggested </w:t>
      </w:r>
      <w:r w:rsidR="00FB37EE" w:rsidRPr="00442496">
        <w:rPr>
          <w:lang w:val="en-GB"/>
        </w:rPr>
        <w:t>that</w:t>
      </w:r>
      <w:r w:rsidRPr="00442496">
        <w:rPr>
          <w:lang w:val="en-GB"/>
        </w:rPr>
        <w:t xml:space="preserve"> only 40% or 80% of the mechanical energy </w:t>
      </w:r>
      <w:r w:rsidR="00695DA0" w:rsidRPr="00442496">
        <w:rPr>
          <w:lang w:val="en-GB"/>
        </w:rPr>
        <w:t>determin</w:t>
      </w:r>
      <w:r w:rsidRPr="00442496">
        <w:rPr>
          <w:lang w:val="en-GB"/>
        </w:rPr>
        <w:t>ed by the ideal gas behavio</w:t>
      </w:r>
      <w:r w:rsidR="00EC554B" w:rsidRPr="00442496">
        <w:rPr>
          <w:lang w:val="en-GB"/>
        </w:rPr>
        <w:t>u</w:t>
      </w:r>
      <w:r w:rsidRPr="00442496">
        <w:rPr>
          <w:lang w:val="en-GB"/>
        </w:rPr>
        <w:t>r models</w:t>
      </w:r>
      <w:r w:rsidR="00695DA0" w:rsidRPr="00442496">
        <w:rPr>
          <w:lang w:val="en-GB"/>
        </w:rPr>
        <w:t xml:space="preserve"> </w:t>
      </w:r>
      <w:r w:rsidR="00021BAD" w:rsidRPr="00442496">
        <w:rPr>
          <w:lang w:val="en-GB"/>
        </w:rPr>
        <w:t>contribute to the blast wave</w:t>
      </w:r>
      <w:r w:rsidRPr="00442496">
        <w:rPr>
          <w:lang w:val="en-GB"/>
        </w:rPr>
        <w:t xml:space="preserve"> if the tank fracture is ductile or fragile, respectively. However, </w:t>
      </w:r>
      <w:r w:rsidR="00C07D31" w:rsidRPr="00442496">
        <w:rPr>
          <w:lang w:val="en-GB"/>
        </w:rPr>
        <w:t xml:space="preserve">it was assumed that </w:t>
      </w:r>
      <w:r w:rsidRPr="00442496">
        <w:rPr>
          <w:lang w:val="en-GB"/>
        </w:rPr>
        <w:t>100%</w:t>
      </w:r>
      <w:r w:rsidR="007D7CC7">
        <w:rPr>
          <w:lang w:val="en-GB"/>
        </w:rPr>
        <w:t xml:space="preserve"> (</w:t>
      </w:r>
      <w:r w:rsidR="007D7CC7" w:rsidRPr="007D7CC7">
        <w:rPr>
          <w:lang w:val="en-GB"/>
        </w:rPr>
        <w:t>α</w:t>
      </w:r>
      <w:r w:rsidR="007D7CC7">
        <w:rPr>
          <w:lang w:val="en-GB"/>
        </w:rPr>
        <w:t xml:space="preserve"> = 1)</w:t>
      </w:r>
      <w:r w:rsidRPr="00442496">
        <w:rPr>
          <w:lang w:val="en-GB"/>
        </w:rPr>
        <w:t xml:space="preserve"> of th</w:t>
      </w:r>
      <w:r w:rsidR="008C1ACC" w:rsidRPr="00442496">
        <w:rPr>
          <w:lang w:val="en-GB"/>
        </w:rPr>
        <w:t>is</w:t>
      </w:r>
      <w:r w:rsidRPr="00442496">
        <w:rPr>
          <w:lang w:val="en-GB"/>
        </w:rPr>
        <w:t xml:space="preserve"> energy</w:t>
      </w:r>
      <w:r w:rsidR="008C1ACC" w:rsidRPr="00442496">
        <w:rPr>
          <w:lang w:val="en-GB"/>
        </w:rPr>
        <w:t xml:space="preserve"> transforms to overpressure</w:t>
      </w:r>
      <w:r w:rsidRPr="00442496">
        <w:rPr>
          <w:lang w:val="en-GB"/>
        </w:rPr>
        <w:t xml:space="preserve"> since underestimations were obtained by Ustolin et al. (2020a) when </w:t>
      </w:r>
      <w:r w:rsidR="00585FF9" w:rsidRPr="00442496">
        <w:rPr>
          <w:lang w:val="en-GB"/>
        </w:rPr>
        <w:t>compa</w:t>
      </w:r>
      <w:r w:rsidR="001C0481" w:rsidRPr="00442496">
        <w:rPr>
          <w:lang w:val="en-GB"/>
        </w:rPr>
        <w:t xml:space="preserve">ring </w:t>
      </w:r>
      <w:r w:rsidRPr="00442496">
        <w:rPr>
          <w:lang w:val="en-GB"/>
        </w:rPr>
        <w:t xml:space="preserve">the simulation outcomes with experimental data. On the other hand, different factors </w:t>
      </w:r>
      <w:r w:rsidR="001C0481" w:rsidRPr="00442496">
        <w:rPr>
          <w:lang w:val="en-GB"/>
        </w:rPr>
        <w:t>we</w:t>
      </w:r>
      <w:r w:rsidRPr="00442496">
        <w:rPr>
          <w:lang w:val="en-GB"/>
        </w:rPr>
        <w:t xml:space="preserve">re suggested by the authors of </w:t>
      </w:r>
      <w:r w:rsidR="00AB1FFE" w:rsidRPr="00442496">
        <w:rPr>
          <w:lang w:val="en-GB"/>
        </w:rPr>
        <w:t xml:space="preserve">real gas </w:t>
      </w:r>
      <w:r w:rsidR="00155064" w:rsidRPr="00442496">
        <w:rPr>
          <w:lang w:val="en-GB"/>
        </w:rPr>
        <w:t>behavio</w:t>
      </w:r>
      <w:r w:rsidR="00EC554B" w:rsidRPr="00442496">
        <w:rPr>
          <w:lang w:val="en-GB"/>
        </w:rPr>
        <w:t>u</w:t>
      </w:r>
      <w:r w:rsidR="00155064" w:rsidRPr="00442496">
        <w:rPr>
          <w:lang w:val="en-GB"/>
        </w:rPr>
        <w:t xml:space="preserve">r </w:t>
      </w:r>
      <w:r w:rsidRPr="00442496">
        <w:rPr>
          <w:lang w:val="en-GB"/>
        </w:rPr>
        <w:t xml:space="preserve">models. For instance, the TNO </w:t>
      </w:r>
      <w:r w:rsidR="003E2A82" w:rsidRPr="00442496">
        <w:rPr>
          <w:lang w:val="en-GB"/>
        </w:rPr>
        <w:t xml:space="preserve">and Birk </w:t>
      </w:r>
      <w:r w:rsidRPr="00442496">
        <w:rPr>
          <w:lang w:val="en-GB"/>
        </w:rPr>
        <w:t>model</w:t>
      </w:r>
      <w:r w:rsidR="003E2A82" w:rsidRPr="00442496">
        <w:rPr>
          <w:lang w:val="en-GB"/>
        </w:rPr>
        <w:t>s</w:t>
      </w:r>
      <w:r w:rsidRPr="00442496">
        <w:rPr>
          <w:lang w:val="en-GB"/>
        </w:rPr>
        <w:t xml:space="preserve"> account for the reflection on the ground of the blast wave</w:t>
      </w:r>
      <w:r w:rsidR="00022A6A" w:rsidRPr="00442496">
        <w:rPr>
          <w:lang w:val="en-GB"/>
        </w:rPr>
        <w:t>,</w:t>
      </w:r>
      <w:r w:rsidRPr="00442496">
        <w:rPr>
          <w:lang w:val="en-GB"/>
        </w:rPr>
        <w:t xml:space="preserve"> and van den Bosch and </w:t>
      </w:r>
      <w:proofErr w:type="spellStart"/>
      <w:r w:rsidRPr="00442496">
        <w:rPr>
          <w:lang w:val="en-GB"/>
        </w:rPr>
        <w:t>Weterings</w:t>
      </w:r>
      <w:proofErr w:type="spellEnd"/>
      <w:r w:rsidRPr="00442496">
        <w:rPr>
          <w:lang w:val="en-GB"/>
        </w:rPr>
        <w:t xml:space="preserve"> (2005) recommend </w:t>
      </w:r>
      <w:r w:rsidR="002C358C" w:rsidRPr="00442496">
        <w:rPr>
          <w:lang w:val="en-GB"/>
        </w:rPr>
        <w:t>multiplying</w:t>
      </w:r>
      <w:r w:rsidRPr="00442496">
        <w:rPr>
          <w:lang w:val="en-GB"/>
        </w:rPr>
        <w:t xml:space="preserve"> the mechanical energy by a factor of 2.</w:t>
      </w:r>
      <w:r w:rsidR="00D56FDE" w:rsidRPr="00442496">
        <w:rPr>
          <w:lang w:val="en-GB"/>
        </w:rPr>
        <w:t xml:space="preserve"> The</w:t>
      </w:r>
      <w:r w:rsidR="00A61B77" w:rsidRPr="00442496">
        <w:rPr>
          <w:lang w:val="en-GB"/>
        </w:rPr>
        <w:t xml:space="preserve"> </w:t>
      </w:r>
      <w:r w:rsidR="001A7DA3" w:rsidRPr="00442496">
        <w:rPr>
          <w:lang w:val="en-GB"/>
        </w:rPr>
        <w:t xml:space="preserve">factors </w:t>
      </w:r>
      <w:r w:rsidR="00A61B77" w:rsidRPr="00442496">
        <w:rPr>
          <w:lang w:val="en-GB"/>
        </w:rPr>
        <w:t xml:space="preserve">to estimate the </w:t>
      </w:r>
      <w:r w:rsidR="001A7DA3" w:rsidRPr="00442496">
        <w:rPr>
          <w:lang w:val="en-GB"/>
        </w:rPr>
        <w:t xml:space="preserve">mechanical energy contribution to the </w:t>
      </w:r>
      <w:r w:rsidR="008858D7" w:rsidRPr="00442496">
        <w:rPr>
          <w:lang w:val="en-GB"/>
        </w:rPr>
        <w:t xml:space="preserve">shock wave </w:t>
      </w:r>
      <w:r w:rsidR="001A7DA3" w:rsidRPr="00442496">
        <w:rPr>
          <w:lang w:val="en-GB"/>
        </w:rPr>
        <w:t>f</w:t>
      </w:r>
      <w:r w:rsidR="00C56941" w:rsidRPr="00442496">
        <w:rPr>
          <w:lang w:val="en-GB"/>
        </w:rPr>
        <w:t>or the real gas behavio</w:t>
      </w:r>
      <w:r w:rsidR="00EC554B" w:rsidRPr="00442496">
        <w:rPr>
          <w:lang w:val="en-GB"/>
        </w:rPr>
        <w:t>u</w:t>
      </w:r>
      <w:r w:rsidR="00C56941" w:rsidRPr="00442496">
        <w:rPr>
          <w:lang w:val="en-GB"/>
        </w:rPr>
        <w:t xml:space="preserve">r models </w:t>
      </w:r>
      <w:r w:rsidR="008858D7" w:rsidRPr="00442496">
        <w:rPr>
          <w:lang w:val="en-GB"/>
        </w:rPr>
        <w:t xml:space="preserve">are collected in Table </w:t>
      </w:r>
      <w:r w:rsidR="00C56941" w:rsidRPr="00442496">
        <w:rPr>
          <w:lang w:val="en-GB"/>
        </w:rPr>
        <w:t>1.</w:t>
      </w:r>
    </w:p>
    <w:p w14:paraId="25FC5AA7" w14:textId="548762ED" w:rsidR="00C92DB8" w:rsidRPr="00442496" w:rsidRDefault="00C92DB8" w:rsidP="00C92DB8">
      <w:pPr>
        <w:pStyle w:val="CETTabletitle"/>
      </w:pPr>
      <w:r w:rsidRPr="00442496">
        <w:t xml:space="preserve">Table 1: Factors </w:t>
      </w:r>
      <w:r w:rsidR="00BF7D03" w:rsidRPr="00442496">
        <w:t>(</w:t>
      </w:r>
      <w:r w:rsidR="00BF7D03" w:rsidRPr="00442496">
        <w:rPr>
          <w:rFonts w:cs="Arial"/>
        </w:rPr>
        <w:t>α</w:t>
      </w:r>
      <w:r w:rsidR="00BF7D03" w:rsidRPr="00442496">
        <w:t xml:space="preserve">) </w:t>
      </w:r>
      <w:r w:rsidRPr="00442496">
        <w:t>to estimate the mechanical energy contribution to the shock wave for the real gas behaviour models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7"/>
        <w:gridCol w:w="907"/>
        <w:gridCol w:w="907"/>
        <w:gridCol w:w="907"/>
        <w:gridCol w:w="907"/>
      </w:tblGrid>
      <w:tr w:rsidR="00F0184E" w:rsidRPr="00442496" w14:paraId="4C664229" w14:textId="30F1A510" w:rsidTr="00BC676A">
        <w:tc>
          <w:tcPr>
            <w:tcW w:w="1417" w:type="dxa"/>
            <w:tcBorders>
              <w:top w:val="single" w:sz="12" w:space="0" w:color="008000"/>
              <w:bottom w:val="single" w:sz="6" w:space="0" w:color="008000"/>
            </w:tcBorders>
            <w:shd w:val="clear" w:color="auto" w:fill="FFFFFF"/>
          </w:tcPr>
          <w:p w14:paraId="5D2E8D8F" w14:textId="77777777" w:rsidR="00F0184E" w:rsidRPr="00442496" w:rsidRDefault="00F0184E" w:rsidP="00F0184E">
            <w:pPr>
              <w:pStyle w:val="CETBodytext"/>
              <w:rPr>
                <w:lang w:val="en-GB"/>
              </w:rPr>
            </w:pPr>
            <w:r w:rsidRPr="00442496">
              <w:rPr>
                <w:lang w:val="en-GB"/>
              </w:rPr>
              <w:t xml:space="preserve">Model </w:t>
            </w:r>
          </w:p>
        </w:tc>
        <w:tc>
          <w:tcPr>
            <w:tcW w:w="907" w:type="dxa"/>
            <w:tcBorders>
              <w:top w:val="single" w:sz="12" w:space="0" w:color="008000"/>
              <w:bottom w:val="single" w:sz="6" w:space="0" w:color="008000"/>
            </w:tcBorders>
            <w:shd w:val="clear" w:color="auto" w:fill="FFFFFF"/>
          </w:tcPr>
          <w:p w14:paraId="5DF99F6F" w14:textId="77777777" w:rsidR="00F0184E" w:rsidRPr="00442496" w:rsidRDefault="00F0184E" w:rsidP="00F0184E">
            <w:pPr>
              <w:pStyle w:val="CETBodytext"/>
              <w:rPr>
                <w:lang w:val="en-GB"/>
              </w:rPr>
            </w:pPr>
            <w:r w:rsidRPr="00442496">
              <w:rPr>
                <w:rFonts w:eastAsia="SimSun"/>
                <w:lang w:val="en-GB"/>
              </w:rPr>
              <w:t>α</w:t>
            </w:r>
          </w:p>
        </w:tc>
        <w:tc>
          <w:tcPr>
            <w:tcW w:w="907" w:type="dxa"/>
            <w:tcBorders>
              <w:top w:val="single" w:sz="12" w:space="0" w:color="008000"/>
              <w:bottom w:val="single" w:sz="6" w:space="0" w:color="008000"/>
            </w:tcBorders>
            <w:shd w:val="clear" w:color="auto" w:fill="FFFFFF"/>
          </w:tcPr>
          <w:p w14:paraId="5F2BDFEF" w14:textId="77777777" w:rsidR="00F0184E" w:rsidRPr="00442496" w:rsidRDefault="00F0184E" w:rsidP="00F0184E">
            <w:pPr>
              <w:pStyle w:val="CETBodytext"/>
              <w:rPr>
                <w:lang w:val="en-GB"/>
              </w:rPr>
            </w:pPr>
          </w:p>
        </w:tc>
        <w:tc>
          <w:tcPr>
            <w:tcW w:w="907" w:type="dxa"/>
            <w:tcBorders>
              <w:top w:val="single" w:sz="12" w:space="0" w:color="008000"/>
              <w:bottom w:val="single" w:sz="6" w:space="0" w:color="008000"/>
            </w:tcBorders>
            <w:shd w:val="clear" w:color="auto" w:fill="FFFFFF"/>
          </w:tcPr>
          <w:p w14:paraId="544C3A6A" w14:textId="1CC57BD2" w:rsidR="00F0184E" w:rsidRPr="00442496" w:rsidRDefault="00F0184E" w:rsidP="00F0184E">
            <w:pPr>
              <w:pStyle w:val="CETBodytext"/>
              <w:rPr>
                <w:rFonts w:eastAsia="SimSun"/>
                <w:lang w:val="en-GB"/>
              </w:rPr>
            </w:pPr>
            <w:r w:rsidRPr="00442496">
              <w:rPr>
                <w:lang w:val="en-GB"/>
              </w:rPr>
              <w:t xml:space="preserve">Model </w:t>
            </w:r>
          </w:p>
        </w:tc>
        <w:tc>
          <w:tcPr>
            <w:tcW w:w="907" w:type="dxa"/>
            <w:tcBorders>
              <w:top w:val="single" w:sz="12" w:space="0" w:color="008000"/>
              <w:bottom w:val="single" w:sz="6" w:space="0" w:color="008000"/>
            </w:tcBorders>
            <w:shd w:val="clear" w:color="auto" w:fill="FFFFFF"/>
          </w:tcPr>
          <w:p w14:paraId="41561A2C" w14:textId="05615162" w:rsidR="00F0184E" w:rsidRPr="00442496" w:rsidRDefault="00F0184E" w:rsidP="00F0184E">
            <w:pPr>
              <w:pStyle w:val="CETBodytext"/>
              <w:rPr>
                <w:rFonts w:eastAsia="SimSun"/>
                <w:lang w:val="en-GB"/>
              </w:rPr>
            </w:pPr>
            <w:r w:rsidRPr="00442496">
              <w:rPr>
                <w:rFonts w:eastAsia="SimSun"/>
                <w:lang w:val="en-GB"/>
              </w:rPr>
              <w:t>α</w:t>
            </w:r>
          </w:p>
        </w:tc>
      </w:tr>
      <w:tr w:rsidR="00F0184E" w:rsidRPr="00442496" w14:paraId="410FCF88" w14:textId="0315AA09" w:rsidTr="00BC676A">
        <w:tc>
          <w:tcPr>
            <w:tcW w:w="1417" w:type="dxa"/>
            <w:shd w:val="clear" w:color="auto" w:fill="FFFFFF"/>
          </w:tcPr>
          <w:p w14:paraId="0A04FAC3" w14:textId="77777777" w:rsidR="00F0184E" w:rsidRPr="00442496" w:rsidRDefault="00F0184E" w:rsidP="00F0184E">
            <w:pPr>
              <w:pStyle w:val="CETBodytext"/>
              <w:rPr>
                <w:lang w:val="en-GB"/>
              </w:rPr>
            </w:pPr>
            <w:r w:rsidRPr="00442496">
              <w:rPr>
                <w:lang w:val="en-GB"/>
              </w:rPr>
              <w:t>TNO</w:t>
            </w:r>
          </w:p>
        </w:tc>
        <w:tc>
          <w:tcPr>
            <w:tcW w:w="907" w:type="dxa"/>
            <w:shd w:val="clear" w:color="auto" w:fill="FFFFFF"/>
          </w:tcPr>
          <w:p w14:paraId="7C14B279" w14:textId="77777777" w:rsidR="00F0184E" w:rsidRPr="00442496" w:rsidRDefault="00F0184E" w:rsidP="00F0184E">
            <w:pPr>
              <w:pStyle w:val="CETBodytext"/>
              <w:rPr>
                <w:lang w:val="en-GB"/>
              </w:rPr>
            </w:pPr>
            <w:r w:rsidRPr="00442496">
              <w:rPr>
                <w:lang w:val="en-GB"/>
              </w:rPr>
              <w:t>2.00</w:t>
            </w:r>
          </w:p>
        </w:tc>
        <w:tc>
          <w:tcPr>
            <w:tcW w:w="907" w:type="dxa"/>
            <w:shd w:val="clear" w:color="auto" w:fill="FFFFFF"/>
          </w:tcPr>
          <w:p w14:paraId="5C00D12C" w14:textId="77777777" w:rsidR="00F0184E" w:rsidRPr="00442496" w:rsidRDefault="00F0184E" w:rsidP="00F0184E">
            <w:pPr>
              <w:pStyle w:val="CETBodytext"/>
              <w:rPr>
                <w:lang w:val="en-GB"/>
              </w:rPr>
            </w:pPr>
          </w:p>
        </w:tc>
        <w:tc>
          <w:tcPr>
            <w:tcW w:w="907" w:type="dxa"/>
            <w:shd w:val="clear" w:color="auto" w:fill="FFFFFF"/>
          </w:tcPr>
          <w:p w14:paraId="3F923F61" w14:textId="580F3F6B" w:rsidR="00F0184E" w:rsidRPr="00442496" w:rsidRDefault="00F0184E" w:rsidP="00F0184E">
            <w:pPr>
              <w:pStyle w:val="CETBodytext"/>
              <w:rPr>
                <w:lang w:val="en-GB"/>
              </w:rPr>
            </w:pPr>
            <w:proofErr w:type="spellStart"/>
            <w:r w:rsidRPr="00442496">
              <w:rPr>
                <w:lang w:val="en-GB"/>
              </w:rPr>
              <w:t>Planas</w:t>
            </w:r>
            <w:proofErr w:type="spellEnd"/>
          </w:p>
        </w:tc>
        <w:tc>
          <w:tcPr>
            <w:tcW w:w="907" w:type="dxa"/>
            <w:shd w:val="clear" w:color="auto" w:fill="FFFFFF"/>
          </w:tcPr>
          <w:p w14:paraId="7128D556" w14:textId="706C1331" w:rsidR="00F0184E" w:rsidRPr="00442496" w:rsidRDefault="00F0184E" w:rsidP="00F0184E">
            <w:pPr>
              <w:pStyle w:val="CETBodytext"/>
              <w:rPr>
                <w:lang w:val="en-GB"/>
              </w:rPr>
            </w:pPr>
            <w:r w:rsidRPr="00442496">
              <w:rPr>
                <w:lang w:val="en-GB"/>
              </w:rPr>
              <w:t>0.40</w:t>
            </w:r>
          </w:p>
        </w:tc>
      </w:tr>
      <w:tr w:rsidR="00F0184E" w:rsidRPr="00442496" w14:paraId="39315987" w14:textId="6E9C6757" w:rsidTr="00BC676A">
        <w:trPr>
          <w:trHeight w:val="140"/>
        </w:trPr>
        <w:tc>
          <w:tcPr>
            <w:tcW w:w="1417" w:type="dxa"/>
            <w:shd w:val="clear" w:color="auto" w:fill="FFFFFF"/>
          </w:tcPr>
          <w:p w14:paraId="16996CC0" w14:textId="5702BAA5" w:rsidR="00F0184E" w:rsidRPr="00442496" w:rsidRDefault="00F0184E" w:rsidP="00F0184E">
            <w:pPr>
              <w:pStyle w:val="CETBodytext"/>
              <w:rPr>
                <w:lang w:val="en-GB"/>
              </w:rPr>
            </w:pPr>
            <w:r w:rsidRPr="00442496">
              <w:rPr>
                <w:rFonts w:cs="Arial"/>
                <w:szCs w:val="18"/>
                <w:lang w:val="en-GB"/>
              </w:rPr>
              <w:t>Birk</w:t>
            </w:r>
          </w:p>
        </w:tc>
        <w:tc>
          <w:tcPr>
            <w:tcW w:w="907" w:type="dxa"/>
            <w:shd w:val="clear" w:color="auto" w:fill="FFFFFF"/>
          </w:tcPr>
          <w:p w14:paraId="16EDBB26" w14:textId="1EBF3392" w:rsidR="00F0184E" w:rsidRPr="00442496" w:rsidRDefault="00F0184E" w:rsidP="00F0184E">
            <w:pPr>
              <w:pStyle w:val="CETBodytext"/>
              <w:rPr>
                <w:lang w:val="en-GB"/>
              </w:rPr>
            </w:pPr>
            <w:r w:rsidRPr="00442496">
              <w:rPr>
                <w:rFonts w:cs="Arial"/>
                <w:szCs w:val="18"/>
                <w:lang w:val="en-GB"/>
              </w:rPr>
              <w:t>2.00</w:t>
            </w:r>
          </w:p>
        </w:tc>
        <w:tc>
          <w:tcPr>
            <w:tcW w:w="907" w:type="dxa"/>
            <w:shd w:val="clear" w:color="auto" w:fill="FFFFFF"/>
          </w:tcPr>
          <w:p w14:paraId="2462A9BE" w14:textId="77777777" w:rsidR="00F0184E" w:rsidRPr="00442496" w:rsidRDefault="00F0184E" w:rsidP="00F0184E">
            <w:pPr>
              <w:pStyle w:val="CETBodytext"/>
              <w:rPr>
                <w:lang w:val="en-GB"/>
              </w:rPr>
            </w:pPr>
          </w:p>
        </w:tc>
        <w:tc>
          <w:tcPr>
            <w:tcW w:w="907" w:type="dxa"/>
            <w:shd w:val="clear" w:color="auto" w:fill="FFFFFF"/>
          </w:tcPr>
          <w:p w14:paraId="50E3CFD5" w14:textId="3245372E" w:rsidR="00F0184E" w:rsidRPr="00442496" w:rsidRDefault="00F0184E" w:rsidP="00F0184E">
            <w:pPr>
              <w:pStyle w:val="CETBodytext"/>
              <w:rPr>
                <w:lang w:val="en-GB"/>
              </w:rPr>
            </w:pPr>
            <w:r w:rsidRPr="00442496">
              <w:rPr>
                <w:lang w:val="en-GB"/>
              </w:rPr>
              <w:t>Genova</w:t>
            </w:r>
          </w:p>
        </w:tc>
        <w:tc>
          <w:tcPr>
            <w:tcW w:w="907" w:type="dxa"/>
            <w:shd w:val="clear" w:color="auto" w:fill="FFFFFF"/>
          </w:tcPr>
          <w:p w14:paraId="0135606E" w14:textId="45A94E0F" w:rsidR="00F0184E" w:rsidRPr="00442496" w:rsidRDefault="00F0184E" w:rsidP="00F0184E">
            <w:pPr>
              <w:pStyle w:val="CETBodytext"/>
              <w:rPr>
                <w:lang w:val="en-GB"/>
              </w:rPr>
            </w:pPr>
            <w:r w:rsidRPr="00442496">
              <w:rPr>
                <w:lang w:val="en-GB"/>
              </w:rPr>
              <w:t>0.07</w:t>
            </w:r>
          </w:p>
        </w:tc>
      </w:tr>
    </w:tbl>
    <w:p w14:paraId="764797ED" w14:textId="77777777" w:rsidR="00C92DB8" w:rsidRPr="00442496" w:rsidRDefault="00C92DB8" w:rsidP="00C92DB8">
      <w:pPr>
        <w:pStyle w:val="CETBodytext"/>
        <w:rPr>
          <w:lang w:val="en-GB"/>
        </w:rPr>
      </w:pPr>
    </w:p>
    <w:p w14:paraId="02B3620E" w14:textId="1E61BB83" w:rsidR="00EF2069" w:rsidRPr="00442496" w:rsidRDefault="009D3CF4" w:rsidP="00453E24">
      <w:pPr>
        <w:pStyle w:val="CETBodytext"/>
        <w:rPr>
          <w:lang w:val="en-GB"/>
        </w:rPr>
      </w:pPr>
      <w:r w:rsidRPr="00442496">
        <w:rPr>
          <w:lang w:val="en-GB"/>
        </w:rPr>
        <w:t xml:space="preserve">As previously mentioned, </w:t>
      </w:r>
      <w:r w:rsidR="001E2B71" w:rsidRPr="00442496">
        <w:rPr>
          <w:lang w:val="en-GB"/>
        </w:rPr>
        <w:t xml:space="preserve">fireball </w:t>
      </w:r>
      <w:r w:rsidR="00226D06" w:rsidRPr="00442496">
        <w:rPr>
          <w:lang w:val="en-GB"/>
        </w:rPr>
        <w:t>is</w:t>
      </w:r>
      <w:r w:rsidR="001E2B71" w:rsidRPr="00442496">
        <w:rPr>
          <w:lang w:val="en-GB"/>
        </w:rPr>
        <w:t xml:space="preserve"> one of the BLEVE consequences</w:t>
      </w:r>
      <w:r w:rsidR="00E54B1A" w:rsidRPr="00442496">
        <w:rPr>
          <w:lang w:val="en-GB"/>
        </w:rPr>
        <w:t xml:space="preserve"> in </w:t>
      </w:r>
      <w:r w:rsidR="00EC554B" w:rsidRPr="00442496">
        <w:rPr>
          <w:lang w:val="en-GB"/>
        </w:rPr>
        <w:t xml:space="preserve">the </w:t>
      </w:r>
      <w:r w:rsidR="00E54B1A" w:rsidRPr="00442496">
        <w:rPr>
          <w:lang w:val="en-GB"/>
        </w:rPr>
        <w:t>case of flammable substances</w:t>
      </w:r>
      <w:r w:rsidR="001E2B71" w:rsidRPr="00442496">
        <w:rPr>
          <w:lang w:val="en-GB"/>
        </w:rPr>
        <w:t xml:space="preserve">. </w:t>
      </w:r>
      <w:r w:rsidR="00973F60" w:rsidRPr="00442496">
        <w:rPr>
          <w:lang w:val="en-GB"/>
        </w:rPr>
        <w:t>Ustolin et al. (2020a)</w:t>
      </w:r>
      <w:r w:rsidR="006E4A5E" w:rsidRPr="00442496">
        <w:rPr>
          <w:lang w:val="en-GB"/>
        </w:rPr>
        <w:t xml:space="preserve"> </w:t>
      </w:r>
      <w:r w:rsidR="00226D06" w:rsidRPr="00442496">
        <w:rPr>
          <w:lang w:val="en-GB"/>
        </w:rPr>
        <w:t>employed</w:t>
      </w:r>
      <w:r w:rsidR="00902576" w:rsidRPr="00442496">
        <w:rPr>
          <w:lang w:val="en-GB"/>
        </w:rPr>
        <w:t xml:space="preserve"> the</w:t>
      </w:r>
      <w:r w:rsidR="00226D06" w:rsidRPr="00442496">
        <w:rPr>
          <w:lang w:val="en-GB"/>
        </w:rPr>
        <w:t xml:space="preserve"> abovementioned</w:t>
      </w:r>
      <w:r w:rsidR="00902576" w:rsidRPr="00442496">
        <w:rPr>
          <w:lang w:val="en-GB"/>
        </w:rPr>
        <w:t xml:space="preserve"> m</w:t>
      </w:r>
      <w:r w:rsidR="00226D06" w:rsidRPr="00442496">
        <w:rPr>
          <w:lang w:val="en-GB"/>
        </w:rPr>
        <w:t>odels</w:t>
      </w:r>
      <w:r w:rsidR="00902576" w:rsidRPr="00442496">
        <w:rPr>
          <w:lang w:val="en-GB"/>
        </w:rPr>
        <w:t xml:space="preserve"> to estimate the mechanical energy </w:t>
      </w:r>
      <w:r w:rsidR="008807ED" w:rsidRPr="00442496">
        <w:rPr>
          <w:lang w:val="en-GB"/>
        </w:rPr>
        <w:t xml:space="preserve">generated by the physical explosion (BLEVE) without considering the </w:t>
      </w:r>
      <w:r w:rsidRPr="00442496">
        <w:rPr>
          <w:lang w:val="en-GB"/>
        </w:rPr>
        <w:t>potential contribution of the combustion.</w:t>
      </w:r>
      <w:r w:rsidR="00833F52" w:rsidRPr="00442496">
        <w:rPr>
          <w:lang w:val="en-GB"/>
        </w:rPr>
        <w:t xml:space="preserve"> In this study, th</w:t>
      </w:r>
      <w:r w:rsidR="005732BA" w:rsidRPr="00442496">
        <w:rPr>
          <w:lang w:val="en-GB"/>
        </w:rPr>
        <w:t>e</w:t>
      </w:r>
      <w:r w:rsidR="00833F52" w:rsidRPr="00442496">
        <w:rPr>
          <w:lang w:val="en-GB"/>
        </w:rPr>
        <w:t xml:space="preserve"> </w:t>
      </w:r>
      <w:r w:rsidR="005732BA" w:rsidRPr="00442496">
        <w:rPr>
          <w:lang w:val="en-GB"/>
        </w:rPr>
        <w:t xml:space="preserve">chemical energy </w:t>
      </w:r>
      <w:r w:rsidR="00833F52" w:rsidRPr="00442496">
        <w:rPr>
          <w:lang w:val="en-GB"/>
        </w:rPr>
        <w:t xml:space="preserve">contribution </w:t>
      </w:r>
      <w:r w:rsidR="00341909" w:rsidRPr="00442496">
        <w:rPr>
          <w:lang w:val="en-GB"/>
        </w:rPr>
        <w:t xml:space="preserve">to the explosion energy </w:t>
      </w:r>
      <w:r w:rsidR="00A62D06" w:rsidRPr="00442496">
        <w:rPr>
          <w:lang w:val="en-GB"/>
        </w:rPr>
        <w:t>is</w:t>
      </w:r>
      <w:r w:rsidR="00833F52" w:rsidRPr="00442496">
        <w:rPr>
          <w:lang w:val="en-GB"/>
        </w:rPr>
        <w:t xml:space="preserve"> considered by following the methodology proposed by </w:t>
      </w:r>
      <w:r w:rsidR="007633EC" w:rsidRPr="00442496">
        <w:rPr>
          <w:lang w:val="en-GB"/>
        </w:rPr>
        <w:t xml:space="preserve">Molkov and </w:t>
      </w:r>
      <w:proofErr w:type="spellStart"/>
      <w:r w:rsidR="007633EC" w:rsidRPr="00442496">
        <w:rPr>
          <w:lang w:val="en-GB"/>
        </w:rPr>
        <w:t>Kashkarov</w:t>
      </w:r>
      <w:proofErr w:type="spellEnd"/>
      <w:r w:rsidR="007633EC" w:rsidRPr="00442496">
        <w:rPr>
          <w:lang w:val="en-GB"/>
        </w:rPr>
        <w:t xml:space="preserve"> (2015).</w:t>
      </w:r>
      <w:r w:rsidR="00EF43B2" w:rsidRPr="00442496">
        <w:rPr>
          <w:lang w:val="en-GB"/>
        </w:rPr>
        <w:t xml:space="preserve"> </w:t>
      </w:r>
      <w:proofErr w:type="gramStart"/>
      <w:r w:rsidR="00AB11ED" w:rsidRPr="00442496">
        <w:rPr>
          <w:lang w:val="en-GB"/>
        </w:rPr>
        <w:t>In particular, the</w:t>
      </w:r>
      <w:r w:rsidR="00520AC0" w:rsidRPr="00442496">
        <w:rPr>
          <w:lang w:val="en-GB"/>
        </w:rPr>
        <w:t>se</w:t>
      </w:r>
      <w:proofErr w:type="gramEnd"/>
      <w:r w:rsidR="00520AC0" w:rsidRPr="00442496">
        <w:rPr>
          <w:lang w:val="en-GB"/>
        </w:rPr>
        <w:t xml:space="preserve"> authors</w:t>
      </w:r>
      <w:r w:rsidR="00AB11ED" w:rsidRPr="00442496">
        <w:rPr>
          <w:lang w:val="en-GB"/>
        </w:rPr>
        <w:t xml:space="preserve"> </w:t>
      </w:r>
      <w:r w:rsidR="005044A2" w:rsidRPr="00442496">
        <w:rPr>
          <w:lang w:val="en-GB"/>
        </w:rPr>
        <w:t xml:space="preserve">accounted for the combustion process by adding the </w:t>
      </w:r>
      <w:r w:rsidR="00DA607C" w:rsidRPr="00442496">
        <w:rPr>
          <w:lang w:val="en-GB"/>
        </w:rPr>
        <w:t xml:space="preserve">chemical energy </w:t>
      </w:r>
      <w:r w:rsidR="00CB1465" w:rsidRPr="00442496">
        <w:rPr>
          <w:lang w:val="en-GB"/>
        </w:rPr>
        <w:t xml:space="preserve">contribution to the physical one. </w:t>
      </w:r>
      <w:r w:rsidR="00DF39AA" w:rsidRPr="00442496">
        <w:rPr>
          <w:lang w:val="en-GB"/>
        </w:rPr>
        <w:t xml:space="preserve">This method was </w:t>
      </w:r>
      <w:r w:rsidR="004B3D89" w:rsidRPr="00442496">
        <w:rPr>
          <w:lang w:val="en-GB"/>
        </w:rPr>
        <w:t>applied to the explosion of high-pressure gaseous hydrogen tank</w:t>
      </w:r>
      <w:r w:rsidR="00405113" w:rsidRPr="00442496">
        <w:rPr>
          <w:lang w:val="en-GB"/>
        </w:rPr>
        <w:t>s</w:t>
      </w:r>
      <w:r w:rsidR="004B3D89" w:rsidRPr="00442496">
        <w:rPr>
          <w:lang w:val="en-GB"/>
        </w:rPr>
        <w:t xml:space="preserve"> explosion</w:t>
      </w:r>
      <w:r w:rsidR="00986A34" w:rsidRPr="00442496">
        <w:rPr>
          <w:lang w:val="en-GB"/>
        </w:rPr>
        <w:t xml:space="preserve"> and validated with experimental </w:t>
      </w:r>
      <w:r w:rsidR="00405113" w:rsidRPr="00442496">
        <w:rPr>
          <w:lang w:val="en-GB"/>
        </w:rPr>
        <w:t>results</w:t>
      </w:r>
      <w:r w:rsidR="00986A34" w:rsidRPr="00442496">
        <w:rPr>
          <w:lang w:val="en-GB"/>
        </w:rPr>
        <w:t xml:space="preserve">. </w:t>
      </w:r>
      <w:r w:rsidR="002B6BF9" w:rsidRPr="00442496">
        <w:rPr>
          <w:lang w:val="en-GB"/>
        </w:rPr>
        <w:t xml:space="preserve">The chemical </w:t>
      </w:r>
      <w:r w:rsidR="00C86961" w:rsidRPr="00442496">
        <w:rPr>
          <w:lang w:val="en-GB"/>
        </w:rPr>
        <w:t xml:space="preserve">energy </w:t>
      </w:r>
      <w:r w:rsidR="002B6BF9" w:rsidRPr="00442496">
        <w:rPr>
          <w:lang w:val="en-GB"/>
        </w:rPr>
        <w:t xml:space="preserve">contribution </w:t>
      </w:r>
      <w:r w:rsidR="00BD110A" w:rsidRPr="00442496">
        <w:rPr>
          <w:lang w:val="en-GB"/>
        </w:rPr>
        <w:t>(</w:t>
      </w:r>
      <w:proofErr w:type="spellStart"/>
      <w:r w:rsidR="00BD110A" w:rsidRPr="00442496">
        <w:rPr>
          <w:lang w:val="en-GB"/>
        </w:rPr>
        <w:t>E</w:t>
      </w:r>
      <w:r w:rsidR="00BD110A" w:rsidRPr="00442496">
        <w:rPr>
          <w:vertAlign w:val="subscript"/>
          <w:lang w:val="en-GB"/>
        </w:rPr>
        <w:t>ch</w:t>
      </w:r>
      <w:proofErr w:type="spellEnd"/>
      <w:r w:rsidR="00BD110A" w:rsidRPr="00442496">
        <w:rPr>
          <w:lang w:val="en-GB"/>
        </w:rPr>
        <w:t xml:space="preserve">) </w:t>
      </w:r>
      <w:r w:rsidR="002B6BF9" w:rsidRPr="00442496">
        <w:rPr>
          <w:lang w:val="en-GB"/>
        </w:rPr>
        <w:t>was</w:t>
      </w:r>
      <w:r w:rsidR="0023060A" w:rsidRPr="00442496">
        <w:rPr>
          <w:lang w:val="en-GB"/>
        </w:rPr>
        <w:t xml:space="preserve"> estimated with</w:t>
      </w:r>
      <w:r w:rsidR="002B6BF9" w:rsidRPr="00442496">
        <w:rPr>
          <w:lang w:val="en-GB"/>
        </w:rPr>
        <w:t xml:space="preserve"> </w:t>
      </w:r>
      <w:proofErr w:type="spellStart"/>
      <w:proofErr w:type="gramStart"/>
      <w:r w:rsidR="002B6BF9" w:rsidRPr="00442496">
        <w:rPr>
          <w:lang w:val="en-GB"/>
        </w:rPr>
        <w:t>Eq</w:t>
      </w:r>
      <w:proofErr w:type="spellEnd"/>
      <w:r w:rsidR="002B6BF9" w:rsidRPr="00442496">
        <w:rPr>
          <w:lang w:val="en-GB"/>
        </w:rPr>
        <w:t>(</w:t>
      </w:r>
      <w:proofErr w:type="gramEnd"/>
      <w:r w:rsidR="002B6BF9" w:rsidRPr="00442496">
        <w:rPr>
          <w:lang w:val="en-GB"/>
        </w:rPr>
        <w:t>1)</w:t>
      </w:r>
      <w:r w:rsidR="0023060A" w:rsidRPr="00442496">
        <w:rPr>
          <w:lang w:val="en-GB"/>
        </w:rPr>
        <w:t>:</w:t>
      </w:r>
    </w:p>
    <w:tbl>
      <w:tblPr>
        <w:tblW w:w="5000" w:type="pct"/>
        <w:tblLook w:val="04A0" w:firstRow="1" w:lastRow="0" w:firstColumn="1" w:lastColumn="0" w:noHBand="0" w:noVBand="1"/>
      </w:tblPr>
      <w:tblGrid>
        <w:gridCol w:w="7982"/>
        <w:gridCol w:w="805"/>
      </w:tblGrid>
      <w:tr w:rsidR="002B6BF9" w:rsidRPr="00442496" w14:paraId="0CE6A895" w14:textId="77777777" w:rsidTr="003921ED">
        <w:tc>
          <w:tcPr>
            <w:tcW w:w="8188" w:type="dxa"/>
            <w:shd w:val="clear" w:color="auto" w:fill="auto"/>
            <w:vAlign w:val="center"/>
          </w:tcPr>
          <w:p w14:paraId="46992D8B" w14:textId="74D7C327" w:rsidR="002B6BF9" w:rsidRPr="00442496" w:rsidRDefault="00DB2594" w:rsidP="003921ED">
            <w:pPr>
              <w:pStyle w:val="CETEquation"/>
            </w:pPr>
            <m:oMath>
              <m:sSub>
                <m:sSubPr>
                  <m:ctrlPr>
                    <w:rPr>
                      <w:rFonts w:ascii="Cambria Math" w:hAnsi="Cambria Math"/>
                      <w:i/>
                    </w:rPr>
                  </m:ctrlPr>
                </m:sSubPr>
                <m:e>
                  <m:r>
                    <w:rPr>
                      <w:rFonts w:ascii="Cambria Math" w:hAnsi="Cambria Math"/>
                    </w:rPr>
                    <m:t>E</m:t>
                  </m:r>
                </m:e>
                <m:sub>
                  <m:r>
                    <w:rPr>
                      <w:rFonts w:ascii="Cambria Math" w:hAnsi="Cambria Math"/>
                    </w:rPr>
                    <m:t>ch</m:t>
                  </m:r>
                </m:sub>
              </m:sSub>
              <m:r>
                <w:rPr>
                  <w:rFonts w:ascii="Cambria Math" w:hAnsi="Cambria Math"/>
                </w:rPr>
                <m:t>=β∙</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sh</m:t>
                              </m:r>
                            </m:sub>
                          </m:sSub>
                        </m:num>
                        <m:den>
                          <m:sSub>
                            <m:sSubPr>
                              <m:ctrlPr>
                                <w:rPr>
                                  <w:rFonts w:ascii="Cambria Math" w:hAnsi="Cambria Math"/>
                                  <w:i/>
                                </w:rPr>
                              </m:ctrlPr>
                            </m:sSubPr>
                            <m:e>
                              <m:r>
                                <w:rPr>
                                  <w:rFonts w:ascii="Cambria Math" w:hAnsi="Cambria Math"/>
                                </w:rPr>
                                <m:t>r</m:t>
                              </m:r>
                            </m:e>
                            <m:sub>
                              <m:r>
                                <w:rPr>
                                  <w:rFonts w:ascii="Cambria Math" w:hAnsi="Cambria Math"/>
                                </w:rPr>
                                <m:t>b</m:t>
                              </m:r>
                            </m:sub>
                          </m:sSub>
                        </m:den>
                      </m:f>
                    </m:e>
                  </m:d>
                </m:e>
                <m:sup>
                  <m:r>
                    <w:rPr>
                      <w:rFonts w:ascii="Cambria Math" w:hAnsi="Cambria Math"/>
                    </w:rPr>
                    <m:t>3</m:t>
                  </m:r>
                </m:sup>
              </m:sSup>
              <m:r>
                <w:rPr>
                  <w:rFonts w:ascii="Cambria Math" w:hAnsi="Cambria Math"/>
                </w:rPr>
                <m:t>∙LHV</m:t>
              </m:r>
            </m:oMath>
            <w:r w:rsidR="00767CD2" w:rsidRPr="00442496">
              <w:t xml:space="preserve"> </w:t>
            </w:r>
          </w:p>
        </w:tc>
        <w:tc>
          <w:tcPr>
            <w:tcW w:w="815" w:type="dxa"/>
            <w:shd w:val="clear" w:color="auto" w:fill="auto"/>
            <w:vAlign w:val="center"/>
          </w:tcPr>
          <w:p w14:paraId="7D750250" w14:textId="77777777" w:rsidR="002B6BF9" w:rsidRPr="00442496" w:rsidRDefault="002B6BF9" w:rsidP="003921ED">
            <w:pPr>
              <w:pStyle w:val="CETEquation"/>
              <w:jc w:val="right"/>
            </w:pPr>
            <w:r w:rsidRPr="00442496">
              <w:t>(1)</w:t>
            </w:r>
          </w:p>
        </w:tc>
      </w:tr>
    </w:tbl>
    <w:p w14:paraId="435C43CB" w14:textId="658D20B7" w:rsidR="00A1747F" w:rsidRPr="00442496" w:rsidRDefault="00786C19" w:rsidP="00A16019">
      <w:pPr>
        <w:pStyle w:val="CETBodytext"/>
        <w:rPr>
          <w:lang w:val="en-GB"/>
        </w:rPr>
      </w:pPr>
      <w:r w:rsidRPr="00442496">
        <w:rPr>
          <w:lang w:val="en-GB"/>
        </w:rPr>
        <w:t>where</w:t>
      </w:r>
      <w:r w:rsidR="00767CD2" w:rsidRPr="00442496">
        <w:rPr>
          <w:lang w:val="en-GB"/>
        </w:rPr>
        <w:t xml:space="preserve"> </w:t>
      </w:r>
      <w:r w:rsidR="00767CD2" w:rsidRPr="00442496">
        <w:rPr>
          <w:rFonts w:cs="Arial"/>
          <w:lang w:val="en-GB"/>
        </w:rPr>
        <w:t>β</w:t>
      </w:r>
      <w:r w:rsidR="00767CD2" w:rsidRPr="00442496">
        <w:rPr>
          <w:lang w:val="en-GB"/>
        </w:rPr>
        <w:t xml:space="preserve"> is </w:t>
      </w:r>
      <w:r w:rsidR="006A01F7" w:rsidRPr="00442496">
        <w:rPr>
          <w:lang w:val="en-GB"/>
        </w:rPr>
        <w:t xml:space="preserve">the chemical energy coefficient (0.052 for compressed gaseous hydrogen (Molkov and </w:t>
      </w:r>
      <w:proofErr w:type="spellStart"/>
      <w:r w:rsidR="006A01F7" w:rsidRPr="00442496">
        <w:rPr>
          <w:lang w:val="en-GB"/>
        </w:rPr>
        <w:t>Kashkarov</w:t>
      </w:r>
      <w:proofErr w:type="spellEnd"/>
      <w:r w:rsidR="006A01F7" w:rsidRPr="00442496">
        <w:rPr>
          <w:lang w:val="en-GB"/>
        </w:rPr>
        <w:t>, 2015))</w:t>
      </w:r>
      <w:r w:rsidR="001115E7" w:rsidRPr="00442496">
        <w:rPr>
          <w:lang w:val="en-GB"/>
        </w:rPr>
        <w:t xml:space="preserve">, </w:t>
      </w:r>
      <w:proofErr w:type="spellStart"/>
      <w:r w:rsidR="001115E7" w:rsidRPr="00442496">
        <w:rPr>
          <w:lang w:val="en-GB"/>
        </w:rPr>
        <w:t>r</w:t>
      </w:r>
      <w:r w:rsidR="001115E7" w:rsidRPr="00442496">
        <w:rPr>
          <w:vertAlign w:val="subscript"/>
          <w:lang w:val="en-GB"/>
        </w:rPr>
        <w:t>sh</w:t>
      </w:r>
      <w:proofErr w:type="spellEnd"/>
      <w:r w:rsidR="001115E7" w:rsidRPr="00442496">
        <w:rPr>
          <w:lang w:val="en-GB"/>
        </w:rPr>
        <w:t xml:space="preserve"> and </w:t>
      </w:r>
      <w:proofErr w:type="spellStart"/>
      <w:r w:rsidR="001115E7" w:rsidRPr="00442496">
        <w:rPr>
          <w:lang w:val="en-GB"/>
        </w:rPr>
        <w:t>r</w:t>
      </w:r>
      <w:r w:rsidR="001115E7" w:rsidRPr="00442496">
        <w:rPr>
          <w:vertAlign w:val="subscript"/>
          <w:lang w:val="en-GB"/>
        </w:rPr>
        <w:t>b</w:t>
      </w:r>
      <w:proofErr w:type="spellEnd"/>
      <w:r w:rsidR="001115E7" w:rsidRPr="00442496">
        <w:rPr>
          <w:lang w:val="en-GB"/>
        </w:rPr>
        <w:t xml:space="preserve"> are the</w:t>
      </w:r>
      <w:r w:rsidR="00A16019" w:rsidRPr="00442496">
        <w:rPr>
          <w:lang w:val="en-GB"/>
        </w:rPr>
        <w:t xml:space="preserve"> radi</w:t>
      </w:r>
      <w:r w:rsidR="00CF63BF" w:rsidRPr="00442496">
        <w:rPr>
          <w:lang w:val="en-GB"/>
        </w:rPr>
        <w:t>i</w:t>
      </w:r>
      <w:r w:rsidR="00A16019" w:rsidRPr="00442496">
        <w:rPr>
          <w:lang w:val="en-GB"/>
        </w:rPr>
        <w:t xml:space="preserve"> of the</w:t>
      </w:r>
      <w:r w:rsidR="001115E7" w:rsidRPr="00442496">
        <w:rPr>
          <w:lang w:val="en-GB"/>
        </w:rPr>
        <w:t xml:space="preserve"> </w:t>
      </w:r>
      <w:r w:rsidR="00A16019" w:rsidRPr="00442496">
        <w:rPr>
          <w:lang w:val="en-GB"/>
        </w:rPr>
        <w:t xml:space="preserve">hemispheres where the turbulent non-premixed combustion </w:t>
      </w:r>
      <w:r w:rsidR="00CB1281" w:rsidRPr="00442496">
        <w:rPr>
          <w:lang w:val="en-GB"/>
        </w:rPr>
        <w:t>occurs</w:t>
      </w:r>
      <w:r w:rsidR="00A16019" w:rsidRPr="00442496">
        <w:rPr>
          <w:lang w:val="en-GB"/>
        </w:rPr>
        <w:t xml:space="preserve"> and the chemical energy is released </w:t>
      </w:r>
      <w:r w:rsidR="00667B29" w:rsidRPr="00442496">
        <w:rPr>
          <w:lang w:val="en-GB"/>
        </w:rPr>
        <w:t xml:space="preserve">and the </w:t>
      </w:r>
      <w:r w:rsidR="00344820" w:rsidRPr="00442496">
        <w:rPr>
          <w:lang w:val="en-GB"/>
        </w:rPr>
        <w:t xml:space="preserve">hemisphere </w:t>
      </w:r>
      <w:r w:rsidR="005C311A" w:rsidRPr="00442496">
        <w:rPr>
          <w:lang w:val="en-GB"/>
        </w:rPr>
        <w:t>potentially</w:t>
      </w:r>
      <w:r w:rsidR="00344820" w:rsidRPr="00442496">
        <w:rPr>
          <w:lang w:val="en-GB"/>
        </w:rPr>
        <w:t xml:space="preserve"> occupied by </w:t>
      </w:r>
      <w:r w:rsidR="005C311A" w:rsidRPr="00442496">
        <w:rPr>
          <w:lang w:val="en-GB"/>
        </w:rPr>
        <w:t xml:space="preserve">the </w:t>
      </w:r>
      <w:r w:rsidR="00344820" w:rsidRPr="00442496">
        <w:rPr>
          <w:lang w:val="en-GB"/>
        </w:rPr>
        <w:t>combustion products</w:t>
      </w:r>
      <w:r w:rsidR="005C311A" w:rsidRPr="00442496">
        <w:rPr>
          <w:lang w:val="en-GB"/>
        </w:rPr>
        <w:t xml:space="preserve"> in m, respectively, and LHV stands for lower heating value </w:t>
      </w:r>
      <w:r w:rsidR="00514E7B" w:rsidRPr="00442496">
        <w:rPr>
          <w:lang w:val="en-GB"/>
        </w:rPr>
        <w:t>(</w:t>
      </w:r>
      <w:r w:rsidR="005C311A" w:rsidRPr="00442496">
        <w:rPr>
          <w:lang w:val="en-GB"/>
        </w:rPr>
        <w:t>1</w:t>
      </w:r>
      <w:r w:rsidR="00C960AC" w:rsidRPr="00442496">
        <w:rPr>
          <w:lang w:val="en-GB"/>
        </w:rPr>
        <w:t>19.96</w:t>
      </w:r>
      <w:r w:rsidR="005C311A" w:rsidRPr="00442496">
        <w:rPr>
          <w:lang w:val="en-GB"/>
        </w:rPr>
        <w:t xml:space="preserve"> MJ kg</w:t>
      </w:r>
      <w:r w:rsidR="005C311A" w:rsidRPr="00442496">
        <w:rPr>
          <w:vertAlign w:val="superscript"/>
          <w:lang w:val="en-GB"/>
        </w:rPr>
        <w:t>-1</w:t>
      </w:r>
      <w:r w:rsidR="005C311A" w:rsidRPr="00442496">
        <w:rPr>
          <w:lang w:val="en-GB"/>
        </w:rPr>
        <w:t xml:space="preserve"> </w:t>
      </w:r>
      <w:r w:rsidR="00514E7B" w:rsidRPr="00442496">
        <w:rPr>
          <w:lang w:val="en-GB"/>
        </w:rPr>
        <w:t xml:space="preserve">for hydrogen </w:t>
      </w:r>
      <w:r w:rsidR="005C311A" w:rsidRPr="00442496">
        <w:rPr>
          <w:lang w:val="en-GB"/>
        </w:rPr>
        <w:t>(</w:t>
      </w:r>
      <w:r w:rsidR="00462048" w:rsidRPr="00442496">
        <w:rPr>
          <w:lang w:val="en-GB"/>
        </w:rPr>
        <w:t>McAllister et al.</w:t>
      </w:r>
      <w:r w:rsidR="00C3393C" w:rsidRPr="00442496">
        <w:rPr>
          <w:lang w:val="en-GB"/>
        </w:rPr>
        <w:t>, 2011</w:t>
      </w:r>
      <w:r w:rsidR="005C311A" w:rsidRPr="00442496">
        <w:rPr>
          <w:lang w:val="en-GB"/>
        </w:rPr>
        <w:t>)</w:t>
      </w:r>
      <w:r w:rsidR="00514E7B" w:rsidRPr="00442496">
        <w:rPr>
          <w:lang w:val="en-GB"/>
        </w:rPr>
        <w:t>)</w:t>
      </w:r>
      <w:r w:rsidR="005C311A" w:rsidRPr="00442496">
        <w:rPr>
          <w:lang w:val="en-GB"/>
        </w:rPr>
        <w:t>.</w:t>
      </w:r>
      <w:r w:rsidR="00D70DE1" w:rsidRPr="00442496">
        <w:rPr>
          <w:lang w:val="en-GB"/>
        </w:rPr>
        <w:t xml:space="preserve"> The parameter </w:t>
      </w:r>
      <w:proofErr w:type="spellStart"/>
      <w:r w:rsidR="00D70DE1" w:rsidRPr="00442496">
        <w:rPr>
          <w:lang w:val="en-GB"/>
        </w:rPr>
        <w:t>r</w:t>
      </w:r>
      <w:r w:rsidR="00D70DE1" w:rsidRPr="00442496">
        <w:rPr>
          <w:vertAlign w:val="subscript"/>
          <w:lang w:val="en-GB"/>
        </w:rPr>
        <w:t>b</w:t>
      </w:r>
      <w:proofErr w:type="spellEnd"/>
      <w:r w:rsidR="00D70DE1" w:rsidRPr="00442496">
        <w:rPr>
          <w:lang w:val="en-GB"/>
        </w:rPr>
        <w:t xml:space="preserve"> can be calculated with </w:t>
      </w:r>
      <w:proofErr w:type="spellStart"/>
      <w:proofErr w:type="gramStart"/>
      <w:r w:rsidR="00D70DE1" w:rsidRPr="00442496">
        <w:rPr>
          <w:lang w:val="en-GB"/>
        </w:rPr>
        <w:t>Eq</w:t>
      </w:r>
      <w:proofErr w:type="spellEnd"/>
      <w:r w:rsidR="00D70DE1" w:rsidRPr="00442496">
        <w:rPr>
          <w:lang w:val="en-GB"/>
        </w:rPr>
        <w:t>(</w:t>
      </w:r>
      <w:proofErr w:type="gramEnd"/>
      <w:r w:rsidR="00D70DE1" w:rsidRPr="00442496">
        <w:rPr>
          <w:lang w:val="en-GB"/>
        </w:rPr>
        <w:t>2):</w:t>
      </w:r>
    </w:p>
    <w:tbl>
      <w:tblPr>
        <w:tblW w:w="5000" w:type="pct"/>
        <w:tblLook w:val="04A0" w:firstRow="1" w:lastRow="0" w:firstColumn="1" w:lastColumn="0" w:noHBand="0" w:noVBand="1"/>
      </w:tblPr>
      <w:tblGrid>
        <w:gridCol w:w="7983"/>
        <w:gridCol w:w="804"/>
      </w:tblGrid>
      <w:tr w:rsidR="00786C19" w:rsidRPr="00442496" w14:paraId="0B634BBA" w14:textId="77777777" w:rsidTr="003921ED">
        <w:tc>
          <w:tcPr>
            <w:tcW w:w="8188" w:type="dxa"/>
            <w:shd w:val="clear" w:color="auto" w:fill="auto"/>
            <w:vAlign w:val="center"/>
          </w:tcPr>
          <w:p w14:paraId="1B3820B4" w14:textId="5ED9E3F9" w:rsidR="00786C19" w:rsidRPr="00442496" w:rsidRDefault="00DB2594" w:rsidP="003921ED">
            <w:pPr>
              <w:pStyle w:val="CETEquation"/>
            </w:pP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V</m:t>
                              </m:r>
                            </m:e>
                            <m:sub>
                              <m:r>
                                <w:rPr>
                                  <w:rFonts w:ascii="Cambria Math" w:hAnsi="Cambria Math"/>
                                </w:rPr>
                                <m:t>b</m:t>
                              </m:r>
                            </m:sub>
                          </m:sSub>
                        </m:num>
                        <m:den>
                          <m:r>
                            <w:rPr>
                              <w:rFonts w:ascii="Cambria Math" w:hAnsi="Cambria Math"/>
                            </w:rPr>
                            <m:t>2∙π</m:t>
                          </m:r>
                        </m:den>
                      </m:f>
                    </m:e>
                  </m:d>
                </m:e>
                <m:sup>
                  <m:r>
                    <w:rPr>
                      <w:rFonts w:ascii="Cambria Math" w:hAnsi="Cambria Math"/>
                    </w:rPr>
                    <m:t>1/3</m:t>
                  </m:r>
                </m:sup>
              </m:sSup>
            </m:oMath>
            <w:r w:rsidR="00786C19" w:rsidRPr="00442496">
              <w:t xml:space="preserve"> </w:t>
            </w:r>
          </w:p>
        </w:tc>
        <w:tc>
          <w:tcPr>
            <w:tcW w:w="815" w:type="dxa"/>
            <w:shd w:val="clear" w:color="auto" w:fill="auto"/>
            <w:vAlign w:val="center"/>
          </w:tcPr>
          <w:p w14:paraId="534B50B0" w14:textId="7E1D1DDB" w:rsidR="00786C19" w:rsidRPr="00442496" w:rsidRDefault="00786C19" w:rsidP="003921ED">
            <w:pPr>
              <w:pStyle w:val="CETEquation"/>
              <w:jc w:val="right"/>
            </w:pPr>
            <w:r w:rsidRPr="00442496">
              <w:t>(</w:t>
            </w:r>
            <w:r w:rsidR="00D70DE1" w:rsidRPr="00442496">
              <w:t>2</w:t>
            </w:r>
            <w:r w:rsidRPr="00442496">
              <w:t>)</w:t>
            </w:r>
          </w:p>
        </w:tc>
      </w:tr>
    </w:tbl>
    <w:p w14:paraId="61408831" w14:textId="3A173D4B" w:rsidR="007614DF" w:rsidRPr="00442496" w:rsidRDefault="00D70DE1" w:rsidP="008367CE">
      <w:pPr>
        <w:pStyle w:val="CETBodytext"/>
        <w:rPr>
          <w:lang w:val="en-GB"/>
        </w:rPr>
      </w:pPr>
      <w:r w:rsidRPr="00442496">
        <w:rPr>
          <w:lang w:val="en-GB"/>
        </w:rPr>
        <w:t>where</w:t>
      </w:r>
      <w:r w:rsidR="005D4467" w:rsidRPr="00442496">
        <w:rPr>
          <w:lang w:val="en-GB"/>
        </w:rPr>
        <w:t xml:space="preserve"> </w:t>
      </w:r>
      <w:proofErr w:type="spellStart"/>
      <w:r w:rsidR="005D4467" w:rsidRPr="00442496">
        <w:rPr>
          <w:lang w:val="en-GB"/>
        </w:rPr>
        <w:t>V</w:t>
      </w:r>
      <w:r w:rsidR="005D4467" w:rsidRPr="00442496">
        <w:rPr>
          <w:vertAlign w:val="subscript"/>
          <w:lang w:val="en-GB"/>
        </w:rPr>
        <w:t>b</w:t>
      </w:r>
      <w:proofErr w:type="spellEnd"/>
      <w:r w:rsidR="005D4467" w:rsidRPr="00442496">
        <w:rPr>
          <w:lang w:val="en-GB"/>
        </w:rPr>
        <w:t xml:space="preserve"> is the </w:t>
      </w:r>
      <w:r w:rsidR="008367CE" w:rsidRPr="00442496">
        <w:rPr>
          <w:lang w:val="en-GB"/>
        </w:rPr>
        <w:t xml:space="preserve">volume of the hemisphere </w:t>
      </w:r>
      <w:r w:rsidR="00274D5F" w:rsidRPr="00442496">
        <w:rPr>
          <w:lang w:val="en-GB"/>
        </w:rPr>
        <w:t>potentially</w:t>
      </w:r>
      <w:r w:rsidR="008367CE" w:rsidRPr="00442496">
        <w:rPr>
          <w:lang w:val="en-GB"/>
        </w:rPr>
        <w:t xml:space="preserve"> occupied by</w:t>
      </w:r>
      <w:r w:rsidR="00274D5F" w:rsidRPr="00442496">
        <w:rPr>
          <w:lang w:val="en-GB"/>
        </w:rPr>
        <w:t xml:space="preserve"> the complete combustion</w:t>
      </w:r>
      <w:r w:rsidR="008367CE" w:rsidRPr="00442496">
        <w:rPr>
          <w:lang w:val="en-GB"/>
        </w:rPr>
        <w:t xml:space="preserve"> products </w:t>
      </w:r>
      <w:r w:rsidR="00274D5F" w:rsidRPr="00442496">
        <w:rPr>
          <w:lang w:val="en-GB"/>
        </w:rPr>
        <w:t>o</w:t>
      </w:r>
      <w:r w:rsidR="008367CE" w:rsidRPr="00442496">
        <w:rPr>
          <w:lang w:val="en-GB"/>
        </w:rPr>
        <w:t xml:space="preserve">f </w:t>
      </w:r>
      <w:r w:rsidR="00ED742E" w:rsidRPr="00442496">
        <w:rPr>
          <w:lang w:val="en-GB"/>
        </w:rPr>
        <w:t xml:space="preserve">air and </w:t>
      </w:r>
      <w:r w:rsidR="008367CE" w:rsidRPr="00442496">
        <w:rPr>
          <w:lang w:val="en-GB"/>
        </w:rPr>
        <w:t xml:space="preserve">hydrogen released from </w:t>
      </w:r>
      <w:r w:rsidR="00ED742E" w:rsidRPr="00442496">
        <w:rPr>
          <w:lang w:val="en-GB"/>
        </w:rPr>
        <w:t>the</w:t>
      </w:r>
      <w:r w:rsidR="008367CE" w:rsidRPr="00442496">
        <w:rPr>
          <w:lang w:val="en-GB"/>
        </w:rPr>
        <w:t xml:space="preserve"> vessel</w:t>
      </w:r>
      <w:r w:rsidR="00ED742E" w:rsidRPr="00442496">
        <w:rPr>
          <w:lang w:val="en-GB"/>
        </w:rPr>
        <w:t xml:space="preserve"> in m</w:t>
      </w:r>
      <w:r w:rsidR="00ED742E" w:rsidRPr="00442496">
        <w:rPr>
          <w:vertAlign w:val="superscript"/>
          <w:lang w:val="en-GB"/>
        </w:rPr>
        <w:t>3</w:t>
      </w:r>
      <w:r w:rsidR="00ED742E" w:rsidRPr="00442496">
        <w:rPr>
          <w:lang w:val="en-GB"/>
        </w:rPr>
        <w:t xml:space="preserve"> estimated with </w:t>
      </w:r>
      <w:proofErr w:type="spellStart"/>
      <w:proofErr w:type="gramStart"/>
      <w:r w:rsidR="00ED742E" w:rsidRPr="00442496">
        <w:rPr>
          <w:lang w:val="en-GB"/>
        </w:rPr>
        <w:t>Eq</w:t>
      </w:r>
      <w:proofErr w:type="spellEnd"/>
      <w:r w:rsidR="00ED742E" w:rsidRPr="00442496">
        <w:rPr>
          <w:lang w:val="en-GB"/>
        </w:rPr>
        <w:t>(</w:t>
      </w:r>
      <w:proofErr w:type="gramEnd"/>
      <w:r w:rsidR="00ED742E" w:rsidRPr="00442496">
        <w:rPr>
          <w:lang w:val="en-GB"/>
        </w:rPr>
        <w:t>3)</w:t>
      </w:r>
      <w:r w:rsidR="00752FBF" w:rsidRPr="00442496">
        <w:rPr>
          <w:lang w:val="en-GB"/>
        </w:rPr>
        <w:t>:</w:t>
      </w:r>
    </w:p>
    <w:tbl>
      <w:tblPr>
        <w:tblW w:w="5000" w:type="pct"/>
        <w:tblLook w:val="04A0" w:firstRow="1" w:lastRow="0" w:firstColumn="1" w:lastColumn="0" w:noHBand="0" w:noVBand="1"/>
      </w:tblPr>
      <w:tblGrid>
        <w:gridCol w:w="7982"/>
        <w:gridCol w:w="805"/>
      </w:tblGrid>
      <w:tr w:rsidR="00752FBF" w:rsidRPr="00442496" w14:paraId="51F75844" w14:textId="77777777" w:rsidTr="003921ED">
        <w:tc>
          <w:tcPr>
            <w:tcW w:w="8188" w:type="dxa"/>
            <w:shd w:val="clear" w:color="auto" w:fill="auto"/>
            <w:vAlign w:val="center"/>
          </w:tcPr>
          <w:p w14:paraId="507D3B7D" w14:textId="2D349834" w:rsidR="00752FBF" w:rsidRPr="00442496" w:rsidRDefault="00DB2594" w:rsidP="003921ED">
            <w:pPr>
              <w:pStyle w:val="CETEquation"/>
            </w:pPr>
            <m:oMath>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w:r w:rsidR="00752FBF" w:rsidRPr="00442496">
              <w:t xml:space="preserve"> </w:t>
            </w:r>
          </w:p>
        </w:tc>
        <w:tc>
          <w:tcPr>
            <w:tcW w:w="815" w:type="dxa"/>
            <w:shd w:val="clear" w:color="auto" w:fill="auto"/>
            <w:vAlign w:val="center"/>
          </w:tcPr>
          <w:p w14:paraId="6F6006F2" w14:textId="7DE057E3" w:rsidR="00752FBF" w:rsidRPr="00442496" w:rsidRDefault="00752FBF" w:rsidP="003921ED">
            <w:pPr>
              <w:pStyle w:val="CETEquation"/>
              <w:jc w:val="right"/>
            </w:pPr>
            <w:r w:rsidRPr="00442496">
              <w:t>(3)</w:t>
            </w:r>
          </w:p>
        </w:tc>
      </w:tr>
    </w:tbl>
    <w:p w14:paraId="0D0E27E5" w14:textId="4A2A68C6" w:rsidR="00752FBF" w:rsidRPr="00442496" w:rsidRDefault="00776FBD" w:rsidP="00BE1840">
      <w:pPr>
        <w:pStyle w:val="CETBodytext"/>
        <w:rPr>
          <w:lang w:val="en-GB"/>
        </w:rPr>
      </w:pPr>
      <w:r w:rsidRPr="00442496">
        <w:rPr>
          <w:lang w:val="en-GB"/>
        </w:rPr>
        <w:t>where</w:t>
      </w:r>
      <w:r w:rsidR="00A67FD2" w:rsidRPr="00442496">
        <w:rPr>
          <w:lang w:val="en-GB"/>
        </w:rPr>
        <w:t xml:space="preserve"> V</w:t>
      </w:r>
      <w:r w:rsidR="00A67FD2" w:rsidRPr="00442496">
        <w:rPr>
          <w:vertAlign w:val="subscript"/>
          <w:lang w:val="en-GB"/>
        </w:rPr>
        <w:t>u</w:t>
      </w:r>
      <w:r w:rsidR="00A67FD2" w:rsidRPr="00442496">
        <w:rPr>
          <w:lang w:val="en-GB"/>
        </w:rPr>
        <w:t xml:space="preserve"> is the </w:t>
      </w:r>
      <w:r w:rsidR="00BE1840" w:rsidRPr="00442496">
        <w:rPr>
          <w:lang w:val="en-GB"/>
        </w:rPr>
        <w:t>volume of unburned stoichiometric mixture of air with released hydrogen</w:t>
      </w:r>
      <w:r w:rsidR="00FF311A" w:rsidRPr="00442496">
        <w:rPr>
          <w:lang w:val="en-GB"/>
        </w:rPr>
        <w:t xml:space="preserve"> (see </w:t>
      </w:r>
      <w:proofErr w:type="spellStart"/>
      <w:proofErr w:type="gramStart"/>
      <w:r w:rsidR="00FF311A" w:rsidRPr="00442496">
        <w:rPr>
          <w:lang w:val="en-GB"/>
        </w:rPr>
        <w:t>Eq</w:t>
      </w:r>
      <w:proofErr w:type="spellEnd"/>
      <w:r w:rsidR="00FF311A" w:rsidRPr="00442496">
        <w:rPr>
          <w:lang w:val="en-GB"/>
        </w:rPr>
        <w:t>(</w:t>
      </w:r>
      <w:proofErr w:type="gramEnd"/>
      <w:r w:rsidR="00FF311A" w:rsidRPr="00442496">
        <w:rPr>
          <w:lang w:val="en-GB"/>
        </w:rPr>
        <w:t>4))</w:t>
      </w:r>
      <w:r w:rsidR="00BE1840" w:rsidRPr="00442496">
        <w:rPr>
          <w:lang w:val="en-GB"/>
        </w:rPr>
        <w:t xml:space="preserve">, and </w:t>
      </w:r>
      <w:proofErr w:type="spellStart"/>
      <w:r w:rsidR="00BE1840" w:rsidRPr="00442496">
        <w:rPr>
          <w:lang w:val="en-GB"/>
        </w:rPr>
        <w:t>E</w:t>
      </w:r>
      <w:r w:rsidR="00BE1840" w:rsidRPr="00442496">
        <w:rPr>
          <w:vertAlign w:val="subscript"/>
          <w:lang w:val="en-GB"/>
        </w:rPr>
        <w:t>i</w:t>
      </w:r>
      <w:proofErr w:type="spellEnd"/>
      <w:r w:rsidR="00BE1840" w:rsidRPr="00442496">
        <w:rPr>
          <w:lang w:val="en-GB"/>
        </w:rPr>
        <w:t xml:space="preserve"> is the expansion coefficient of combustion products, equal to 6.85 for 30% hydrogen-air mixture (</w:t>
      </w:r>
      <w:r w:rsidR="008C774D" w:rsidRPr="00442496">
        <w:rPr>
          <w:lang w:val="en-GB"/>
        </w:rPr>
        <w:t>Molkov, 2012</w:t>
      </w:r>
      <w:r w:rsidR="00BE1840" w:rsidRPr="00442496">
        <w:rPr>
          <w:lang w:val="en-GB"/>
        </w:rPr>
        <w:t>).</w:t>
      </w:r>
    </w:p>
    <w:tbl>
      <w:tblPr>
        <w:tblW w:w="5000" w:type="pct"/>
        <w:tblLook w:val="04A0" w:firstRow="1" w:lastRow="0" w:firstColumn="1" w:lastColumn="0" w:noHBand="0" w:noVBand="1"/>
      </w:tblPr>
      <w:tblGrid>
        <w:gridCol w:w="7982"/>
        <w:gridCol w:w="805"/>
      </w:tblGrid>
      <w:tr w:rsidR="00FF311A" w:rsidRPr="00442496" w14:paraId="0157E4AB" w14:textId="77777777" w:rsidTr="003921ED">
        <w:tc>
          <w:tcPr>
            <w:tcW w:w="8188" w:type="dxa"/>
            <w:shd w:val="clear" w:color="auto" w:fill="auto"/>
            <w:vAlign w:val="center"/>
          </w:tcPr>
          <w:p w14:paraId="7C3F481D" w14:textId="1D6DD218" w:rsidR="00FF311A" w:rsidRPr="00442496" w:rsidRDefault="00DB2594" w:rsidP="003921ED">
            <w:pPr>
              <w:pStyle w:val="CETEquation"/>
            </w:pPr>
            <m:oMath>
              <m:sSub>
                <m:sSubPr>
                  <m:ctrlPr>
                    <w:rPr>
                      <w:rFonts w:ascii="Cambria Math" w:hAnsi="Cambria Math"/>
                      <w:i/>
                    </w:rPr>
                  </m:ctrlPr>
                </m:sSubPr>
                <m:e>
                  <m:r>
                    <w:rPr>
                      <w:rFonts w:ascii="Cambria Math" w:hAnsi="Cambria Math"/>
                    </w:rPr>
                    <m:t>V</m:t>
                  </m:r>
                </m:e>
                <m:sub>
                  <m:r>
                    <w:rPr>
                      <w:rFonts w:ascii="Cambria Math" w:hAnsi="Cambria Math"/>
                    </w:rPr>
                    <m:t>u</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air</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H2</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m:t>
                  </m:r>
                </m:sub>
              </m:sSub>
            </m:oMath>
            <w:r w:rsidR="00FF311A" w:rsidRPr="00442496">
              <w:t xml:space="preserve"> </w:t>
            </w:r>
          </w:p>
        </w:tc>
        <w:tc>
          <w:tcPr>
            <w:tcW w:w="815" w:type="dxa"/>
            <w:shd w:val="clear" w:color="auto" w:fill="auto"/>
            <w:vAlign w:val="center"/>
          </w:tcPr>
          <w:p w14:paraId="22BE8097" w14:textId="37EE30C7" w:rsidR="00FF311A" w:rsidRPr="00442496" w:rsidRDefault="00FF311A" w:rsidP="003921ED">
            <w:pPr>
              <w:pStyle w:val="CETEquation"/>
              <w:jc w:val="right"/>
            </w:pPr>
            <w:r w:rsidRPr="00442496">
              <w:t>(4)</w:t>
            </w:r>
          </w:p>
        </w:tc>
      </w:tr>
    </w:tbl>
    <w:p w14:paraId="58024800" w14:textId="094EC4A9" w:rsidR="00FF311A" w:rsidRPr="00442496" w:rsidRDefault="00926775" w:rsidP="00BE1840">
      <w:pPr>
        <w:pStyle w:val="CETBodytext"/>
        <w:rPr>
          <w:lang w:val="en-GB"/>
        </w:rPr>
      </w:pPr>
      <w:r w:rsidRPr="00442496">
        <w:rPr>
          <w:lang w:val="en-GB"/>
        </w:rPr>
        <w:t>where</w:t>
      </w:r>
      <w:r w:rsidR="00112202" w:rsidRPr="00442496">
        <w:rPr>
          <w:lang w:val="en-GB"/>
        </w:rPr>
        <w:t xml:space="preserve"> n</w:t>
      </w:r>
      <w:r w:rsidR="00112202" w:rsidRPr="00442496">
        <w:rPr>
          <w:vertAlign w:val="subscript"/>
          <w:lang w:val="en-GB"/>
        </w:rPr>
        <w:t>H2</w:t>
      </w:r>
      <w:r w:rsidR="00112202" w:rsidRPr="00442496">
        <w:rPr>
          <w:lang w:val="en-GB"/>
        </w:rPr>
        <w:t xml:space="preserve"> </w:t>
      </w:r>
      <w:r w:rsidR="00C23967" w:rsidRPr="00442496">
        <w:rPr>
          <w:lang w:val="en-GB"/>
        </w:rPr>
        <w:t xml:space="preserve">and </w:t>
      </w:r>
      <w:proofErr w:type="spellStart"/>
      <w:r w:rsidR="00C23967" w:rsidRPr="00442496">
        <w:rPr>
          <w:lang w:val="en-GB"/>
        </w:rPr>
        <w:t>n</w:t>
      </w:r>
      <w:r w:rsidR="00C23967" w:rsidRPr="00442496">
        <w:rPr>
          <w:vertAlign w:val="subscript"/>
          <w:lang w:val="en-GB"/>
        </w:rPr>
        <w:t>air</w:t>
      </w:r>
      <w:proofErr w:type="spellEnd"/>
      <w:r w:rsidR="00C23967" w:rsidRPr="00442496">
        <w:rPr>
          <w:lang w:val="en-GB"/>
        </w:rPr>
        <w:t xml:space="preserve"> are</w:t>
      </w:r>
      <w:r w:rsidR="00112202" w:rsidRPr="00442496">
        <w:rPr>
          <w:lang w:val="en-GB"/>
        </w:rPr>
        <w:t xml:space="preserve"> the number</w:t>
      </w:r>
      <w:r w:rsidR="00C23967" w:rsidRPr="00442496">
        <w:rPr>
          <w:lang w:val="en-GB"/>
        </w:rPr>
        <w:t>s</w:t>
      </w:r>
      <w:r w:rsidR="00112202" w:rsidRPr="00442496">
        <w:rPr>
          <w:lang w:val="en-GB"/>
        </w:rPr>
        <w:t xml:space="preserve"> of moles occupied by </w:t>
      </w:r>
      <w:r w:rsidR="00C23967" w:rsidRPr="00442496">
        <w:rPr>
          <w:lang w:val="en-GB"/>
        </w:rPr>
        <w:t xml:space="preserve">hydrogen and air, respectively, while </w:t>
      </w:r>
      <w:r w:rsidR="00FD66B2" w:rsidRPr="00442496">
        <w:rPr>
          <w:lang w:val="en-GB"/>
        </w:rPr>
        <w:t>V</w:t>
      </w:r>
      <w:r w:rsidR="00FD66B2" w:rsidRPr="00442496">
        <w:rPr>
          <w:vertAlign w:val="subscript"/>
          <w:lang w:val="en-GB"/>
        </w:rPr>
        <w:t>M</w:t>
      </w:r>
      <w:r w:rsidR="00FD66B2" w:rsidRPr="00442496">
        <w:rPr>
          <w:lang w:val="en-GB"/>
        </w:rPr>
        <w:t xml:space="preserve"> is the molar volume</w:t>
      </w:r>
      <w:r w:rsidR="004351F4" w:rsidRPr="00442496">
        <w:rPr>
          <w:lang w:val="en-GB"/>
        </w:rPr>
        <w:t>, i.e.</w:t>
      </w:r>
      <w:r w:rsidR="00A37FB5">
        <w:rPr>
          <w:lang w:val="en-GB"/>
        </w:rPr>
        <w:t>,</w:t>
      </w:r>
      <w:r w:rsidR="004351F4" w:rsidRPr="00442496">
        <w:rPr>
          <w:lang w:val="en-GB"/>
        </w:rPr>
        <w:t xml:space="preserve"> the volume occupied by one mole of any ideal gas at standard conditions</w:t>
      </w:r>
      <w:r w:rsidR="00821950" w:rsidRPr="00442496">
        <w:rPr>
          <w:lang w:val="en-GB"/>
        </w:rPr>
        <w:t xml:space="preserve"> (22.4 </w:t>
      </w:r>
      <w:r w:rsidR="00821950" w:rsidRPr="00442496">
        <w:rPr>
          <w:rFonts w:cs="Arial"/>
          <w:lang w:val="en-GB"/>
        </w:rPr>
        <w:t>×</w:t>
      </w:r>
      <w:r w:rsidR="00821950" w:rsidRPr="00442496">
        <w:rPr>
          <w:lang w:val="en-GB"/>
        </w:rPr>
        <w:t xml:space="preserve"> 10</w:t>
      </w:r>
      <w:r w:rsidR="00821950" w:rsidRPr="00442496">
        <w:rPr>
          <w:vertAlign w:val="superscript"/>
          <w:lang w:val="en-GB"/>
        </w:rPr>
        <w:t>-3</w:t>
      </w:r>
      <w:r w:rsidR="00821950" w:rsidRPr="00442496">
        <w:rPr>
          <w:lang w:val="en-GB"/>
        </w:rPr>
        <w:t xml:space="preserve"> m</w:t>
      </w:r>
      <w:r w:rsidR="00821950" w:rsidRPr="00442496">
        <w:rPr>
          <w:vertAlign w:val="superscript"/>
          <w:lang w:val="en-GB"/>
        </w:rPr>
        <w:t>3</w:t>
      </w:r>
      <w:r w:rsidR="00821950" w:rsidRPr="00442496">
        <w:rPr>
          <w:lang w:val="en-GB"/>
        </w:rPr>
        <w:t xml:space="preserve"> </w:t>
      </w:r>
      <w:r w:rsidRPr="00442496">
        <w:rPr>
          <w:lang w:val="en-GB"/>
        </w:rPr>
        <w:t>mol</w:t>
      </w:r>
      <w:r w:rsidRPr="00442496">
        <w:rPr>
          <w:vertAlign w:val="superscript"/>
          <w:lang w:val="en-GB"/>
        </w:rPr>
        <w:t>-1</w:t>
      </w:r>
      <w:r w:rsidR="00821950" w:rsidRPr="00442496">
        <w:rPr>
          <w:lang w:val="en-GB"/>
        </w:rPr>
        <w:t>)</w:t>
      </w:r>
      <w:r w:rsidR="004351F4" w:rsidRPr="00442496">
        <w:rPr>
          <w:lang w:val="en-GB"/>
        </w:rPr>
        <w:t>.</w:t>
      </w:r>
      <w:r w:rsidR="0081774E" w:rsidRPr="00442496">
        <w:rPr>
          <w:lang w:val="en-GB"/>
        </w:rPr>
        <w:t xml:space="preserve"> </w:t>
      </w:r>
      <w:r w:rsidR="00790D75" w:rsidRPr="00442496">
        <w:rPr>
          <w:lang w:val="en-GB"/>
        </w:rPr>
        <w:t xml:space="preserve">The number of hydrogen moles which participates </w:t>
      </w:r>
      <w:r w:rsidR="00EC554B" w:rsidRPr="00442496">
        <w:rPr>
          <w:lang w:val="en-GB"/>
        </w:rPr>
        <w:t>in</w:t>
      </w:r>
      <w:r w:rsidR="00790D75" w:rsidRPr="00442496">
        <w:rPr>
          <w:lang w:val="en-GB"/>
        </w:rPr>
        <w:t xml:space="preserve"> the combustion can be assessed with </w:t>
      </w:r>
      <w:proofErr w:type="spellStart"/>
      <w:proofErr w:type="gramStart"/>
      <w:r w:rsidR="00790D75" w:rsidRPr="00442496">
        <w:rPr>
          <w:lang w:val="en-GB"/>
        </w:rPr>
        <w:t>Eq</w:t>
      </w:r>
      <w:proofErr w:type="spellEnd"/>
      <w:r w:rsidR="00790D75" w:rsidRPr="00442496">
        <w:rPr>
          <w:lang w:val="en-GB"/>
        </w:rPr>
        <w:t>(</w:t>
      </w:r>
      <w:proofErr w:type="gramEnd"/>
      <w:r w:rsidR="00790D75" w:rsidRPr="00442496">
        <w:rPr>
          <w:lang w:val="en-GB"/>
        </w:rPr>
        <w:t>5):</w:t>
      </w:r>
    </w:p>
    <w:tbl>
      <w:tblPr>
        <w:tblW w:w="5000" w:type="pct"/>
        <w:tblLook w:val="04A0" w:firstRow="1" w:lastRow="0" w:firstColumn="1" w:lastColumn="0" w:noHBand="0" w:noVBand="1"/>
      </w:tblPr>
      <w:tblGrid>
        <w:gridCol w:w="7982"/>
        <w:gridCol w:w="805"/>
      </w:tblGrid>
      <w:tr w:rsidR="00790D75" w:rsidRPr="00442496" w14:paraId="6270C990" w14:textId="77777777" w:rsidTr="003921ED">
        <w:tc>
          <w:tcPr>
            <w:tcW w:w="8188" w:type="dxa"/>
            <w:shd w:val="clear" w:color="auto" w:fill="auto"/>
            <w:vAlign w:val="center"/>
          </w:tcPr>
          <w:p w14:paraId="4F9BBC23" w14:textId="730B9AA1" w:rsidR="00790D75" w:rsidRPr="00442496" w:rsidRDefault="00DB2594" w:rsidP="003921ED">
            <w:pPr>
              <w:pStyle w:val="CETEquation"/>
            </w:pPr>
            <m:oMath>
              <m:sSub>
                <m:sSubPr>
                  <m:ctrlPr>
                    <w:rPr>
                      <w:rFonts w:ascii="Cambria Math" w:hAnsi="Cambria Math"/>
                      <w:i/>
                    </w:rPr>
                  </m:ctrlPr>
                </m:sSubPr>
                <m:e>
                  <m:r>
                    <w:rPr>
                      <w:rFonts w:ascii="Cambria Math" w:hAnsi="Cambria Math"/>
                    </w:rPr>
                    <m:t>n</m:t>
                  </m:r>
                </m:e>
                <m:sub>
                  <m:r>
                    <w:rPr>
                      <w:rFonts w:ascii="Cambria Math" w:hAnsi="Cambria Math"/>
                    </w:rPr>
                    <m:t>H2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H2</m:t>
                      </m:r>
                    </m:sub>
                  </m:sSub>
                </m:num>
                <m:den>
                  <m:sSub>
                    <m:sSubPr>
                      <m:ctrlPr>
                        <w:rPr>
                          <w:rFonts w:ascii="Cambria Math" w:hAnsi="Cambria Math"/>
                          <w:i/>
                        </w:rPr>
                      </m:ctrlPr>
                    </m:sSubPr>
                    <m:e>
                      <m:r>
                        <w:rPr>
                          <w:rFonts w:ascii="Cambria Math" w:hAnsi="Cambria Math"/>
                        </w:rPr>
                        <m:t>M</m:t>
                      </m:r>
                    </m:e>
                    <m:sub>
                      <m:r>
                        <w:rPr>
                          <w:rFonts w:ascii="Cambria Math" w:hAnsi="Cambria Math"/>
                        </w:rPr>
                        <m:t>H2</m:t>
                      </m:r>
                    </m:sub>
                  </m:sSub>
                </m:den>
              </m:f>
            </m:oMath>
            <w:r w:rsidR="00790D75" w:rsidRPr="00442496">
              <w:t xml:space="preserve"> </w:t>
            </w:r>
          </w:p>
        </w:tc>
        <w:tc>
          <w:tcPr>
            <w:tcW w:w="815" w:type="dxa"/>
            <w:shd w:val="clear" w:color="auto" w:fill="auto"/>
            <w:vAlign w:val="center"/>
          </w:tcPr>
          <w:p w14:paraId="248D793C" w14:textId="3B630FDC" w:rsidR="00790D75" w:rsidRPr="00442496" w:rsidRDefault="00790D75" w:rsidP="003921ED">
            <w:pPr>
              <w:pStyle w:val="CETEquation"/>
              <w:jc w:val="right"/>
            </w:pPr>
            <w:r w:rsidRPr="00442496">
              <w:t>(</w:t>
            </w:r>
            <w:r w:rsidR="00C12596" w:rsidRPr="00442496">
              <w:t>5</w:t>
            </w:r>
            <w:r w:rsidRPr="00442496">
              <w:t>)</w:t>
            </w:r>
          </w:p>
        </w:tc>
      </w:tr>
    </w:tbl>
    <w:p w14:paraId="66FFE93A" w14:textId="7E506CBD" w:rsidR="00790D75" w:rsidRPr="00442496" w:rsidRDefault="00410926" w:rsidP="00BE1840">
      <w:pPr>
        <w:pStyle w:val="CETBodytext"/>
        <w:rPr>
          <w:lang w:val="en-GB"/>
        </w:rPr>
      </w:pPr>
      <w:r w:rsidRPr="00442496">
        <w:rPr>
          <w:lang w:val="en-GB"/>
        </w:rPr>
        <w:t>where</w:t>
      </w:r>
      <w:r w:rsidR="00790D75" w:rsidRPr="00442496">
        <w:rPr>
          <w:lang w:val="en-GB"/>
        </w:rPr>
        <w:t xml:space="preserve"> m</w:t>
      </w:r>
      <w:r w:rsidR="00790D75" w:rsidRPr="00442496">
        <w:rPr>
          <w:vertAlign w:val="subscript"/>
          <w:lang w:val="en-GB"/>
        </w:rPr>
        <w:t>H2</w:t>
      </w:r>
      <w:r w:rsidR="00790D75" w:rsidRPr="00442496">
        <w:rPr>
          <w:lang w:val="en-GB"/>
        </w:rPr>
        <w:t xml:space="preserve"> is the mass of hydrogen </w:t>
      </w:r>
      <w:r w:rsidRPr="00442496">
        <w:rPr>
          <w:lang w:val="en-GB"/>
        </w:rPr>
        <w:t>which is burnt when released</w:t>
      </w:r>
      <w:r w:rsidR="00875E12" w:rsidRPr="00442496">
        <w:rPr>
          <w:lang w:val="en-GB"/>
        </w:rPr>
        <w:t xml:space="preserve"> (equal to the hydrogen mass content)</w:t>
      </w:r>
      <w:r w:rsidRPr="00442496">
        <w:rPr>
          <w:lang w:val="en-GB"/>
        </w:rPr>
        <w:t xml:space="preserve"> in kg,</w:t>
      </w:r>
      <w:r w:rsidR="00875E12" w:rsidRPr="00442496">
        <w:rPr>
          <w:lang w:val="en-GB"/>
        </w:rPr>
        <w:t xml:space="preserve"> and M</w:t>
      </w:r>
      <w:r w:rsidR="00875E12" w:rsidRPr="00442496">
        <w:rPr>
          <w:vertAlign w:val="subscript"/>
          <w:lang w:val="en-GB"/>
        </w:rPr>
        <w:t>H2</w:t>
      </w:r>
      <w:r w:rsidR="00875E12" w:rsidRPr="00442496">
        <w:rPr>
          <w:lang w:val="en-GB"/>
        </w:rPr>
        <w:t xml:space="preserve"> is the </w:t>
      </w:r>
      <w:bookmarkStart w:id="1" w:name="_Hlk91689896"/>
      <w:r w:rsidR="00875E12" w:rsidRPr="00442496">
        <w:rPr>
          <w:lang w:val="en-GB"/>
        </w:rPr>
        <w:t>hydrogen molar mass</w:t>
      </w:r>
      <w:bookmarkEnd w:id="1"/>
      <w:r w:rsidR="00875E12" w:rsidRPr="00442496">
        <w:rPr>
          <w:lang w:val="en-GB"/>
        </w:rPr>
        <w:t xml:space="preserve"> (2.016 </w:t>
      </w:r>
      <w:r w:rsidR="00875E12" w:rsidRPr="00442496">
        <w:rPr>
          <w:rFonts w:cs="Arial"/>
          <w:lang w:val="en-GB"/>
        </w:rPr>
        <w:t>×</w:t>
      </w:r>
      <w:r w:rsidR="00875E12" w:rsidRPr="00442496">
        <w:rPr>
          <w:lang w:val="en-GB"/>
        </w:rPr>
        <w:t xml:space="preserve"> 10</w:t>
      </w:r>
      <w:r w:rsidR="00875E12" w:rsidRPr="00442496">
        <w:rPr>
          <w:vertAlign w:val="superscript"/>
          <w:lang w:val="en-GB"/>
        </w:rPr>
        <w:t>-3</w:t>
      </w:r>
      <w:r w:rsidR="00875E12" w:rsidRPr="00442496">
        <w:rPr>
          <w:lang w:val="en-GB"/>
        </w:rPr>
        <w:t xml:space="preserve"> kg mol</w:t>
      </w:r>
      <w:r w:rsidR="00875E12" w:rsidRPr="00442496">
        <w:rPr>
          <w:vertAlign w:val="superscript"/>
          <w:lang w:val="en-GB"/>
        </w:rPr>
        <w:t>-1</w:t>
      </w:r>
      <w:r w:rsidR="00947969" w:rsidRPr="00442496">
        <w:rPr>
          <w:lang w:val="en-GB"/>
        </w:rPr>
        <w:t xml:space="preserve"> (NIST, 2019)</w:t>
      </w:r>
      <w:r w:rsidR="00875E12" w:rsidRPr="00442496">
        <w:rPr>
          <w:lang w:val="en-GB"/>
        </w:rPr>
        <w:t>)</w:t>
      </w:r>
      <w:r w:rsidR="00486244" w:rsidRPr="00442496">
        <w:rPr>
          <w:lang w:val="en-GB"/>
        </w:rPr>
        <w:t>.</w:t>
      </w:r>
      <w:r w:rsidR="00C12596" w:rsidRPr="00442496">
        <w:rPr>
          <w:lang w:val="en-GB"/>
        </w:rPr>
        <w:t xml:space="preserve"> On the other hand, the number of air moles, </w:t>
      </w:r>
      <w:proofErr w:type="spellStart"/>
      <w:r w:rsidR="00C12596" w:rsidRPr="00442496">
        <w:rPr>
          <w:lang w:val="en-GB"/>
        </w:rPr>
        <w:t>n</w:t>
      </w:r>
      <w:r w:rsidR="00C12596" w:rsidRPr="00442496">
        <w:rPr>
          <w:vertAlign w:val="subscript"/>
          <w:lang w:val="en-GB"/>
        </w:rPr>
        <w:t>air</w:t>
      </w:r>
      <w:proofErr w:type="spellEnd"/>
      <w:r w:rsidR="00C12596" w:rsidRPr="00442496">
        <w:rPr>
          <w:lang w:val="en-GB"/>
        </w:rPr>
        <w:t xml:space="preserve">, is estimated with </w:t>
      </w:r>
      <w:proofErr w:type="spellStart"/>
      <w:proofErr w:type="gramStart"/>
      <w:r w:rsidR="00C12596" w:rsidRPr="00442496">
        <w:rPr>
          <w:lang w:val="en-GB"/>
        </w:rPr>
        <w:t>Eq</w:t>
      </w:r>
      <w:proofErr w:type="spellEnd"/>
      <w:r w:rsidR="00C12596" w:rsidRPr="00442496">
        <w:rPr>
          <w:lang w:val="en-GB"/>
        </w:rPr>
        <w:t>(</w:t>
      </w:r>
      <w:proofErr w:type="gramEnd"/>
      <w:r w:rsidR="00C12596" w:rsidRPr="00442496">
        <w:rPr>
          <w:lang w:val="en-GB"/>
        </w:rPr>
        <w:t>6):</w:t>
      </w:r>
    </w:p>
    <w:tbl>
      <w:tblPr>
        <w:tblW w:w="5000" w:type="pct"/>
        <w:tblLook w:val="04A0" w:firstRow="1" w:lastRow="0" w:firstColumn="1" w:lastColumn="0" w:noHBand="0" w:noVBand="1"/>
      </w:tblPr>
      <w:tblGrid>
        <w:gridCol w:w="7982"/>
        <w:gridCol w:w="805"/>
      </w:tblGrid>
      <w:tr w:rsidR="00C12596" w:rsidRPr="00442496" w14:paraId="7AEDC570" w14:textId="77777777" w:rsidTr="003921ED">
        <w:tc>
          <w:tcPr>
            <w:tcW w:w="8188" w:type="dxa"/>
            <w:shd w:val="clear" w:color="auto" w:fill="auto"/>
            <w:vAlign w:val="center"/>
          </w:tcPr>
          <w:p w14:paraId="1FD9CE49" w14:textId="01815065" w:rsidR="00C12596" w:rsidRPr="00442496" w:rsidRDefault="00DB2594" w:rsidP="003921ED">
            <w:pPr>
              <w:pStyle w:val="CETEquation"/>
            </w:pPr>
            <m:oMath>
              <m:sSub>
                <m:sSubPr>
                  <m:ctrlPr>
                    <w:rPr>
                      <w:rFonts w:ascii="Cambria Math" w:hAnsi="Cambria Math"/>
                      <w:i/>
                    </w:rPr>
                  </m:ctrlPr>
                </m:sSubPr>
                <m:e>
                  <m:r>
                    <w:rPr>
                      <w:rFonts w:ascii="Cambria Math" w:hAnsi="Cambria Math"/>
                    </w:rPr>
                    <m:t>n</m:t>
                  </m:r>
                </m:e>
                <m:sub>
                  <m:r>
                    <w:rPr>
                      <w:rFonts w:ascii="Cambria Math" w:hAnsi="Cambria Math"/>
                    </w:rPr>
                    <m:t>air</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H2</m:t>
                  </m:r>
                </m:sub>
              </m:sSub>
              <m:r>
                <w:rPr>
                  <w:rFonts w:ascii="Cambria Math" w:hAnsi="Cambria Math"/>
                </w:rPr>
                <m:t>∙2.38</m:t>
              </m:r>
            </m:oMath>
            <w:r w:rsidR="00C12596" w:rsidRPr="00442496">
              <w:t xml:space="preserve"> </w:t>
            </w:r>
          </w:p>
        </w:tc>
        <w:tc>
          <w:tcPr>
            <w:tcW w:w="815" w:type="dxa"/>
            <w:shd w:val="clear" w:color="auto" w:fill="auto"/>
            <w:vAlign w:val="center"/>
          </w:tcPr>
          <w:p w14:paraId="01CB9A5E" w14:textId="686A442D" w:rsidR="00C12596" w:rsidRPr="00442496" w:rsidRDefault="00C12596" w:rsidP="003921ED">
            <w:pPr>
              <w:pStyle w:val="CETEquation"/>
              <w:jc w:val="right"/>
            </w:pPr>
            <w:r w:rsidRPr="00442496">
              <w:t>(6)</w:t>
            </w:r>
          </w:p>
        </w:tc>
      </w:tr>
    </w:tbl>
    <w:p w14:paraId="5ED9AB0A" w14:textId="1D7BA722" w:rsidR="00C86961" w:rsidRPr="00442496" w:rsidRDefault="00E33A41" w:rsidP="00344820">
      <w:pPr>
        <w:pStyle w:val="CETBodytext"/>
        <w:rPr>
          <w:lang w:val="en-GB"/>
        </w:rPr>
      </w:pPr>
      <w:r w:rsidRPr="00442496">
        <w:rPr>
          <w:lang w:val="en-GB"/>
        </w:rPr>
        <w:t>where</w:t>
      </w:r>
      <w:r w:rsidR="00D63BF7" w:rsidRPr="00442496">
        <w:rPr>
          <w:lang w:val="en-GB"/>
        </w:rPr>
        <w:t xml:space="preserve"> 2.38 </w:t>
      </w:r>
      <w:r w:rsidR="00EC554B" w:rsidRPr="00442496">
        <w:rPr>
          <w:lang w:val="en-GB"/>
        </w:rPr>
        <w:t xml:space="preserve">are </w:t>
      </w:r>
      <w:r w:rsidR="00C83DEC" w:rsidRPr="00442496">
        <w:rPr>
          <w:lang w:val="en-GB"/>
        </w:rPr>
        <w:t xml:space="preserve">the </w:t>
      </w:r>
      <w:r w:rsidR="00EC554B" w:rsidRPr="00442496">
        <w:rPr>
          <w:lang w:val="en-GB"/>
        </w:rPr>
        <w:t>moles</w:t>
      </w:r>
      <w:r w:rsidR="00C83DEC" w:rsidRPr="00442496">
        <w:rPr>
          <w:lang w:val="en-GB"/>
        </w:rPr>
        <w:t xml:space="preserve"> of air required </w:t>
      </w:r>
      <w:r w:rsidRPr="00442496">
        <w:rPr>
          <w:lang w:val="en-GB"/>
        </w:rPr>
        <w:t>to burn</w:t>
      </w:r>
      <w:r w:rsidR="003A5926" w:rsidRPr="00442496">
        <w:rPr>
          <w:lang w:val="en-GB"/>
        </w:rPr>
        <w:t xml:space="preserve"> </w:t>
      </w:r>
      <w:r w:rsidR="00C83DEC" w:rsidRPr="00442496">
        <w:rPr>
          <w:lang w:val="en-GB"/>
        </w:rPr>
        <w:t xml:space="preserve">one hydrogen mole </w:t>
      </w:r>
      <w:r w:rsidRPr="00442496">
        <w:rPr>
          <w:lang w:val="en-GB"/>
        </w:rPr>
        <w:t xml:space="preserve">in stoichiometric conditions (Molkov and </w:t>
      </w:r>
      <w:proofErr w:type="spellStart"/>
      <w:r w:rsidRPr="00442496">
        <w:rPr>
          <w:lang w:val="en-GB"/>
        </w:rPr>
        <w:t>Kashkarov</w:t>
      </w:r>
      <w:proofErr w:type="spellEnd"/>
      <w:r w:rsidRPr="00442496">
        <w:rPr>
          <w:lang w:val="en-GB"/>
        </w:rPr>
        <w:t>, 2015).</w:t>
      </w:r>
      <w:r w:rsidR="00C86961" w:rsidRPr="00442496">
        <w:rPr>
          <w:lang w:val="en-GB"/>
        </w:rPr>
        <w:t xml:space="preserve"> </w:t>
      </w:r>
      <w:r w:rsidR="0023466C" w:rsidRPr="00442496">
        <w:rPr>
          <w:lang w:val="en-GB"/>
        </w:rPr>
        <w:t>Therefore, the chemical energy contribution (</w:t>
      </w:r>
      <w:proofErr w:type="spellStart"/>
      <w:r w:rsidR="0023466C" w:rsidRPr="00442496">
        <w:rPr>
          <w:lang w:val="en-GB"/>
        </w:rPr>
        <w:t>E</w:t>
      </w:r>
      <w:r w:rsidR="0023466C" w:rsidRPr="00442496">
        <w:rPr>
          <w:vertAlign w:val="subscript"/>
          <w:lang w:val="en-GB"/>
        </w:rPr>
        <w:t>ch</w:t>
      </w:r>
      <w:proofErr w:type="spellEnd"/>
      <w:r w:rsidR="0023466C" w:rsidRPr="00442496">
        <w:rPr>
          <w:lang w:val="en-GB"/>
        </w:rPr>
        <w:t xml:space="preserve">) is </w:t>
      </w:r>
      <w:r w:rsidR="00AE4778" w:rsidRPr="00442496">
        <w:rPr>
          <w:lang w:val="en-GB"/>
        </w:rPr>
        <w:t>summed to the mechanical energy</w:t>
      </w:r>
      <w:r w:rsidR="00092271" w:rsidRPr="00442496">
        <w:rPr>
          <w:lang w:val="en-GB"/>
        </w:rPr>
        <w:t xml:space="preserve"> (</w:t>
      </w:r>
      <w:proofErr w:type="spellStart"/>
      <w:r w:rsidR="00092271" w:rsidRPr="00442496">
        <w:rPr>
          <w:lang w:val="en-GB"/>
        </w:rPr>
        <w:t>E</w:t>
      </w:r>
      <w:r w:rsidR="00092271" w:rsidRPr="00442496">
        <w:rPr>
          <w:vertAlign w:val="subscript"/>
          <w:lang w:val="en-GB"/>
        </w:rPr>
        <w:t>me</w:t>
      </w:r>
      <w:proofErr w:type="spellEnd"/>
      <w:r w:rsidR="00092271" w:rsidRPr="00442496">
        <w:rPr>
          <w:lang w:val="en-GB"/>
        </w:rPr>
        <w:t>)</w:t>
      </w:r>
      <w:r w:rsidR="00AE4778" w:rsidRPr="00442496">
        <w:rPr>
          <w:lang w:val="en-GB"/>
        </w:rPr>
        <w:t xml:space="preserve"> </w:t>
      </w:r>
      <w:r w:rsidR="005F0B45" w:rsidRPr="00442496">
        <w:rPr>
          <w:lang w:val="en-GB"/>
        </w:rPr>
        <w:t xml:space="preserve">as indicated in </w:t>
      </w:r>
      <w:proofErr w:type="spellStart"/>
      <w:proofErr w:type="gramStart"/>
      <w:r w:rsidR="005F0B45" w:rsidRPr="00442496">
        <w:rPr>
          <w:lang w:val="en-GB"/>
        </w:rPr>
        <w:t>Eq</w:t>
      </w:r>
      <w:proofErr w:type="spellEnd"/>
      <w:r w:rsidR="005F0B45" w:rsidRPr="00442496">
        <w:rPr>
          <w:lang w:val="en-GB"/>
        </w:rPr>
        <w:t>(</w:t>
      </w:r>
      <w:proofErr w:type="gramEnd"/>
      <w:r w:rsidR="005F0B45" w:rsidRPr="00442496">
        <w:rPr>
          <w:lang w:val="en-GB"/>
        </w:rPr>
        <w:t xml:space="preserve">7), </w:t>
      </w:r>
      <w:r w:rsidR="00AE4778" w:rsidRPr="00442496">
        <w:rPr>
          <w:lang w:val="en-GB"/>
        </w:rPr>
        <w:t xml:space="preserve">to calculate the total energy </w:t>
      </w:r>
      <w:r w:rsidR="00EA6CA4" w:rsidRPr="00442496">
        <w:rPr>
          <w:lang w:val="en-GB"/>
        </w:rPr>
        <w:t>(E</w:t>
      </w:r>
      <w:r w:rsidR="00EA6CA4" w:rsidRPr="00442496">
        <w:rPr>
          <w:vertAlign w:val="subscript"/>
          <w:lang w:val="en-GB"/>
        </w:rPr>
        <w:t>TOT</w:t>
      </w:r>
      <w:r w:rsidR="00EA6CA4" w:rsidRPr="00442496">
        <w:rPr>
          <w:lang w:val="en-GB"/>
        </w:rPr>
        <w:t xml:space="preserve">) </w:t>
      </w:r>
      <w:r w:rsidR="00AE4778" w:rsidRPr="00442496">
        <w:rPr>
          <w:lang w:val="en-GB"/>
        </w:rPr>
        <w:t>generated by the explosion</w:t>
      </w:r>
      <w:r w:rsidR="00FC67AB" w:rsidRPr="00442496">
        <w:rPr>
          <w:lang w:val="en-GB"/>
        </w:rPr>
        <w:t>.</w:t>
      </w:r>
    </w:p>
    <w:tbl>
      <w:tblPr>
        <w:tblW w:w="5000" w:type="pct"/>
        <w:tblLook w:val="04A0" w:firstRow="1" w:lastRow="0" w:firstColumn="1" w:lastColumn="0" w:noHBand="0" w:noVBand="1"/>
      </w:tblPr>
      <w:tblGrid>
        <w:gridCol w:w="7983"/>
        <w:gridCol w:w="804"/>
      </w:tblGrid>
      <w:tr w:rsidR="00EA6CA4" w:rsidRPr="00442496" w14:paraId="5DF98171" w14:textId="77777777" w:rsidTr="0048434A">
        <w:tc>
          <w:tcPr>
            <w:tcW w:w="8188" w:type="dxa"/>
            <w:shd w:val="clear" w:color="auto" w:fill="auto"/>
            <w:vAlign w:val="center"/>
          </w:tcPr>
          <w:p w14:paraId="005F8C38" w14:textId="691BC411" w:rsidR="00EA6CA4" w:rsidRPr="00442496" w:rsidRDefault="00DB2594" w:rsidP="0048434A">
            <w:pPr>
              <w:pStyle w:val="CETEquation"/>
            </w:pPr>
            <m:oMath>
              <m:sSub>
                <m:sSubPr>
                  <m:ctrlPr>
                    <w:rPr>
                      <w:rFonts w:ascii="Cambria Math" w:hAnsi="Cambria Math"/>
                      <w:i/>
                    </w:rPr>
                  </m:ctrlPr>
                </m:sSubPr>
                <m:e>
                  <m:r>
                    <w:rPr>
                      <w:rFonts w:ascii="Cambria Math" w:hAnsi="Cambria Math"/>
                    </w:rPr>
                    <m:t>E</m:t>
                  </m:r>
                </m:e>
                <m:sub>
                  <m:r>
                    <w:rPr>
                      <w:rFonts w:ascii="Cambria Math" w:hAnsi="Cambria Math"/>
                    </w:rPr>
                    <m:t>TOT</m:t>
                  </m:r>
                </m:sub>
              </m:sSub>
              <m:r>
                <w:rPr>
                  <w:rFonts w:ascii="Cambria Math" w:hAnsi="Cambria Math"/>
                </w:rPr>
                <m:t>=α∙</m:t>
              </m:r>
              <m:sSub>
                <m:sSubPr>
                  <m:ctrlPr>
                    <w:rPr>
                      <w:rFonts w:ascii="Cambria Math" w:hAnsi="Cambria Math"/>
                      <w:i/>
                    </w:rPr>
                  </m:ctrlPr>
                </m:sSubPr>
                <m:e>
                  <m:r>
                    <w:rPr>
                      <w:rFonts w:ascii="Cambria Math" w:hAnsi="Cambria Math"/>
                    </w:rPr>
                    <m:t>E</m:t>
                  </m:r>
                </m:e>
                <m:sub>
                  <m:r>
                    <w:rPr>
                      <w:rFonts w:ascii="Cambria Math" w:hAnsi="Cambria Math"/>
                    </w:rPr>
                    <m: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ch</m:t>
                  </m:r>
                </m:sub>
              </m:sSub>
            </m:oMath>
            <w:r w:rsidR="00EA6CA4" w:rsidRPr="00442496">
              <w:t xml:space="preserve"> </w:t>
            </w:r>
          </w:p>
        </w:tc>
        <w:tc>
          <w:tcPr>
            <w:tcW w:w="815" w:type="dxa"/>
            <w:shd w:val="clear" w:color="auto" w:fill="auto"/>
            <w:vAlign w:val="center"/>
          </w:tcPr>
          <w:p w14:paraId="6C92FCCF" w14:textId="5016572C" w:rsidR="00EA6CA4" w:rsidRPr="00442496" w:rsidRDefault="00EA6CA4" w:rsidP="0048434A">
            <w:pPr>
              <w:pStyle w:val="CETEquation"/>
              <w:jc w:val="right"/>
            </w:pPr>
            <w:r w:rsidRPr="00442496">
              <w:t>(</w:t>
            </w:r>
            <w:r w:rsidR="00EE7184" w:rsidRPr="00442496">
              <w:t>7</w:t>
            </w:r>
            <w:r w:rsidRPr="00442496">
              <w:t>)</w:t>
            </w:r>
          </w:p>
        </w:tc>
      </w:tr>
    </w:tbl>
    <w:p w14:paraId="0908856B" w14:textId="2B7655CA" w:rsidR="00883318" w:rsidRPr="00442496" w:rsidRDefault="00883318" w:rsidP="00344820">
      <w:pPr>
        <w:pStyle w:val="CETBodytext"/>
        <w:rPr>
          <w:lang w:val="en-GB"/>
        </w:rPr>
      </w:pPr>
      <w:r w:rsidRPr="00442496">
        <w:rPr>
          <w:lang w:val="en-GB"/>
        </w:rPr>
        <w:t>The overpressure of the blast wave was then assessed by using the TNT equivalent mass method as explained by Ustolin et al. (2020a). The mechanical energy employed to assess the shock wave overpressure was the one estimated with the TNO model since it was demonstrated to be the most conservative method.</w:t>
      </w:r>
    </w:p>
    <w:p w14:paraId="0A59B10A" w14:textId="10AFB626" w:rsidR="001B2E6D" w:rsidRPr="00442496" w:rsidRDefault="001B2E6D" w:rsidP="001B2E6D">
      <w:pPr>
        <w:pStyle w:val="CETheadingx"/>
        <w:rPr>
          <w:lang w:val="en-GB"/>
        </w:rPr>
      </w:pPr>
      <w:r w:rsidRPr="00442496">
        <w:rPr>
          <w:lang w:val="en-GB"/>
        </w:rPr>
        <w:t>BMW safety tests</w:t>
      </w:r>
    </w:p>
    <w:p w14:paraId="17246C7A" w14:textId="0E693AAB" w:rsidR="00EF47BC" w:rsidRPr="00442496" w:rsidRDefault="00CB2289" w:rsidP="00453E24">
      <w:pPr>
        <w:pStyle w:val="CETBodytext"/>
        <w:rPr>
          <w:lang w:val="en-GB"/>
        </w:rPr>
      </w:pPr>
      <w:r w:rsidRPr="00442496">
        <w:rPr>
          <w:lang w:val="en-GB"/>
        </w:rPr>
        <w:t>The BMW bursting tank scenario tests</w:t>
      </w:r>
      <w:r w:rsidR="008A5664" w:rsidRPr="00442496">
        <w:rPr>
          <w:lang w:val="en-GB"/>
        </w:rPr>
        <w:t xml:space="preserve"> described in (</w:t>
      </w:r>
      <w:proofErr w:type="spellStart"/>
      <w:r w:rsidR="008A5664" w:rsidRPr="00442496">
        <w:rPr>
          <w:lang w:val="en-GB"/>
        </w:rPr>
        <w:t>Pehr</w:t>
      </w:r>
      <w:proofErr w:type="spellEnd"/>
      <w:r w:rsidR="008A5664" w:rsidRPr="00442496">
        <w:rPr>
          <w:lang w:val="en-GB"/>
        </w:rPr>
        <w:t>, 1996)</w:t>
      </w:r>
      <w:r w:rsidRPr="00442496">
        <w:rPr>
          <w:lang w:val="en-GB"/>
        </w:rPr>
        <w:t xml:space="preserve"> were </w:t>
      </w:r>
      <w:r w:rsidR="00D0615F" w:rsidRPr="00442496">
        <w:rPr>
          <w:lang w:val="en-GB"/>
        </w:rPr>
        <w:t>selected</w:t>
      </w:r>
      <w:r w:rsidRPr="00442496">
        <w:rPr>
          <w:lang w:val="en-GB"/>
        </w:rPr>
        <w:t xml:space="preserve"> as </w:t>
      </w:r>
      <w:r w:rsidR="00EC554B" w:rsidRPr="00442496">
        <w:rPr>
          <w:lang w:val="en-GB"/>
        </w:rPr>
        <w:t xml:space="preserve">a </w:t>
      </w:r>
      <w:r w:rsidRPr="00442496">
        <w:rPr>
          <w:lang w:val="en-GB"/>
        </w:rPr>
        <w:t>case study</w:t>
      </w:r>
      <w:r w:rsidR="008A5664" w:rsidRPr="00442496">
        <w:rPr>
          <w:lang w:val="en-GB"/>
        </w:rPr>
        <w:t xml:space="preserve">. </w:t>
      </w:r>
      <w:r w:rsidR="000A36C9" w:rsidRPr="00442496">
        <w:rPr>
          <w:lang w:val="en-GB"/>
        </w:rPr>
        <w:t xml:space="preserve">During the tests, ten </w:t>
      </w:r>
      <w:proofErr w:type="gramStart"/>
      <w:r w:rsidR="00BE4F4F" w:rsidRPr="00442496">
        <w:rPr>
          <w:lang w:val="en-GB"/>
        </w:rPr>
        <w:t>single</w:t>
      </w:r>
      <w:proofErr w:type="gramEnd"/>
      <w:r w:rsidR="00BE4F4F" w:rsidRPr="00442496">
        <w:rPr>
          <w:lang w:val="en-GB"/>
        </w:rPr>
        <w:t xml:space="preserve"> walled</w:t>
      </w:r>
      <w:r w:rsidR="000A36C9" w:rsidRPr="00442496">
        <w:rPr>
          <w:lang w:val="en-GB"/>
        </w:rPr>
        <w:t xml:space="preserve"> LH</w:t>
      </w:r>
      <w:r w:rsidR="000A36C9" w:rsidRPr="00442496">
        <w:rPr>
          <w:vertAlign w:val="subscript"/>
          <w:lang w:val="en-GB"/>
        </w:rPr>
        <w:t>2</w:t>
      </w:r>
      <w:r w:rsidR="000A36C9" w:rsidRPr="00442496">
        <w:rPr>
          <w:lang w:val="en-GB"/>
        </w:rPr>
        <w:t xml:space="preserve"> vessels </w:t>
      </w:r>
      <w:r w:rsidR="00B63980" w:rsidRPr="00442496">
        <w:rPr>
          <w:lang w:val="en-GB"/>
        </w:rPr>
        <w:t xml:space="preserve">insulated with a layer of foam </w:t>
      </w:r>
      <w:r w:rsidR="000A36C9" w:rsidRPr="00442496">
        <w:rPr>
          <w:lang w:val="en-GB"/>
        </w:rPr>
        <w:t xml:space="preserve">were </w:t>
      </w:r>
      <w:r w:rsidR="00B63980" w:rsidRPr="00442496">
        <w:rPr>
          <w:lang w:val="en-GB"/>
        </w:rPr>
        <w:t>destroyed by means of explosive charges</w:t>
      </w:r>
      <w:r w:rsidR="00104DF8" w:rsidRPr="00442496">
        <w:rPr>
          <w:lang w:val="en-GB"/>
        </w:rPr>
        <w:t xml:space="preserve"> at different</w:t>
      </w:r>
      <w:r w:rsidR="00B63980" w:rsidRPr="00442496">
        <w:rPr>
          <w:lang w:val="en-GB"/>
        </w:rPr>
        <w:t xml:space="preserve"> initial</w:t>
      </w:r>
      <w:r w:rsidR="00237130" w:rsidRPr="00442496">
        <w:rPr>
          <w:lang w:val="en-GB"/>
        </w:rPr>
        <w:t xml:space="preserve"> conditions</w:t>
      </w:r>
      <w:r w:rsidR="00104DF8" w:rsidRPr="00442496">
        <w:rPr>
          <w:lang w:val="en-GB"/>
        </w:rPr>
        <w:t>. In particular, the</w:t>
      </w:r>
      <w:r w:rsidR="00237130" w:rsidRPr="00442496">
        <w:rPr>
          <w:lang w:val="en-GB"/>
        </w:rPr>
        <w:t xml:space="preserve"> internal pressure </w:t>
      </w:r>
      <w:proofErr w:type="gramStart"/>
      <w:r w:rsidR="00237130" w:rsidRPr="00442496">
        <w:rPr>
          <w:lang w:val="en-GB"/>
        </w:rPr>
        <w:t>were</w:t>
      </w:r>
      <w:proofErr w:type="gramEnd"/>
      <w:r w:rsidR="00237130" w:rsidRPr="00442496">
        <w:rPr>
          <w:lang w:val="en-GB"/>
        </w:rPr>
        <w:t xml:space="preserve"> varied</w:t>
      </w:r>
      <w:r w:rsidR="000844FB" w:rsidRPr="00442496">
        <w:rPr>
          <w:lang w:val="en-GB"/>
        </w:rPr>
        <w:t xml:space="preserve"> </w:t>
      </w:r>
      <w:r w:rsidR="00082D63" w:rsidRPr="00442496">
        <w:rPr>
          <w:lang w:val="en-GB"/>
        </w:rPr>
        <w:t>in the range</w:t>
      </w:r>
      <w:r w:rsidR="000844FB" w:rsidRPr="00442496">
        <w:rPr>
          <w:lang w:val="en-GB"/>
        </w:rPr>
        <w:t xml:space="preserve"> </w:t>
      </w:r>
      <w:r w:rsidR="00EC554B" w:rsidRPr="00442496">
        <w:rPr>
          <w:lang w:val="en-GB"/>
        </w:rPr>
        <w:t xml:space="preserve">of </w:t>
      </w:r>
      <w:r w:rsidR="00771396" w:rsidRPr="00442496">
        <w:rPr>
          <w:lang w:val="en-GB"/>
        </w:rPr>
        <w:t xml:space="preserve">2 </w:t>
      </w:r>
      <w:r w:rsidR="00082D63" w:rsidRPr="00442496">
        <w:rPr>
          <w:lang w:val="en-GB"/>
        </w:rPr>
        <w:t xml:space="preserve">– </w:t>
      </w:r>
      <w:r w:rsidR="00771396" w:rsidRPr="00442496">
        <w:rPr>
          <w:lang w:val="en-GB"/>
        </w:rPr>
        <w:t>15 bar and</w:t>
      </w:r>
      <w:r w:rsidR="00EC135F">
        <w:rPr>
          <w:lang w:val="en-GB"/>
        </w:rPr>
        <w:t xml:space="preserve"> </w:t>
      </w:r>
      <w:r w:rsidR="00280BB9">
        <w:rPr>
          <w:lang w:val="en-GB"/>
        </w:rPr>
        <w:t xml:space="preserve">the measured </w:t>
      </w:r>
      <w:r w:rsidR="00EC135F" w:rsidRPr="00442496">
        <w:rPr>
          <w:lang w:val="en-GB"/>
        </w:rPr>
        <w:t>LH</w:t>
      </w:r>
      <w:r w:rsidR="00EC135F" w:rsidRPr="00442496">
        <w:rPr>
          <w:vertAlign w:val="subscript"/>
          <w:lang w:val="en-GB"/>
        </w:rPr>
        <w:t>2</w:t>
      </w:r>
      <w:r w:rsidR="00EC135F" w:rsidRPr="00442496">
        <w:rPr>
          <w:lang w:val="en-GB"/>
        </w:rPr>
        <w:t xml:space="preserve"> mass</w:t>
      </w:r>
      <w:r w:rsidR="00280BB9">
        <w:rPr>
          <w:lang w:val="en-GB"/>
        </w:rPr>
        <w:t xml:space="preserve"> was</w:t>
      </w:r>
      <w:r w:rsidR="00771396" w:rsidRPr="00442496">
        <w:rPr>
          <w:lang w:val="en-GB"/>
        </w:rPr>
        <w:t xml:space="preserve"> 1.8 </w:t>
      </w:r>
      <w:r w:rsidR="00082D63" w:rsidRPr="00442496">
        <w:rPr>
          <w:lang w:val="en-GB"/>
        </w:rPr>
        <w:t>–</w:t>
      </w:r>
      <w:r w:rsidR="00771396" w:rsidRPr="00442496">
        <w:rPr>
          <w:lang w:val="en-GB"/>
        </w:rPr>
        <w:t xml:space="preserve"> 5.4 kg</w:t>
      </w:r>
      <w:r w:rsidR="00D150EC" w:rsidRPr="00442496">
        <w:rPr>
          <w:lang w:val="en-GB"/>
        </w:rPr>
        <w:t xml:space="preserve"> (</w:t>
      </w:r>
      <w:proofErr w:type="spellStart"/>
      <w:r w:rsidR="00D150EC" w:rsidRPr="00442496">
        <w:rPr>
          <w:lang w:val="en-GB"/>
        </w:rPr>
        <w:t>Pehr</w:t>
      </w:r>
      <w:proofErr w:type="spellEnd"/>
      <w:r w:rsidR="00D150EC" w:rsidRPr="00442496">
        <w:rPr>
          <w:lang w:val="en-GB"/>
        </w:rPr>
        <w:t>, 1996)</w:t>
      </w:r>
      <w:r w:rsidR="00237130" w:rsidRPr="00442496">
        <w:rPr>
          <w:lang w:val="en-GB"/>
        </w:rPr>
        <w:t xml:space="preserve">. </w:t>
      </w:r>
      <w:r w:rsidR="00EC6093" w:rsidRPr="00442496">
        <w:rPr>
          <w:lang w:val="en-GB"/>
        </w:rPr>
        <w:t>A thorough description of the BMW experiments and their uncertainties can be found in (Ustolin et al., 2020a) where t</w:t>
      </w:r>
      <w:r w:rsidR="002F324B" w:rsidRPr="00442496">
        <w:rPr>
          <w:lang w:val="en-GB"/>
        </w:rPr>
        <w:t>hese tests were simulated by</w:t>
      </w:r>
      <w:r w:rsidR="00420A40" w:rsidRPr="00442496">
        <w:rPr>
          <w:lang w:val="en-GB"/>
        </w:rPr>
        <w:t xml:space="preserve"> neglecting the contribution of the combustion process</w:t>
      </w:r>
      <w:r w:rsidR="00EC6093" w:rsidRPr="00442496">
        <w:rPr>
          <w:lang w:val="en-GB"/>
        </w:rPr>
        <w:t xml:space="preserve"> to the explosion energy</w:t>
      </w:r>
      <w:r w:rsidR="00420A40" w:rsidRPr="00442496">
        <w:rPr>
          <w:lang w:val="en-GB"/>
        </w:rPr>
        <w:t>.</w:t>
      </w:r>
      <w:r w:rsidR="00363DD5" w:rsidRPr="00442496">
        <w:rPr>
          <w:lang w:val="en-GB"/>
        </w:rPr>
        <w:t xml:space="preserve"> </w:t>
      </w:r>
      <w:r w:rsidR="002436A2" w:rsidRPr="00442496">
        <w:rPr>
          <w:lang w:val="en-GB"/>
        </w:rPr>
        <w:t xml:space="preserve">As </w:t>
      </w:r>
      <w:r w:rsidR="00EC6093" w:rsidRPr="00442496">
        <w:rPr>
          <w:lang w:val="en-GB"/>
        </w:rPr>
        <w:t xml:space="preserve">a </w:t>
      </w:r>
      <w:r w:rsidR="002436A2" w:rsidRPr="00442496">
        <w:rPr>
          <w:lang w:val="en-GB"/>
        </w:rPr>
        <w:t xml:space="preserve">result of that analysis, an underestimation of the blast wave overpressure was obtained by employing the </w:t>
      </w:r>
      <w:r w:rsidR="00E4259A" w:rsidRPr="00442496">
        <w:rPr>
          <w:lang w:val="en-GB"/>
        </w:rPr>
        <w:t xml:space="preserve">models previously described. </w:t>
      </w:r>
      <w:r w:rsidR="00912674" w:rsidRPr="00442496">
        <w:rPr>
          <w:lang w:val="en-GB"/>
        </w:rPr>
        <w:t xml:space="preserve">In this study, the tests in which the </w:t>
      </w:r>
      <w:r w:rsidR="00712EF1" w:rsidRPr="00442496">
        <w:rPr>
          <w:lang w:val="en-GB"/>
        </w:rPr>
        <w:t xml:space="preserve">hydrogen temperature and pressure </w:t>
      </w:r>
      <w:r w:rsidR="00E053BD" w:rsidRPr="00442496">
        <w:rPr>
          <w:lang w:val="en-GB"/>
        </w:rPr>
        <w:t xml:space="preserve">prior </w:t>
      </w:r>
      <w:r w:rsidR="00EC554B" w:rsidRPr="00442496">
        <w:rPr>
          <w:lang w:val="en-GB"/>
        </w:rPr>
        <w:t xml:space="preserve">to </w:t>
      </w:r>
      <w:r w:rsidR="00E053BD" w:rsidRPr="00442496">
        <w:rPr>
          <w:lang w:val="en-GB"/>
        </w:rPr>
        <w:t xml:space="preserve">the explosion </w:t>
      </w:r>
      <w:r w:rsidR="00712EF1" w:rsidRPr="00442496">
        <w:rPr>
          <w:lang w:val="en-GB"/>
        </w:rPr>
        <w:t>were below the critical point</w:t>
      </w:r>
      <w:r w:rsidR="00912674" w:rsidRPr="00442496">
        <w:rPr>
          <w:lang w:val="en-GB"/>
        </w:rPr>
        <w:t xml:space="preserve"> </w:t>
      </w:r>
      <w:r w:rsidR="00327A1A" w:rsidRPr="00442496">
        <w:rPr>
          <w:lang w:val="en-GB"/>
        </w:rPr>
        <w:t>(8 out of 9 tests)</w:t>
      </w:r>
      <w:r w:rsidR="00E053BD" w:rsidRPr="00442496">
        <w:rPr>
          <w:lang w:val="en-GB"/>
        </w:rPr>
        <w:t xml:space="preserve"> </w:t>
      </w:r>
      <w:r w:rsidR="00005EBF" w:rsidRPr="00442496">
        <w:rPr>
          <w:lang w:val="en-GB"/>
        </w:rPr>
        <w:t xml:space="preserve">were considered </w:t>
      </w:r>
      <w:proofErr w:type="gramStart"/>
      <w:r w:rsidR="00E053BD" w:rsidRPr="00442496">
        <w:rPr>
          <w:lang w:val="en-GB"/>
        </w:rPr>
        <w:t>in order to</w:t>
      </w:r>
      <w:proofErr w:type="gramEnd"/>
      <w:r w:rsidR="00E053BD" w:rsidRPr="00442496">
        <w:rPr>
          <w:lang w:val="en-GB"/>
        </w:rPr>
        <w:t xml:space="preserve"> </w:t>
      </w:r>
      <w:r w:rsidR="004A0587" w:rsidRPr="00442496">
        <w:rPr>
          <w:lang w:val="en-GB"/>
        </w:rPr>
        <w:t>employ</w:t>
      </w:r>
      <w:r w:rsidR="00E053BD" w:rsidRPr="00442496">
        <w:rPr>
          <w:lang w:val="en-GB"/>
        </w:rPr>
        <w:t xml:space="preserve"> </w:t>
      </w:r>
      <w:r w:rsidR="00186D63" w:rsidRPr="00442496">
        <w:rPr>
          <w:lang w:val="en-GB"/>
        </w:rPr>
        <w:t xml:space="preserve">also </w:t>
      </w:r>
      <w:r w:rsidR="00752D8C" w:rsidRPr="00442496">
        <w:rPr>
          <w:lang w:val="en-GB"/>
        </w:rPr>
        <w:t xml:space="preserve">the models </w:t>
      </w:r>
      <w:r w:rsidR="00186D63" w:rsidRPr="00442496">
        <w:rPr>
          <w:lang w:val="en-GB"/>
        </w:rPr>
        <w:t>which</w:t>
      </w:r>
      <w:r w:rsidR="00752D8C" w:rsidRPr="00442496">
        <w:rPr>
          <w:lang w:val="en-GB"/>
        </w:rPr>
        <w:t xml:space="preserve"> </w:t>
      </w:r>
      <w:r w:rsidR="00005EBF" w:rsidRPr="00442496">
        <w:rPr>
          <w:lang w:val="en-GB"/>
        </w:rPr>
        <w:t>account</w:t>
      </w:r>
      <w:r w:rsidR="00533AC5" w:rsidRPr="00442496">
        <w:rPr>
          <w:lang w:val="en-GB"/>
        </w:rPr>
        <w:t xml:space="preserve"> </w:t>
      </w:r>
      <w:r w:rsidR="00005EBF" w:rsidRPr="00442496">
        <w:rPr>
          <w:lang w:val="en-GB"/>
        </w:rPr>
        <w:t xml:space="preserve">for </w:t>
      </w:r>
      <w:r w:rsidR="00752D8C" w:rsidRPr="00442496">
        <w:rPr>
          <w:lang w:val="en-GB"/>
        </w:rPr>
        <w:t>the liquid phase</w:t>
      </w:r>
      <w:r w:rsidR="00005EBF" w:rsidRPr="00442496">
        <w:rPr>
          <w:lang w:val="en-GB"/>
        </w:rPr>
        <w:t>.</w:t>
      </w:r>
    </w:p>
    <w:p w14:paraId="64E8C2F8" w14:textId="0EBEB08F" w:rsidR="00E91C21" w:rsidRPr="00442496" w:rsidRDefault="00E91C21" w:rsidP="002B2027">
      <w:pPr>
        <w:pStyle w:val="CETHeading1"/>
        <w:rPr>
          <w:lang w:val="en-GB"/>
        </w:rPr>
      </w:pPr>
      <w:r w:rsidRPr="00442496">
        <w:rPr>
          <w:lang w:val="en-GB"/>
        </w:rPr>
        <w:t>Results</w:t>
      </w:r>
    </w:p>
    <w:p w14:paraId="4D6E3E92" w14:textId="77777777" w:rsidR="009670EF" w:rsidRPr="00442496" w:rsidRDefault="00C351BD" w:rsidP="00D86F40">
      <w:pPr>
        <w:pStyle w:val="CETBodytext"/>
        <w:rPr>
          <w:lang w:val="en-GB"/>
        </w:rPr>
      </w:pPr>
      <w:r w:rsidRPr="00442496">
        <w:rPr>
          <w:lang w:val="en-GB"/>
        </w:rPr>
        <w:t xml:space="preserve">The </w:t>
      </w:r>
      <w:r w:rsidR="003C74DB" w:rsidRPr="00442496">
        <w:rPr>
          <w:lang w:val="en-GB"/>
        </w:rPr>
        <w:t>total</w:t>
      </w:r>
      <w:r w:rsidRPr="00442496">
        <w:rPr>
          <w:lang w:val="en-GB"/>
        </w:rPr>
        <w:t xml:space="preserve"> energy</w:t>
      </w:r>
      <w:r w:rsidR="003C74DB" w:rsidRPr="00442496">
        <w:rPr>
          <w:lang w:val="en-GB"/>
        </w:rPr>
        <w:t xml:space="preserve"> (mechanical + chemical)</w:t>
      </w:r>
      <w:r w:rsidR="00CC7E09" w:rsidRPr="00442496">
        <w:rPr>
          <w:lang w:val="en-GB"/>
        </w:rPr>
        <w:t xml:space="preserve"> generated by the BLEVE explosion </w:t>
      </w:r>
      <w:r w:rsidR="00234313" w:rsidRPr="00442496">
        <w:rPr>
          <w:lang w:val="en-GB"/>
        </w:rPr>
        <w:t>estimated with the</w:t>
      </w:r>
      <w:r w:rsidR="002E3EFA" w:rsidRPr="00442496">
        <w:rPr>
          <w:lang w:val="en-GB"/>
        </w:rPr>
        <w:t xml:space="preserve"> different</w:t>
      </w:r>
      <w:r w:rsidR="00234313" w:rsidRPr="00442496">
        <w:rPr>
          <w:lang w:val="en-GB"/>
        </w:rPr>
        <w:t xml:space="preserve"> ideal and gas behaviour models</w:t>
      </w:r>
      <w:r w:rsidR="00490EC5" w:rsidRPr="00442496">
        <w:rPr>
          <w:lang w:val="en-GB"/>
        </w:rPr>
        <w:t xml:space="preserve"> (described in Sec. 2)</w:t>
      </w:r>
      <w:r w:rsidR="00234313" w:rsidRPr="00442496">
        <w:rPr>
          <w:lang w:val="en-GB"/>
        </w:rPr>
        <w:t xml:space="preserve"> </w:t>
      </w:r>
      <w:r w:rsidR="00EA139B" w:rsidRPr="00442496">
        <w:rPr>
          <w:lang w:val="en-GB"/>
        </w:rPr>
        <w:t>is depicted in Figure 1.</w:t>
      </w:r>
    </w:p>
    <w:p w14:paraId="42319BB2" w14:textId="24FCAE68" w:rsidR="00AD76B1" w:rsidRPr="00442496" w:rsidRDefault="00AD76B1" w:rsidP="00DB2594">
      <w:pPr>
        <w:pStyle w:val="CET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D76B1" w14:paraId="3471907A" w14:textId="77777777" w:rsidTr="00DB2594">
        <w:tc>
          <w:tcPr>
            <w:tcW w:w="4388" w:type="dxa"/>
          </w:tcPr>
          <w:p w14:paraId="3B73F69E" w14:textId="394DD081" w:rsidR="00AD76B1" w:rsidRDefault="00406ECB" w:rsidP="00F263A2">
            <w:pPr>
              <w:pStyle w:val="CETBodytext"/>
              <w:jc w:val="center"/>
              <w:rPr>
                <w:lang w:val="en-GB"/>
              </w:rPr>
            </w:pPr>
            <w:r>
              <w:rPr>
                <w:noProof/>
                <w:lang w:val="en-GB"/>
              </w:rPr>
              <w:drawing>
                <wp:inline distT="0" distB="0" distL="0" distR="0" wp14:anchorId="17ED80B0" wp14:editId="41E15ABD">
                  <wp:extent cx="2463876" cy="194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227" t="5646" r="7056"/>
                          <a:stretch/>
                        </pic:blipFill>
                        <pic:spPr bwMode="auto">
                          <a:xfrm>
                            <a:off x="0" y="0"/>
                            <a:ext cx="2463876" cy="194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89" w:type="dxa"/>
          </w:tcPr>
          <w:p w14:paraId="6AC8CD1C" w14:textId="67F01A89" w:rsidR="00AD76B1" w:rsidRDefault="0081184B" w:rsidP="00F263A2">
            <w:pPr>
              <w:pStyle w:val="CETBodytext"/>
              <w:jc w:val="center"/>
              <w:rPr>
                <w:lang w:val="en-GB"/>
              </w:rPr>
            </w:pPr>
            <w:r>
              <w:rPr>
                <w:noProof/>
                <w:lang w:val="en-GB"/>
              </w:rPr>
              <w:drawing>
                <wp:inline distT="0" distB="0" distL="0" distR="0" wp14:anchorId="0136F734" wp14:editId="0349AECB">
                  <wp:extent cx="2453537" cy="1944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630" t="5643" r="7027"/>
                          <a:stretch/>
                        </pic:blipFill>
                        <pic:spPr bwMode="auto">
                          <a:xfrm>
                            <a:off x="0" y="0"/>
                            <a:ext cx="2453537" cy="1944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D76B1" w14:paraId="4A641BAF" w14:textId="77777777" w:rsidTr="00DB2594">
        <w:tc>
          <w:tcPr>
            <w:tcW w:w="4388" w:type="dxa"/>
            <w:vAlign w:val="bottom"/>
          </w:tcPr>
          <w:p w14:paraId="03C061FB" w14:textId="34A3640D" w:rsidR="00AD76B1" w:rsidRDefault="00AD76B1" w:rsidP="00AD76B1">
            <w:pPr>
              <w:pStyle w:val="CETBodytext"/>
              <w:jc w:val="center"/>
              <w:rPr>
                <w:lang w:val="en-GB"/>
              </w:rPr>
            </w:pPr>
            <w:r w:rsidRPr="00442496">
              <w:rPr>
                <w:lang w:val="en-GB"/>
              </w:rPr>
              <w:t>(a)</w:t>
            </w:r>
          </w:p>
        </w:tc>
        <w:tc>
          <w:tcPr>
            <w:tcW w:w="4389" w:type="dxa"/>
            <w:vAlign w:val="bottom"/>
          </w:tcPr>
          <w:p w14:paraId="067B7C81" w14:textId="7B4209DB" w:rsidR="00AD76B1" w:rsidRDefault="00AD76B1" w:rsidP="00AD76B1">
            <w:pPr>
              <w:pStyle w:val="CETBodytext"/>
              <w:jc w:val="center"/>
              <w:rPr>
                <w:lang w:val="en-GB"/>
              </w:rPr>
            </w:pPr>
            <w:r w:rsidRPr="00442496">
              <w:rPr>
                <w:lang w:val="en-GB"/>
              </w:rPr>
              <w:t>(b)</w:t>
            </w:r>
          </w:p>
        </w:tc>
      </w:tr>
    </w:tbl>
    <w:p w14:paraId="4B047365" w14:textId="7FD5D56D" w:rsidR="00FE11E6" w:rsidRPr="006D502A" w:rsidRDefault="002E1615" w:rsidP="00DB2594">
      <w:pPr>
        <w:pStyle w:val="CETCaption"/>
      </w:pPr>
      <w:r w:rsidRPr="006D502A">
        <w:rPr>
          <w:rStyle w:val="CETCaptionCarattere"/>
          <w:i/>
        </w:rPr>
        <w:t xml:space="preserve">Figure 1: </w:t>
      </w:r>
      <w:r w:rsidR="00E81006" w:rsidRPr="006D502A">
        <w:rPr>
          <w:rStyle w:val="CETCaptionCarattere"/>
          <w:i/>
        </w:rPr>
        <w:t>Total</w:t>
      </w:r>
      <w:r w:rsidR="00717AE8" w:rsidRPr="006D502A">
        <w:rPr>
          <w:rStyle w:val="CETCaptionCarattere"/>
          <w:i/>
        </w:rPr>
        <w:t xml:space="preserve"> energy</w:t>
      </w:r>
      <w:r w:rsidR="00E81006" w:rsidRPr="006D502A">
        <w:rPr>
          <w:rStyle w:val="CETCaptionCarattere"/>
          <w:i/>
        </w:rPr>
        <w:t xml:space="preserve"> (mechanical + chemical)</w:t>
      </w:r>
      <w:r w:rsidR="00717AE8" w:rsidRPr="006D502A">
        <w:rPr>
          <w:rStyle w:val="CETCaptionCarattere"/>
          <w:i/>
        </w:rPr>
        <w:t xml:space="preserve"> </w:t>
      </w:r>
      <w:r w:rsidR="000A67AB" w:rsidRPr="006D502A">
        <w:rPr>
          <w:rStyle w:val="CETCaptionCarattere"/>
          <w:i/>
        </w:rPr>
        <w:t xml:space="preserve">which contributes to the </w:t>
      </w:r>
      <w:r w:rsidR="00B33208" w:rsidRPr="006D502A">
        <w:rPr>
          <w:rStyle w:val="CETCaptionCarattere"/>
          <w:i/>
        </w:rPr>
        <w:t>pressure</w:t>
      </w:r>
      <w:r w:rsidR="000A67AB" w:rsidRPr="006D502A">
        <w:rPr>
          <w:rStyle w:val="CETCaptionCarattere"/>
          <w:i/>
        </w:rPr>
        <w:t xml:space="preserve"> wave generation </w:t>
      </w:r>
      <w:r w:rsidR="00D2602A" w:rsidRPr="006D502A">
        <w:rPr>
          <w:rStyle w:val="CETCaptionCarattere"/>
          <w:i/>
        </w:rPr>
        <w:t>estimated with the ideal and real gas behaviour model</w:t>
      </w:r>
      <w:r w:rsidR="00A81913" w:rsidRPr="006D502A">
        <w:rPr>
          <w:rStyle w:val="CETCaptionCarattere"/>
          <w:i/>
        </w:rPr>
        <w:t>s</w:t>
      </w:r>
      <w:r w:rsidR="00D2602A" w:rsidRPr="006D502A">
        <w:rPr>
          <w:rStyle w:val="CETCaptionCarattere"/>
          <w:i/>
        </w:rPr>
        <w:t xml:space="preserve"> when the tank is filled with (a) 1.8 and (b) 5.4 kg</w:t>
      </w:r>
      <w:r w:rsidR="00C9304A">
        <w:rPr>
          <w:rStyle w:val="CETCaptionCarattere"/>
          <w:i/>
        </w:rPr>
        <w:t xml:space="preserve"> of</w:t>
      </w:r>
      <w:r w:rsidR="00A81913" w:rsidRPr="006D502A">
        <w:rPr>
          <w:rStyle w:val="CETCaptionCarattere"/>
          <w:i/>
        </w:rPr>
        <w:t xml:space="preserve"> LH</w:t>
      </w:r>
      <w:r w:rsidR="00A81913" w:rsidRPr="00C9304A">
        <w:rPr>
          <w:rStyle w:val="CETCaptionCarattere"/>
          <w:i/>
          <w:vertAlign w:val="subscript"/>
        </w:rPr>
        <w:t>2</w:t>
      </w:r>
      <w:r w:rsidR="00A81913" w:rsidRPr="006D502A">
        <w:rPr>
          <w:rStyle w:val="CETCaptionCarattere"/>
          <w:i/>
        </w:rPr>
        <w:t>.</w:t>
      </w:r>
      <w:r w:rsidRPr="006D502A">
        <w:t xml:space="preserve"> </w:t>
      </w:r>
    </w:p>
    <w:p w14:paraId="4E0B87C6" w14:textId="77777777" w:rsidR="00FE11E6" w:rsidRPr="00442496" w:rsidRDefault="00FE11E6" w:rsidP="00FE11E6">
      <w:pPr>
        <w:pStyle w:val="CETBodytext"/>
        <w:rPr>
          <w:lang w:val="en-GB"/>
        </w:rPr>
      </w:pPr>
      <w:r w:rsidRPr="00442496">
        <w:rPr>
          <w:lang w:val="en-GB"/>
        </w:rPr>
        <w:lastRenderedPageBreak/>
        <w:t>In particular, the total energy was estimated for different initial tank pressures and LH</w:t>
      </w:r>
      <w:r w:rsidRPr="00442496">
        <w:rPr>
          <w:vertAlign w:val="subscript"/>
          <w:lang w:val="en-GB"/>
        </w:rPr>
        <w:t>2</w:t>
      </w:r>
      <w:r w:rsidRPr="00442496">
        <w:rPr>
          <w:lang w:val="en-GB"/>
        </w:rPr>
        <w:t xml:space="preserve"> amounts. In fact, the tank was considered filled with 1.8 kg (Figure 1a) and 5.4 kg (Figure 1b) of LH</w:t>
      </w:r>
      <w:r w:rsidRPr="00442496">
        <w:rPr>
          <w:vertAlign w:val="subscript"/>
          <w:lang w:val="en-GB"/>
        </w:rPr>
        <w:t>2</w:t>
      </w:r>
      <w:r w:rsidRPr="00442496">
        <w:rPr>
          <w:lang w:val="en-GB"/>
        </w:rPr>
        <w:t xml:space="preserve"> which were respectively the minimum and maximum masses measured during the BMW experiments. It can be noticed that the TNO model is the most conservative one as already noticed by Ustolin et al. (2020a). As expected, the maximum value of energy (2.06 MJ) was estimated by this model when the tank has an initial pressure of 11 bar and is filled with 5.4 kg of LH</w:t>
      </w:r>
      <w:r w:rsidRPr="00442496">
        <w:rPr>
          <w:vertAlign w:val="subscript"/>
          <w:lang w:val="en-GB"/>
        </w:rPr>
        <w:t>2</w:t>
      </w:r>
      <w:r w:rsidRPr="00442496">
        <w:rPr>
          <w:lang w:val="en-GB"/>
        </w:rPr>
        <w:t xml:space="preserve">. The maximum value of mechanical energy estimated by the same model by neglecting the combustion process was one order of magnitude lower (0.35 MJ) (Ustolin et al., 2020a). On the other hand, the </w:t>
      </w:r>
      <w:proofErr w:type="spellStart"/>
      <w:r w:rsidRPr="00442496">
        <w:rPr>
          <w:lang w:val="en-GB"/>
        </w:rPr>
        <w:t>Planas</w:t>
      </w:r>
      <w:proofErr w:type="spellEnd"/>
      <w:r w:rsidRPr="00442496">
        <w:rPr>
          <w:lang w:val="en-GB"/>
        </w:rPr>
        <w:t xml:space="preserve"> and Genova models seem to be the least conservative. Curiously, the Birk method is highly affected by the LH</w:t>
      </w:r>
      <w:r w:rsidRPr="00442496">
        <w:rPr>
          <w:vertAlign w:val="subscript"/>
          <w:lang w:val="en-GB"/>
        </w:rPr>
        <w:t>2</w:t>
      </w:r>
      <w:r w:rsidRPr="00442496">
        <w:rPr>
          <w:lang w:val="en-GB"/>
        </w:rPr>
        <w:t xml:space="preserve"> amount before the explosion since it considers only the compressed gaseous phase contribution. This is demonstrated by observing that this model becomes the least conservative when the LH</w:t>
      </w:r>
      <w:r w:rsidRPr="00442496">
        <w:rPr>
          <w:vertAlign w:val="subscript"/>
          <w:lang w:val="en-GB"/>
        </w:rPr>
        <w:t>2</w:t>
      </w:r>
      <w:r w:rsidRPr="00442496">
        <w:rPr>
          <w:lang w:val="en-GB"/>
        </w:rPr>
        <w:t xml:space="preserve"> mass contained by the tank increases </w:t>
      </w:r>
    </w:p>
    <w:p w14:paraId="4FACC7A6" w14:textId="774F45B5" w:rsidR="002B6CE7" w:rsidRDefault="000C7814" w:rsidP="00453E24">
      <w:pPr>
        <w:pStyle w:val="CETBodytext"/>
        <w:rPr>
          <w:lang w:val="en-GB"/>
        </w:rPr>
      </w:pPr>
      <w:r w:rsidRPr="00442496">
        <w:rPr>
          <w:lang w:val="en-GB"/>
        </w:rPr>
        <w:t xml:space="preserve">The blast wave overpressures </w:t>
      </w:r>
      <w:r w:rsidR="0093006F" w:rsidRPr="00442496">
        <w:rPr>
          <w:lang w:val="en-GB"/>
        </w:rPr>
        <w:t xml:space="preserve">provoked by different initial tank pressures </w:t>
      </w:r>
      <w:r w:rsidRPr="00442496">
        <w:rPr>
          <w:lang w:val="en-GB"/>
        </w:rPr>
        <w:t>at 3 m from the tank centre</w:t>
      </w:r>
      <w:r w:rsidR="00A96ADC" w:rsidRPr="00442496">
        <w:rPr>
          <w:lang w:val="en-GB"/>
        </w:rPr>
        <w:t xml:space="preserve"> are shown in</w:t>
      </w:r>
      <w:r w:rsidRPr="00442496">
        <w:rPr>
          <w:lang w:val="en-GB"/>
        </w:rPr>
        <w:t xml:space="preserve"> </w:t>
      </w:r>
      <w:r w:rsidR="00A96ADC" w:rsidRPr="00442496">
        <w:rPr>
          <w:lang w:val="en-GB"/>
        </w:rPr>
        <w:t xml:space="preserve">Figure 2a, while the </w:t>
      </w:r>
      <w:r w:rsidR="00CF746C" w:rsidRPr="00442496">
        <w:rPr>
          <w:lang w:val="en-GB"/>
        </w:rPr>
        <w:t>overpressure trend</w:t>
      </w:r>
      <w:r w:rsidRPr="00442496">
        <w:rPr>
          <w:lang w:val="en-GB"/>
        </w:rPr>
        <w:t xml:space="preserve"> </w:t>
      </w:r>
      <w:r w:rsidR="00CF746C" w:rsidRPr="00442496">
        <w:rPr>
          <w:lang w:val="en-GB"/>
        </w:rPr>
        <w:t xml:space="preserve">for an initial pressure of 11 bar at different </w:t>
      </w:r>
      <w:r w:rsidRPr="00442496">
        <w:rPr>
          <w:lang w:val="en-GB"/>
        </w:rPr>
        <w:t xml:space="preserve">distances from the tank </w:t>
      </w:r>
      <w:r w:rsidR="000E3CE1" w:rsidRPr="00442496">
        <w:rPr>
          <w:lang w:val="en-GB"/>
        </w:rPr>
        <w:t>is</w:t>
      </w:r>
      <w:r w:rsidRPr="00442496">
        <w:rPr>
          <w:lang w:val="en-GB"/>
        </w:rPr>
        <w:t xml:space="preserve"> </w:t>
      </w:r>
      <w:r w:rsidR="000E3CE1" w:rsidRPr="00442496">
        <w:rPr>
          <w:lang w:val="en-GB"/>
        </w:rPr>
        <w:t>depicted</w:t>
      </w:r>
      <w:r w:rsidRPr="00442496">
        <w:rPr>
          <w:lang w:val="en-GB"/>
        </w:rPr>
        <w:t xml:space="preserve"> in </w:t>
      </w:r>
      <w:r w:rsidR="000E3CE1" w:rsidRPr="00442496">
        <w:rPr>
          <w:lang w:val="en-GB"/>
        </w:rPr>
        <w:t>Figure</w:t>
      </w:r>
      <w:r w:rsidRPr="00442496">
        <w:rPr>
          <w:lang w:val="en-GB"/>
        </w:rPr>
        <w:t xml:space="preserve"> 2b. </w:t>
      </w:r>
      <w:r w:rsidR="0076243B" w:rsidRPr="00442496">
        <w:rPr>
          <w:lang w:val="en-GB"/>
        </w:rPr>
        <w:t>Th</w:t>
      </w:r>
      <w:r w:rsidR="000E3CE1" w:rsidRPr="00442496">
        <w:rPr>
          <w:lang w:val="en-GB"/>
        </w:rPr>
        <w:t>e</w:t>
      </w:r>
      <w:r w:rsidR="00AA46E1" w:rsidRPr="00442496">
        <w:rPr>
          <w:lang w:val="en-GB"/>
        </w:rPr>
        <w:t xml:space="preserve"> </w:t>
      </w:r>
      <w:r w:rsidRPr="00442496">
        <w:rPr>
          <w:lang w:val="en-GB"/>
        </w:rPr>
        <w:t>overpressure</w:t>
      </w:r>
      <w:r w:rsidR="000E3CE1" w:rsidRPr="00442496">
        <w:rPr>
          <w:lang w:val="en-GB"/>
        </w:rPr>
        <w:t>s</w:t>
      </w:r>
      <w:r w:rsidRPr="00442496">
        <w:rPr>
          <w:lang w:val="en-GB"/>
        </w:rPr>
        <w:t xml:space="preserve"> w</w:t>
      </w:r>
      <w:r w:rsidR="000E3CE1" w:rsidRPr="00442496">
        <w:rPr>
          <w:lang w:val="en-GB"/>
        </w:rPr>
        <w:t>ere</w:t>
      </w:r>
      <w:r w:rsidRPr="00442496">
        <w:rPr>
          <w:lang w:val="en-GB"/>
        </w:rPr>
        <w:t xml:space="preserve"> estimated by employing the total energy calculated by means of the TNO model when the tank is holding 1.8 and 5.4 kg of LH</w:t>
      </w:r>
      <w:r w:rsidRPr="00442496">
        <w:rPr>
          <w:vertAlign w:val="subscript"/>
          <w:lang w:val="en-GB"/>
        </w:rPr>
        <w:t>2</w:t>
      </w:r>
      <w:r w:rsidRPr="00442496">
        <w:rPr>
          <w:lang w:val="en-GB"/>
        </w:rPr>
        <w:t xml:space="preserve"> (solid and dashed curves, respectively). </w:t>
      </w:r>
      <w:r w:rsidR="0065128F" w:rsidRPr="00442496">
        <w:rPr>
          <w:lang w:val="en-GB"/>
        </w:rPr>
        <w:t>The LH</w:t>
      </w:r>
      <w:r w:rsidR="0065128F" w:rsidRPr="00442496">
        <w:rPr>
          <w:vertAlign w:val="subscript"/>
          <w:lang w:val="en-GB"/>
        </w:rPr>
        <w:t>2</w:t>
      </w:r>
      <w:r w:rsidR="0065128F" w:rsidRPr="00442496">
        <w:rPr>
          <w:lang w:val="en-GB"/>
        </w:rPr>
        <w:t xml:space="preserve"> amount contained in the vessel has virtually no influence on the simulated overpressure. Furthermore, the slight difference caused by the different LH</w:t>
      </w:r>
      <w:r w:rsidR="0065128F" w:rsidRPr="00442496">
        <w:rPr>
          <w:vertAlign w:val="subscript"/>
          <w:lang w:val="en-GB"/>
        </w:rPr>
        <w:t>2</w:t>
      </w:r>
      <w:r w:rsidR="0065128F" w:rsidRPr="00442496">
        <w:rPr>
          <w:lang w:val="en-GB"/>
        </w:rPr>
        <w:t xml:space="preserve"> masses in the near field (3 m) already disappears at </w:t>
      </w:r>
      <w:r w:rsidR="00544EBD" w:rsidRPr="00442496">
        <w:rPr>
          <w:lang w:val="en-GB"/>
        </w:rPr>
        <w:t>8</w:t>
      </w:r>
      <w:r w:rsidR="0065128F" w:rsidRPr="00442496">
        <w:rPr>
          <w:lang w:val="en-GB"/>
        </w:rPr>
        <w:t xml:space="preserve"> m. </w:t>
      </w:r>
      <w:r w:rsidRPr="00442496">
        <w:rPr>
          <w:lang w:val="en-GB"/>
        </w:rPr>
        <w:t xml:space="preserve">The values of overpressure measured during the BMW tests are also reported in the charts of Figure 2 (red circles) as a comparison. A good agreement was found between the prediction obtained by </w:t>
      </w:r>
      <w:r w:rsidR="003205D5" w:rsidRPr="00442496">
        <w:rPr>
          <w:lang w:val="en-GB"/>
        </w:rPr>
        <w:t xml:space="preserve">the </w:t>
      </w:r>
      <w:r w:rsidRPr="00442496">
        <w:rPr>
          <w:lang w:val="en-GB"/>
        </w:rPr>
        <w:t xml:space="preserve">TNO model and the maximum shock wave overpressure (470 mbar) measured in one of the BMW tests where the </w:t>
      </w:r>
      <w:r w:rsidR="00933594" w:rsidRPr="00442496">
        <w:rPr>
          <w:lang w:val="en-GB"/>
        </w:rPr>
        <w:t>rupture</w:t>
      </w:r>
      <w:r w:rsidRPr="00442496">
        <w:rPr>
          <w:lang w:val="en-GB"/>
        </w:rPr>
        <w:t xml:space="preserve"> pressure was </w:t>
      </w:r>
      <w:r w:rsidR="00933594" w:rsidRPr="00442496">
        <w:rPr>
          <w:lang w:val="en-GB"/>
        </w:rPr>
        <w:t>equal</w:t>
      </w:r>
      <w:r w:rsidRPr="00442496">
        <w:rPr>
          <w:lang w:val="en-GB"/>
        </w:rPr>
        <w:t xml:space="preserve"> to 11 bar. Instead, an overprediction was attained if the</w:t>
      </w:r>
      <w:r w:rsidR="00933594" w:rsidRPr="00442496">
        <w:rPr>
          <w:lang w:val="en-GB"/>
        </w:rPr>
        <w:t xml:space="preserve"> simulated values are compa</w:t>
      </w:r>
      <w:r w:rsidR="008751D0" w:rsidRPr="00442496">
        <w:rPr>
          <w:lang w:val="en-GB"/>
        </w:rPr>
        <w:t>red against the</w:t>
      </w:r>
      <w:r w:rsidRPr="00442496">
        <w:rPr>
          <w:lang w:val="en-GB"/>
        </w:rPr>
        <w:t xml:space="preserve"> other </w:t>
      </w:r>
      <w:r w:rsidR="008751D0" w:rsidRPr="00442496">
        <w:rPr>
          <w:lang w:val="en-GB"/>
        </w:rPr>
        <w:t xml:space="preserve">BMW </w:t>
      </w:r>
      <w:r w:rsidRPr="00442496">
        <w:rPr>
          <w:lang w:val="en-GB"/>
        </w:rPr>
        <w:t xml:space="preserve">tests. </w:t>
      </w:r>
    </w:p>
    <w:p w14:paraId="3732324E" w14:textId="77777777" w:rsidR="00BE4F4F" w:rsidRPr="00442496" w:rsidRDefault="00BE4F4F" w:rsidP="00453E24">
      <w:pPr>
        <w:pStyle w:val="CETBodytext"/>
        <w:rPr>
          <w:lang w:val="en-GB"/>
        </w:rPr>
      </w:pPr>
    </w:p>
    <w:p w14:paraId="0DB4F419" w14:textId="0FF25FEA" w:rsidR="000C7814" w:rsidRPr="00442496" w:rsidRDefault="00F263A2" w:rsidP="00F263A2">
      <w:pPr>
        <w:pStyle w:val="CETBodytext"/>
        <w:jc w:val="center"/>
        <w:rPr>
          <w:lang w:val="en-GB"/>
        </w:rPr>
      </w:pPr>
      <w:r w:rsidRPr="00442496">
        <w:rPr>
          <w:noProof/>
          <w:lang w:val="en-GB"/>
        </w:rPr>
        <w:drawing>
          <wp:inline distT="0" distB="0" distL="0" distR="0" wp14:anchorId="60564CBA" wp14:editId="5E2318F6">
            <wp:extent cx="5580000" cy="2274529"/>
            <wp:effectExtent l="0" t="0" r="190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41000"/>
                              </a14:imgEffect>
                            </a14:imgLayer>
                          </a14:imgProps>
                        </a:ext>
                        <a:ext uri="{28A0092B-C50C-407E-A947-70E740481C1C}">
                          <a14:useLocalDpi xmlns:a14="http://schemas.microsoft.com/office/drawing/2010/main" val="0"/>
                        </a:ext>
                      </a:extLst>
                    </a:blip>
                    <a:srcRect t="-3765"/>
                    <a:stretch/>
                  </pic:blipFill>
                  <pic:spPr bwMode="auto">
                    <a:xfrm>
                      <a:off x="0" y="0"/>
                      <a:ext cx="5580000" cy="227452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7240A2" w:rsidRPr="00442496" w14:paraId="5A7F633D" w14:textId="77777777" w:rsidTr="00DB2594">
        <w:trPr>
          <w:trHeight w:val="142"/>
          <w:jc w:val="center"/>
        </w:trPr>
        <w:tc>
          <w:tcPr>
            <w:tcW w:w="4501" w:type="dxa"/>
            <w:vAlign w:val="bottom"/>
          </w:tcPr>
          <w:p w14:paraId="23CF0299" w14:textId="77777777" w:rsidR="002B6CE7" w:rsidRPr="00442496" w:rsidRDefault="002B6CE7" w:rsidP="0086585D">
            <w:pPr>
              <w:pStyle w:val="CETBodytext"/>
              <w:jc w:val="center"/>
              <w:rPr>
                <w:lang w:val="en-GB"/>
              </w:rPr>
            </w:pPr>
            <w:r w:rsidRPr="00442496">
              <w:rPr>
                <w:lang w:val="en-GB"/>
              </w:rPr>
              <w:t>(a)</w:t>
            </w:r>
          </w:p>
        </w:tc>
        <w:tc>
          <w:tcPr>
            <w:tcW w:w="4502" w:type="dxa"/>
            <w:vAlign w:val="bottom"/>
          </w:tcPr>
          <w:p w14:paraId="33EE5D55" w14:textId="77777777" w:rsidR="002B6CE7" w:rsidRPr="00442496" w:rsidRDefault="002B6CE7" w:rsidP="0086585D">
            <w:pPr>
              <w:pStyle w:val="CETBodytext"/>
              <w:jc w:val="center"/>
              <w:rPr>
                <w:b/>
                <w:bCs/>
                <w:lang w:val="en-GB"/>
              </w:rPr>
            </w:pPr>
            <w:r w:rsidRPr="00442496">
              <w:rPr>
                <w:lang w:val="en-GB"/>
              </w:rPr>
              <w:t>(b)</w:t>
            </w:r>
          </w:p>
        </w:tc>
      </w:tr>
    </w:tbl>
    <w:p w14:paraId="4A24A1F2" w14:textId="16DC79BA" w:rsidR="00F54E7C" w:rsidRPr="00442496" w:rsidRDefault="002B6CE7" w:rsidP="00196A4B">
      <w:pPr>
        <w:pStyle w:val="CETCaption"/>
        <w:spacing w:before="120"/>
      </w:pPr>
      <w:r w:rsidRPr="00442496">
        <w:rPr>
          <w:rStyle w:val="CETCaptionCarattere"/>
          <w:i/>
        </w:rPr>
        <w:t xml:space="preserve">Figure 2: </w:t>
      </w:r>
      <w:r w:rsidR="003E1BE3" w:rsidRPr="00442496">
        <w:rPr>
          <w:rStyle w:val="CETCaptionCarattere"/>
          <w:i/>
        </w:rPr>
        <w:t>(a) o</w:t>
      </w:r>
      <w:r w:rsidR="003B405A" w:rsidRPr="00442496">
        <w:rPr>
          <w:rStyle w:val="CETCaptionCarattere"/>
          <w:i/>
        </w:rPr>
        <w:t xml:space="preserve">verpressure </w:t>
      </w:r>
      <w:r w:rsidR="00B33208" w:rsidRPr="00442496">
        <w:rPr>
          <w:rStyle w:val="CETCaptionCarattere"/>
        </w:rPr>
        <w:t xml:space="preserve">of the blast wave calculated </w:t>
      </w:r>
      <w:r w:rsidR="00017ADB" w:rsidRPr="00442496">
        <w:rPr>
          <w:rStyle w:val="CETCaptionCarattere"/>
        </w:rPr>
        <w:t xml:space="preserve">through the </w:t>
      </w:r>
      <w:r w:rsidR="003E1BE3" w:rsidRPr="00442496">
        <w:rPr>
          <w:rStyle w:val="CETCaptionCarattere"/>
        </w:rPr>
        <w:t>TNO model at 3 m from the tank centre</w:t>
      </w:r>
      <w:r w:rsidR="008F0081" w:rsidRPr="00442496">
        <w:rPr>
          <w:rStyle w:val="CETCaptionCarattere"/>
        </w:rPr>
        <w:t xml:space="preserve"> for</w:t>
      </w:r>
      <w:r w:rsidR="008F0081" w:rsidRPr="00442496">
        <w:t xml:space="preserve"> different initial tank pressures</w:t>
      </w:r>
      <w:r w:rsidR="003E1BE3" w:rsidRPr="00442496">
        <w:t>, and (b) at different distances when the initial tank pressure is 11 bar.</w:t>
      </w:r>
    </w:p>
    <w:p w14:paraId="62334E57" w14:textId="600D235F" w:rsidR="007614DF" w:rsidRPr="00442496" w:rsidRDefault="0014693C" w:rsidP="001547AC">
      <w:pPr>
        <w:pStyle w:val="CETBodytext"/>
        <w:rPr>
          <w:lang w:val="en-GB"/>
        </w:rPr>
      </w:pPr>
      <w:r w:rsidRPr="00442496">
        <w:rPr>
          <w:lang w:val="en-GB"/>
        </w:rPr>
        <w:t>In Table 2, the comparison between the highest blast wave overpressures measured during the BMW experiments at different rupture pressures and the simulated ones with and without considering the combustion process is reported. From this comparison, it can be observed that when only the physical explosion was considered, the overpressure had been underestimated with the exception of the tests where the LH</w:t>
      </w:r>
      <w:r w:rsidRPr="00442496">
        <w:rPr>
          <w:vertAlign w:val="subscript"/>
          <w:lang w:val="en-GB"/>
        </w:rPr>
        <w:t>2</w:t>
      </w:r>
      <w:r w:rsidRPr="00442496">
        <w:rPr>
          <w:lang w:val="en-GB"/>
        </w:rPr>
        <w:t xml:space="preserve"> tanks were wrecked at 4 </w:t>
      </w:r>
      <w:proofErr w:type="gramStart"/>
      <w:r w:rsidRPr="00442496">
        <w:rPr>
          <w:lang w:val="en-GB"/>
        </w:rPr>
        <w:t>bar</w:t>
      </w:r>
      <w:proofErr w:type="gramEnd"/>
      <w:r w:rsidRPr="00442496">
        <w:rPr>
          <w:lang w:val="en-GB"/>
        </w:rPr>
        <w:t>.</w:t>
      </w:r>
    </w:p>
    <w:p w14:paraId="61FEA7C5" w14:textId="4531F6C2" w:rsidR="00994FFA" w:rsidRPr="00442496" w:rsidRDefault="00994FFA" w:rsidP="00994FFA">
      <w:pPr>
        <w:pStyle w:val="CETTabletitle"/>
      </w:pPr>
      <w:r w:rsidRPr="00442496">
        <w:t>Table 2: Comparison between the maximum blast wave overpressure</w:t>
      </w:r>
      <w:r w:rsidR="00AA3D1A" w:rsidRPr="00442496">
        <w:t>s</w:t>
      </w:r>
      <w:r w:rsidRPr="00442496">
        <w:t xml:space="preserve"> measured during the BMW experiments and the simulat</w:t>
      </w:r>
      <w:r w:rsidR="000C36DA" w:rsidRPr="00442496">
        <w:t>ed</w:t>
      </w:r>
      <w:r w:rsidR="00AA3D1A" w:rsidRPr="00442496">
        <w:t xml:space="preserve"> ones</w:t>
      </w:r>
      <w:r w:rsidRPr="00442496">
        <w:t xml:space="preserve"> with and without considering the combustion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091"/>
        <w:gridCol w:w="1928"/>
        <w:gridCol w:w="1474"/>
      </w:tblGrid>
      <w:tr w:rsidR="00BA5D0D" w:rsidRPr="00442496" w14:paraId="72331281" w14:textId="77777777" w:rsidTr="000D1B4A">
        <w:tc>
          <w:tcPr>
            <w:tcW w:w="1701" w:type="dxa"/>
            <w:tcBorders>
              <w:top w:val="single" w:sz="12" w:space="0" w:color="008000"/>
              <w:bottom w:val="nil"/>
            </w:tcBorders>
            <w:shd w:val="clear" w:color="auto" w:fill="FFFFFF"/>
          </w:tcPr>
          <w:p w14:paraId="41AEF5A0" w14:textId="77777777" w:rsidR="00BA5D0D" w:rsidRPr="00442496" w:rsidRDefault="00BA5D0D" w:rsidP="0048434A">
            <w:pPr>
              <w:pStyle w:val="CETBodytext"/>
              <w:rPr>
                <w:lang w:val="en-GB"/>
              </w:rPr>
            </w:pPr>
          </w:p>
        </w:tc>
        <w:tc>
          <w:tcPr>
            <w:tcW w:w="4493" w:type="dxa"/>
            <w:gridSpan w:val="3"/>
            <w:tcBorders>
              <w:top w:val="single" w:sz="12" w:space="0" w:color="008000"/>
              <w:bottom w:val="single" w:sz="6" w:space="0" w:color="007635"/>
            </w:tcBorders>
            <w:shd w:val="clear" w:color="auto" w:fill="FFFFFF"/>
            <w:vAlign w:val="center"/>
          </w:tcPr>
          <w:p w14:paraId="08244336" w14:textId="52713163" w:rsidR="00BA5D0D" w:rsidRPr="00442496" w:rsidRDefault="00BA5D0D" w:rsidP="00671623">
            <w:pPr>
              <w:pStyle w:val="CETBodytext"/>
              <w:jc w:val="center"/>
              <w:rPr>
                <w:rFonts w:eastAsia="SimSun"/>
                <w:lang w:val="en-GB"/>
              </w:rPr>
            </w:pPr>
            <w:r w:rsidRPr="00442496">
              <w:rPr>
                <w:rFonts w:eastAsia="SimSun"/>
                <w:lang w:val="en-GB"/>
              </w:rPr>
              <w:t>Overpressure (mbar)</w:t>
            </w:r>
          </w:p>
        </w:tc>
      </w:tr>
      <w:tr w:rsidR="00245F64" w:rsidRPr="00442496" w14:paraId="1A62772B" w14:textId="365C8414" w:rsidTr="000D1B4A">
        <w:tc>
          <w:tcPr>
            <w:tcW w:w="1701" w:type="dxa"/>
            <w:tcBorders>
              <w:top w:val="nil"/>
              <w:bottom w:val="single" w:sz="6" w:space="0" w:color="008000"/>
            </w:tcBorders>
            <w:shd w:val="clear" w:color="auto" w:fill="FFFFFF"/>
          </w:tcPr>
          <w:p w14:paraId="4E7DAF8C" w14:textId="77777777" w:rsidR="00994FFA" w:rsidRPr="00442496" w:rsidRDefault="00474785" w:rsidP="0048434A">
            <w:pPr>
              <w:pStyle w:val="CETBodytext"/>
              <w:rPr>
                <w:lang w:val="en-GB"/>
              </w:rPr>
            </w:pPr>
            <w:r w:rsidRPr="00442496">
              <w:rPr>
                <w:lang w:val="en-GB"/>
              </w:rPr>
              <w:t>Rupture pressure</w:t>
            </w:r>
          </w:p>
          <w:p w14:paraId="01771BCB" w14:textId="0B579F9C" w:rsidR="00474785" w:rsidRPr="00442496" w:rsidRDefault="00474785" w:rsidP="0048434A">
            <w:pPr>
              <w:pStyle w:val="CETBodytext"/>
              <w:rPr>
                <w:lang w:val="en-GB"/>
              </w:rPr>
            </w:pPr>
            <w:r w:rsidRPr="00442496">
              <w:rPr>
                <w:lang w:val="en-GB"/>
              </w:rPr>
              <w:t>(bar)</w:t>
            </w:r>
          </w:p>
        </w:tc>
        <w:tc>
          <w:tcPr>
            <w:tcW w:w="1091" w:type="dxa"/>
            <w:tcBorders>
              <w:top w:val="single" w:sz="6" w:space="0" w:color="007635"/>
              <w:bottom w:val="single" w:sz="6" w:space="0" w:color="008000"/>
            </w:tcBorders>
            <w:shd w:val="clear" w:color="auto" w:fill="FFFFFF"/>
          </w:tcPr>
          <w:p w14:paraId="5171EB73" w14:textId="008E576D" w:rsidR="0068390A" w:rsidRPr="00442496" w:rsidRDefault="00994FFA" w:rsidP="0048434A">
            <w:pPr>
              <w:pStyle w:val="CETBodytext"/>
              <w:rPr>
                <w:rFonts w:eastAsia="SimSun"/>
                <w:lang w:val="en-GB"/>
              </w:rPr>
            </w:pPr>
            <w:r w:rsidRPr="00442496">
              <w:rPr>
                <w:rFonts w:eastAsia="SimSun"/>
                <w:lang w:val="en-GB"/>
              </w:rPr>
              <w:t>BMW test</w:t>
            </w:r>
          </w:p>
        </w:tc>
        <w:tc>
          <w:tcPr>
            <w:tcW w:w="1928" w:type="dxa"/>
            <w:tcBorders>
              <w:top w:val="single" w:sz="6" w:space="0" w:color="007635"/>
              <w:bottom w:val="single" w:sz="6" w:space="0" w:color="008000"/>
            </w:tcBorders>
            <w:shd w:val="clear" w:color="auto" w:fill="FFFFFF"/>
          </w:tcPr>
          <w:p w14:paraId="19802C29" w14:textId="77777777" w:rsidR="00994FFA" w:rsidRPr="00442496" w:rsidRDefault="007C3CBB" w:rsidP="0048434A">
            <w:pPr>
              <w:pStyle w:val="CETBodytext"/>
              <w:rPr>
                <w:rFonts w:eastAsia="SimSun"/>
                <w:lang w:val="en-GB"/>
              </w:rPr>
            </w:pPr>
            <w:r w:rsidRPr="00442496">
              <w:rPr>
                <w:rFonts w:eastAsia="SimSun"/>
                <w:lang w:val="en-GB"/>
              </w:rPr>
              <w:t>Without combustion</w:t>
            </w:r>
          </w:p>
          <w:p w14:paraId="17C69A31" w14:textId="756A7967" w:rsidR="007C3CBB" w:rsidRPr="00442496" w:rsidRDefault="007C3CBB" w:rsidP="0048434A">
            <w:pPr>
              <w:pStyle w:val="CETBodytext"/>
              <w:rPr>
                <w:rFonts w:eastAsia="SimSun"/>
                <w:lang w:val="en-GB"/>
              </w:rPr>
            </w:pPr>
            <w:r w:rsidRPr="00442496">
              <w:rPr>
                <w:rFonts w:eastAsia="SimSun"/>
                <w:lang w:val="en-GB"/>
              </w:rPr>
              <w:t>(Ustolin et al., 2020a)</w:t>
            </w:r>
          </w:p>
        </w:tc>
        <w:tc>
          <w:tcPr>
            <w:tcW w:w="1474" w:type="dxa"/>
            <w:tcBorders>
              <w:top w:val="single" w:sz="6" w:space="0" w:color="007635"/>
              <w:bottom w:val="single" w:sz="6" w:space="0" w:color="008000"/>
            </w:tcBorders>
            <w:shd w:val="clear" w:color="auto" w:fill="FFFFFF"/>
          </w:tcPr>
          <w:p w14:paraId="1643D413" w14:textId="02A74E0D" w:rsidR="00994FFA" w:rsidRPr="00442496" w:rsidRDefault="007C3CBB" w:rsidP="007C3CBB">
            <w:pPr>
              <w:pStyle w:val="CETBodytext"/>
              <w:jc w:val="left"/>
              <w:rPr>
                <w:rFonts w:eastAsia="SimSun"/>
                <w:lang w:val="en-GB"/>
              </w:rPr>
            </w:pPr>
            <w:r w:rsidRPr="00442496">
              <w:rPr>
                <w:rFonts w:eastAsia="SimSun"/>
                <w:lang w:val="en-GB"/>
              </w:rPr>
              <w:t>With combustion (this study)</w:t>
            </w:r>
          </w:p>
        </w:tc>
      </w:tr>
      <w:tr w:rsidR="00994FFA" w:rsidRPr="00442496" w14:paraId="23A6E2DB" w14:textId="41B777FC" w:rsidTr="007C3CBB">
        <w:tc>
          <w:tcPr>
            <w:tcW w:w="1701" w:type="dxa"/>
            <w:shd w:val="clear" w:color="auto" w:fill="FFFFFF"/>
          </w:tcPr>
          <w:p w14:paraId="4E826A23" w14:textId="2633E37A" w:rsidR="00994FFA" w:rsidRPr="00442496" w:rsidRDefault="007B4094" w:rsidP="0048434A">
            <w:pPr>
              <w:pStyle w:val="CETBodytext"/>
              <w:rPr>
                <w:lang w:val="en-GB"/>
              </w:rPr>
            </w:pPr>
            <w:r w:rsidRPr="00442496">
              <w:rPr>
                <w:lang w:val="en-GB"/>
              </w:rPr>
              <w:t>2</w:t>
            </w:r>
          </w:p>
        </w:tc>
        <w:tc>
          <w:tcPr>
            <w:tcW w:w="1091" w:type="dxa"/>
            <w:shd w:val="clear" w:color="auto" w:fill="FFFFFF"/>
          </w:tcPr>
          <w:p w14:paraId="7C2E9F6C" w14:textId="1856FC3A" w:rsidR="00994FFA" w:rsidRPr="00442496" w:rsidRDefault="006E663F" w:rsidP="0048434A">
            <w:pPr>
              <w:pStyle w:val="CETBodytext"/>
              <w:rPr>
                <w:lang w:val="en-GB"/>
              </w:rPr>
            </w:pPr>
            <w:r w:rsidRPr="00442496">
              <w:rPr>
                <w:lang w:val="en-GB"/>
              </w:rPr>
              <w:t>167</w:t>
            </w:r>
          </w:p>
        </w:tc>
        <w:tc>
          <w:tcPr>
            <w:tcW w:w="1928" w:type="dxa"/>
            <w:shd w:val="clear" w:color="auto" w:fill="FFFFFF"/>
          </w:tcPr>
          <w:p w14:paraId="39F584DD" w14:textId="318C5EDD" w:rsidR="00994FFA" w:rsidRPr="00442496" w:rsidRDefault="00C87EE0" w:rsidP="0048434A">
            <w:pPr>
              <w:pStyle w:val="CETBodytext"/>
              <w:rPr>
                <w:lang w:val="en-GB"/>
              </w:rPr>
            </w:pPr>
            <w:r w:rsidRPr="00442496">
              <w:rPr>
                <w:lang w:val="en-GB"/>
              </w:rPr>
              <w:t>118</w:t>
            </w:r>
          </w:p>
        </w:tc>
        <w:tc>
          <w:tcPr>
            <w:tcW w:w="1474" w:type="dxa"/>
            <w:shd w:val="clear" w:color="auto" w:fill="FFFFFF"/>
          </w:tcPr>
          <w:p w14:paraId="3682DC22" w14:textId="69728313" w:rsidR="00994FFA" w:rsidRPr="00442496" w:rsidRDefault="00615936" w:rsidP="0048434A">
            <w:pPr>
              <w:pStyle w:val="CETBodytext"/>
              <w:rPr>
                <w:lang w:val="en-GB"/>
              </w:rPr>
            </w:pPr>
            <w:r w:rsidRPr="00442496">
              <w:rPr>
                <w:lang w:val="en-GB"/>
              </w:rPr>
              <w:t>365</w:t>
            </w:r>
          </w:p>
        </w:tc>
      </w:tr>
      <w:tr w:rsidR="00994FFA" w:rsidRPr="00442496" w14:paraId="486CB781" w14:textId="424977AC" w:rsidTr="007C3CBB">
        <w:tc>
          <w:tcPr>
            <w:tcW w:w="1701" w:type="dxa"/>
            <w:shd w:val="clear" w:color="auto" w:fill="FFFFFF"/>
          </w:tcPr>
          <w:p w14:paraId="54599F55" w14:textId="7BDB229E" w:rsidR="00994FFA" w:rsidRPr="00442496" w:rsidRDefault="007B4094" w:rsidP="0048434A">
            <w:pPr>
              <w:pStyle w:val="CETBodytext"/>
              <w:rPr>
                <w:lang w:val="en-GB"/>
              </w:rPr>
            </w:pPr>
            <w:r w:rsidRPr="00442496">
              <w:rPr>
                <w:lang w:val="en-GB"/>
              </w:rPr>
              <w:t>4</w:t>
            </w:r>
          </w:p>
        </w:tc>
        <w:tc>
          <w:tcPr>
            <w:tcW w:w="1091" w:type="dxa"/>
            <w:shd w:val="clear" w:color="auto" w:fill="FFFFFF"/>
          </w:tcPr>
          <w:p w14:paraId="0D426D6D" w14:textId="7C28975D" w:rsidR="00994FFA" w:rsidRPr="00442496" w:rsidRDefault="006E663F" w:rsidP="0048434A">
            <w:pPr>
              <w:pStyle w:val="CETBodytext"/>
              <w:rPr>
                <w:lang w:val="en-GB"/>
              </w:rPr>
            </w:pPr>
            <w:r w:rsidRPr="00442496">
              <w:rPr>
                <w:lang w:val="en-GB"/>
              </w:rPr>
              <w:t>110</w:t>
            </w:r>
          </w:p>
        </w:tc>
        <w:tc>
          <w:tcPr>
            <w:tcW w:w="1928" w:type="dxa"/>
            <w:shd w:val="clear" w:color="auto" w:fill="FFFFFF"/>
          </w:tcPr>
          <w:p w14:paraId="6338A051" w14:textId="64315B61" w:rsidR="00994FFA" w:rsidRPr="00442496" w:rsidRDefault="001C7863" w:rsidP="0048434A">
            <w:pPr>
              <w:pStyle w:val="CETBodytext"/>
              <w:rPr>
                <w:lang w:val="en-GB"/>
              </w:rPr>
            </w:pPr>
            <w:r w:rsidRPr="00442496">
              <w:rPr>
                <w:lang w:val="en-GB"/>
              </w:rPr>
              <w:t>194</w:t>
            </w:r>
          </w:p>
        </w:tc>
        <w:tc>
          <w:tcPr>
            <w:tcW w:w="1474" w:type="dxa"/>
            <w:shd w:val="clear" w:color="auto" w:fill="FFFFFF"/>
          </w:tcPr>
          <w:p w14:paraId="1780DCFA" w14:textId="4E35D77C" w:rsidR="00994FFA" w:rsidRPr="00442496" w:rsidRDefault="00DB19D5" w:rsidP="0048434A">
            <w:pPr>
              <w:pStyle w:val="CETBodytext"/>
              <w:rPr>
                <w:lang w:val="en-GB"/>
              </w:rPr>
            </w:pPr>
            <w:r w:rsidRPr="00442496">
              <w:rPr>
                <w:lang w:val="en-GB"/>
              </w:rPr>
              <w:t>388</w:t>
            </w:r>
          </w:p>
        </w:tc>
      </w:tr>
      <w:tr w:rsidR="00994FFA" w:rsidRPr="00442496" w14:paraId="5B2BF846" w14:textId="7309A485" w:rsidTr="007C3CBB">
        <w:tc>
          <w:tcPr>
            <w:tcW w:w="1701" w:type="dxa"/>
            <w:shd w:val="clear" w:color="auto" w:fill="FFFFFF"/>
          </w:tcPr>
          <w:p w14:paraId="71CAE0BD" w14:textId="4ED1AA0A" w:rsidR="00994FFA" w:rsidRPr="00442496" w:rsidRDefault="007B4094" w:rsidP="0048434A">
            <w:pPr>
              <w:pStyle w:val="CETBodytext"/>
              <w:ind w:right="-1"/>
              <w:rPr>
                <w:rFonts w:cs="Arial"/>
                <w:szCs w:val="18"/>
                <w:lang w:val="en-GB"/>
              </w:rPr>
            </w:pPr>
            <w:r w:rsidRPr="00442496">
              <w:rPr>
                <w:rFonts w:cs="Arial"/>
                <w:szCs w:val="18"/>
                <w:lang w:val="en-GB"/>
              </w:rPr>
              <w:t>11</w:t>
            </w:r>
          </w:p>
        </w:tc>
        <w:tc>
          <w:tcPr>
            <w:tcW w:w="1091" w:type="dxa"/>
            <w:shd w:val="clear" w:color="auto" w:fill="FFFFFF"/>
          </w:tcPr>
          <w:p w14:paraId="0F1CB3D7" w14:textId="039E9B78" w:rsidR="00994FFA" w:rsidRPr="00442496" w:rsidRDefault="007C3CBB" w:rsidP="0048434A">
            <w:pPr>
              <w:pStyle w:val="CETBodytext"/>
              <w:ind w:right="-1"/>
              <w:rPr>
                <w:rFonts w:cs="Arial"/>
                <w:szCs w:val="18"/>
                <w:lang w:val="en-GB"/>
              </w:rPr>
            </w:pPr>
            <w:r w:rsidRPr="00442496">
              <w:rPr>
                <w:rFonts w:cs="Arial"/>
                <w:szCs w:val="18"/>
                <w:lang w:val="en-GB"/>
              </w:rPr>
              <w:t>470</w:t>
            </w:r>
          </w:p>
        </w:tc>
        <w:tc>
          <w:tcPr>
            <w:tcW w:w="1928" w:type="dxa"/>
            <w:shd w:val="clear" w:color="auto" w:fill="FFFFFF"/>
          </w:tcPr>
          <w:p w14:paraId="1271107A" w14:textId="4FE18782" w:rsidR="00994FFA" w:rsidRPr="00442496" w:rsidRDefault="00BA5D0D" w:rsidP="0048434A">
            <w:pPr>
              <w:pStyle w:val="CETBodytext"/>
              <w:ind w:right="-1"/>
              <w:rPr>
                <w:rFonts w:cs="Arial"/>
                <w:szCs w:val="18"/>
                <w:lang w:val="en-GB"/>
              </w:rPr>
            </w:pPr>
            <w:r w:rsidRPr="00442496">
              <w:rPr>
                <w:rFonts w:cs="Arial"/>
                <w:szCs w:val="18"/>
                <w:lang w:val="en-GB"/>
              </w:rPr>
              <w:t>362</w:t>
            </w:r>
          </w:p>
        </w:tc>
        <w:tc>
          <w:tcPr>
            <w:tcW w:w="1474" w:type="dxa"/>
            <w:shd w:val="clear" w:color="auto" w:fill="FFFFFF"/>
          </w:tcPr>
          <w:p w14:paraId="53F97B2D" w14:textId="078554A7" w:rsidR="00994FFA" w:rsidRPr="00442496" w:rsidRDefault="00DB19D5" w:rsidP="0048434A">
            <w:pPr>
              <w:pStyle w:val="CETBodytext"/>
              <w:ind w:right="-1"/>
              <w:rPr>
                <w:rFonts w:cs="Arial"/>
                <w:szCs w:val="18"/>
                <w:lang w:val="en-GB"/>
              </w:rPr>
            </w:pPr>
            <w:r w:rsidRPr="00442496">
              <w:rPr>
                <w:rFonts w:cs="Arial"/>
                <w:szCs w:val="18"/>
                <w:lang w:val="en-GB"/>
              </w:rPr>
              <w:t>461</w:t>
            </w:r>
          </w:p>
        </w:tc>
      </w:tr>
    </w:tbl>
    <w:p w14:paraId="289AFC84" w14:textId="77109D7F" w:rsidR="00F54E7C" w:rsidRPr="00442496" w:rsidRDefault="00F54E7C" w:rsidP="005F5C19">
      <w:pPr>
        <w:pStyle w:val="CETHeading1"/>
        <w:rPr>
          <w:lang w:val="en-GB"/>
        </w:rPr>
      </w:pPr>
      <w:r w:rsidRPr="00442496">
        <w:rPr>
          <w:lang w:val="en-GB"/>
        </w:rPr>
        <w:lastRenderedPageBreak/>
        <w:t>Discussion</w:t>
      </w:r>
    </w:p>
    <w:p w14:paraId="3A760F79" w14:textId="4B233024" w:rsidR="00F54E7C" w:rsidRPr="00BE4F4F" w:rsidRDefault="00F854BD" w:rsidP="00453E24">
      <w:pPr>
        <w:pStyle w:val="CETBodytext"/>
        <w:rPr>
          <w:lang w:val="en-GB"/>
        </w:rPr>
      </w:pPr>
      <w:r w:rsidRPr="00442496">
        <w:rPr>
          <w:lang w:val="en-GB"/>
        </w:rPr>
        <w:t>As already noticed by Ustolin et al. (2020a), the LH</w:t>
      </w:r>
      <w:r w:rsidRPr="00442496">
        <w:rPr>
          <w:vertAlign w:val="subscript"/>
          <w:lang w:val="en-GB"/>
        </w:rPr>
        <w:t>2</w:t>
      </w:r>
      <w:r w:rsidRPr="00442496">
        <w:rPr>
          <w:lang w:val="en-GB"/>
        </w:rPr>
        <w:t xml:space="preserve"> mass </w:t>
      </w:r>
      <w:r w:rsidR="00FF1E68" w:rsidRPr="00442496">
        <w:rPr>
          <w:lang w:val="en-GB"/>
        </w:rPr>
        <w:t xml:space="preserve">has not a large influence on the mechanical energy and the blast wave overpressure. </w:t>
      </w:r>
      <w:r w:rsidR="00310EBD" w:rsidRPr="00442496">
        <w:rPr>
          <w:lang w:val="en-GB"/>
        </w:rPr>
        <w:t>Contrarily</w:t>
      </w:r>
      <w:r w:rsidR="00FF1E68" w:rsidRPr="00442496">
        <w:rPr>
          <w:lang w:val="en-GB"/>
        </w:rPr>
        <w:t xml:space="preserve">, the initial tank pressure affects the most </w:t>
      </w:r>
      <w:r w:rsidR="00310EBD" w:rsidRPr="00442496">
        <w:rPr>
          <w:lang w:val="en-GB"/>
        </w:rPr>
        <w:t>yield of the explosion. This was observed a</w:t>
      </w:r>
      <w:r w:rsidR="004B0220" w:rsidRPr="00442496">
        <w:rPr>
          <w:lang w:val="en-GB"/>
        </w:rPr>
        <w:t>lso in this study where the chemical energy contribution was considered.</w:t>
      </w:r>
      <w:r w:rsidR="00AA385B" w:rsidRPr="00442496">
        <w:rPr>
          <w:lang w:val="en-GB"/>
        </w:rPr>
        <w:t xml:space="preserve"> </w:t>
      </w:r>
      <w:r w:rsidR="000921A2" w:rsidRPr="00442496">
        <w:rPr>
          <w:lang w:val="en-GB"/>
        </w:rPr>
        <w:t xml:space="preserve">The combustion process has </w:t>
      </w:r>
      <w:r w:rsidR="002C7631" w:rsidRPr="00442496">
        <w:rPr>
          <w:lang w:val="en-GB"/>
        </w:rPr>
        <w:t>a large influence on the estimation of the energy</w:t>
      </w:r>
      <w:r w:rsidR="00E95303" w:rsidRPr="00442496">
        <w:rPr>
          <w:lang w:val="en-GB"/>
        </w:rPr>
        <w:t xml:space="preserve"> generated by the explosion</w:t>
      </w:r>
      <w:r w:rsidR="002C7631" w:rsidRPr="00442496">
        <w:rPr>
          <w:lang w:val="en-GB"/>
        </w:rPr>
        <w:t xml:space="preserve">, thus </w:t>
      </w:r>
      <w:r w:rsidR="00E95303" w:rsidRPr="00442496">
        <w:rPr>
          <w:lang w:val="en-GB"/>
        </w:rPr>
        <w:t xml:space="preserve">on </w:t>
      </w:r>
      <w:r w:rsidR="002C7631" w:rsidRPr="00442496">
        <w:rPr>
          <w:lang w:val="en-GB"/>
        </w:rPr>
        <w:t xml:space="preserve">the overpressure of the </w:t>
      </w:r>
      <w:r w:rsidR="00AA3D1A" w:rsidRPr="00442496">
        <w:rPr>
          <w:lang w:val="en-GB"/>
        </w:rPr>
        <w:t>shock</w:t>
      </w:r>
      <w:r w:rsidR="002C7631" w:rsidRPr="00442496">
        <w:rPr>
          <w:lang w:val="en-GB"/>
        </w:rPr>
        <w:t xml:space="preserve"> wave. </w:t>
      </w:r>
      <w:r w:rsidR="00EC554B" w:rsidRPr="00442496">
        <w:rPr>
          <w:lang w:val="en-GB"/>
        </w:rPr>
        <w:t>T</w:t>
      </w:r>
      <w:r w:rsidR="002C7631" w:rsidRPr="00442496">
        <w:rPr>
          <w:lang w:val="en-GB"/>
        </w:rPr>
        <w:t xml:space="preserve">he </w:t>
      </w:r>
      <w:r w:rsidR="007B477F" w:rsidRPr="00442496">
        <w:rPr>
          <w:lang w:val="en-GB"/>
        </w:rPr>
        <w:t>total energy is one order of magnitude larger</w:t>
      </w:r>
      <w:r w:rsidR="00821DA8" w:rsidRPr="00442496">
        <w:rPr>
          <w:lang w:val="en-GB"/>
        </w:rPr>
        <w:t xml:space="preserve"> than the mechanical energy</w:t>
      </w:r>
      <w:r w:rsidR="007B477F" w:rsidRPr="00442496">
        <w:rPr>
          <w:lang w:val="en-GB"/>
        </w:rPr>
        <w:t xml:space="preserve"> if </w:t>
      </w:r>
      <w:r w:rsidR="00815042" w:rsidRPr="00442496">
        <w:rPr>
          <w:lang w:val="en-GB"/>
        </w:rPr>
        <w:t>a small fraction</w:t>
      </w:r>
      <w:r w:rsidR="00B12846" w:rsidRPr="00442496">
        <w:rPr>
          <w:lang w:val="en-GB"/>
        </w:rPr>
        <w:t xml:space="preserve"> of </w:t>
      </w:r>
      <w:r w:rsidR="007B477F" w:rsidRPr="00442496">
        <w:rPr>
          <w:lang w:val="en-GB"/>
        </w:rPr>
        <w:t xml:space="preserve">the chemical energy </w:t>
      </w:r>
      <w:r w:rsidR="007B477F" w:rsidRPr="00BE4F4F">
        <w:rPr>
          <w:lang w:val="en-GB"/>
        </w:rPr>
        <w:t>released during the</w:t>
      </w:r>
      <w:r w:rsidR="00B12846" w:rsidRPr="00BE4F4F">
        <w:rPr>
          <w:lang w:val="en-GB"/>
        </w:rPr>
        <w:t xml:space="preserve"> hydrogen combustion is considered to contribute to the blast wave. In this study, </w:t>
      </w:r>
      <w:r w:rsidR="003901AA" w:rsidRPr="00BE4F4F">
        <w:rPr>
          <w:lang w:val="en-GB"/>
        </w:rPr>
        <w:t xml:space="preserve">it was assumed that 5.2 % of this energy contributes to the shock wave as </w:t>
      </w:r>
      <w:r w:rsidR="00E92325" w:rsidRPr="00BE4F4F">
        <w:rPr>
          <w:lang w:val="en-GB"/>
        </w:rPr>
        <w:t xml:space="preserve">proposed by Molkov and </w:t>
      </w:r>
      <w:proofErr w:type="spellStart"/>
      <w:r w:rsidR="00E92325" w:rsidRPr="00BE4F4F">
        <w:rPr>
          <w:lang w:val="en-GB"/>
        </w:rPr>
        <w:t>Kashkarov</w:t>
      </w:r>
      <w:proofErr w:type="spellEnd"/>
      <w:r w:rsidR="00E92325" w:rsidRPr="00BE4F4F">
        <w:rPr>
          <w:lang w:val="en-GB"/>
        </w:rPr>
        <w:t xml:space="preserve"> (2015) for </w:t>
      </w:r>
      <w:r w:rsidR="0089102F" w:rsidRPr="00BE4F4F">
        <w:rPr>
          <w:lang w:val="en-GB"/>
        </w:rPr>
        <w:t>compressed gaseous hydrogen tank</w:t>
      </w:r>
      <w:r w:rsidR="005C4A66" w:rsidRPr="00BE4F4F">
        <w:rPr>
          <w:lang w:val="en-GB"/>
        </w:rPr>
        <w:t>s</w:t>
      </w:r>
      <w:r w:rsidR="0089102F" w:rsidRPr="00BE4F4F">
        <w:rPr>
          <w:lang w:val="en-GB"/>
        </w:rPr>
        <w:t xml:space="preserve"> explosions. </w:t>
      </w:r>
      <w:r w:rsidR="007F4507" w:rsidRPr="00BE4F4F">
        <w:rPr>
          <w:lang w:val="en-GB"/>
        </w:rPr>
        <w:t xml:space="preserve">A good agreement was obtained only with one of the BMW tests </w:t>
      </w:r>
      <w:r w:rsidR="00396D83" w:rsidRPr="00BE4F4F">
        <w:rPr>
          <w:lang w:val="en-GB"/>
        </w:rPr>
        <w:t xml:space="preserve">while a broad overprediction was </w:t>
      </w:r>
      <w:r w:rsidR="005C4A66" w:rsidRPr="00BE4F4F">
        <w:rPr>
          <w:lang w:val="en-GB"/>
        </w:rPr>
        <w:t>attained</w:t>
      </w:r>
      <w:r w:rsidR="00396D83" w:rsidRPr="00BE4F4F">
        <w:rPr>
          <w:lang w:val="en-GB"/>
        </w:rPr>
        <w:t xml:space="preserve"> </w:t>
      </w:r>
      <w:r w:rsidR="00053EF4" w:rsidRPr="00BE4F4F">
        <w:rPr>
          <w:lang w:val="en-GB"/>
        </w:rPr>
        <w:t xml:space="preserve">when compared </w:t>
      </w:r>
      <w:r w:rsidR="005C4A66" w:rsidRPr="00BE4F4F">
        <w:rPr>
          <w:lang w:val="en-GB"/>
        </w:rPr>
        <w:t>against</w:t>
      </w:r>
      <w:r w:rsidR="00053EF4" w:rsidRPr="00BE4F4F">
        <w:rPr>
          <w:lang w:val="en-GB"/>
        </w:rPr>
        <w:t xml:space="preserve"> the other overpressure measurements. It might be speculated that the </w:t>
      </w:r>
      <w:r w:rsidR="000F4DBD" w:rsidRPr="00BE4F4F">
        <w:rPr>
          <w:lang w:val="en-GB"/>
        </w:rPr>
        <w:t xml:space="preserve">combustion effect </w:t>
      </w:r>
      <w:r w:rsidR="00C43412" w:rsidRPr="00BE4F4F">
        <w:rPr>
          <w:lang w:val="en-GB"/>
        </w:rPr>
        <w:t xml:space="preserve">superimposed </w:t>
      </w:r>
      <w:r w:rsidR="00606B48" w:rsidRPr="00BE4F4F">
        <w:rPr>
          <w:lang w:val="en-GB"/>
        </w:rPr>
        <w:t xml:space="preserve">onto the </w:t>
      </w:r>
      <w:r w:rsidR="00C14BCE" w:rsidRPr="00BE4F4F">
        <w:rPr>
          <w:lang w:val="en-GB"/>
        </w:rPr>
        <w:t xml:space="preserve">physical explosion only in the test where the </w:t>
      </w:r>
      <w:r w:rsidR="0039047A" w:rsidRPr="00BE4F4F">
        <w:rPr>
          <w:lang w:val="en-GB"/>
        </w:rPr>
        <w:t>overpressure was the highest</w:t>
      </w:r>
      <w:r w:rsidR="004E67E2" w:rsidRPr="00BE4F4F">
        <w:rPr>
          <w:lang w:val="en-GB"/>
        </w:rPr>
        <w:t>,</w:t>
      </w:r>
      <w:r w:rsidR="0039047A" w:rsidRPr="00BE4F4F">
        <w:rPr>
          <w:lang w:val="en-GB"/>
        </w:rPr>
        <w:t xml:space="preserve"> as suggested by </w:t>
      </w:r>
      <w:proofErr w:type="spellStart"/>
      <w:r w:rsidR="0039047A" w:rsidRPr="00BE4F4F">
        <w:rPr>
          <w:lang w:val="en-GB"/>
        </w:rPr>
        <w:t>Pehr</w:t>
      </w:r>
      <w:proofErr w:type="spellEnd"/>
      <w:r w:rsidR="0039047A" w:rsidRPr="00BE4F4F">
        <w:rPr>
          <w:lang w:val="en-GB"/>
        </w:rPr>
        <w:t xml:space="preserve"> (1996).</w:t>
      </w:r>
      <w:r w:rsidR="00053EF4" w:rsidRPr="00BE4F4F">
        <w:rPr>
          <w:lang w:val="en-GB"/>
        </w:rPr>
        <w:t xml:space="preserve"> </w:t>
      </w:r>
      <w:r w:rsidR="004E67E2" w:rsidRPr="00BE4F4F">
        <w:rPr>
          <w:lang w:val="en-GB"/>
        </w:rPr>
        <w:t>However, t</w:t>
      </w:r>
      <w:r w:rsidR="009A26A9" w:rsidRPr="00BE4F4F">
        <w:rPr>
          <w:lang w:val="en-GB"/>
        </w:rPr>
        <w:t>h</w:t>
      </w:r>
      <w:r w:rsidR="004E67E2" w:rsidRPr="00BE4F4F">
        <w:rPr>
          <w:lang w:val="en-GB"/>
        </w:rPr>
        <w:t>e chemical energy</w:t>
      </w:r>
      <w:r w:rsidR="009A26A9" w:rsidRPr="00BE4F4F">
        <w:rPr>
          <w:lang w:val="en-GB"/>
        </w:rPr>
        <w:t xml:space="preserve"> coefficient </w:t>
      </w:r>
      <w:r w:rsidR="004E67E2" w:rsidRPr="00BE4F4F">
        <w:rPr>
          <w:lang w:val="en-GB"/>
        </w:rPr>
        <w:t>may</w:t>
      </w:r>
      <w:r w:rsidR="009A26A9" w:rsidRPr="00BE4F4F">
        <w:rPr>
          <w:lang w:val="en-GB"/>
        </w:rPr>
        <w:t xml:space="preserve"> be tuned </w:t>
      </w:r>
      <w:r w:rsidR="00807F88" w:rsidRPr="00BE4F4F">
        <w:rPr>
          <w:lang w:val="en-GB"/>
        </w:rPr>
        <w:t>to include the non-</w:t>
      </w:r>
      <w:proofErr w:type="spellStart"/>
      <w:r w:rsidR="00807F88" w:rsidRPr="00BE4F4F">
        <w:rPr>
          <w:lang w:val="en-GB"/>
        </w:rPr>
        <w:t>idealities</w:t>
      </w:r>
      <w:proofErr w:type="spellEnd"/>
      <w:r w:rsidR="00ED0F4E" w:rsidRPr="00BE4F4F">
        <w:rPr>
          <w:lang w:val="en-GB"/>
        </w:rPr>
        <w:t xml:space="preserve"> due to extremely low temperatures</w:t>
      </w:r>
      <w:r w:rsidR="00807F88" w:rsidRPr="00BE4F4F">
        <w:rPr>
          <w:lang w:val="en-GB"/>
        </w:rPr>
        <w:t xml:space="preserve"> and </w:t>
      </w:r>
      <w:r w:rsidR="00ED0F4E" w:rsidRPr="00BE4F4F">
        <w:rPr>
          <w:lang w:val="en-GB"/>
        </w:rPr>
        <w:t xml:space="preserve">to </w:t>
      </w:r>
      <w:r w:rsidR="00807F88" w:rsidRPr="00BE4F4F">
        <w:rPr>
          <w:lang w:val="en-GB"/>
        </w:rPr>
        <w:t>consider the non-infinitely fast reactions that occu</w:t>
      </w:r>
      <w:r w:rsidR="00ED0F4E" w:rsidRPr="00BE4F4F">
        <w:rPr>
          <w:lang w:val="en-GB"/>
        </w:rPr>
        <w:t>r, only</w:t>
      </w:r>
      <w:r w:rsidR="00807F88" w:rsidRPr="00BE4F4F">
        <w:rPr>
          <w:lang w:val="en-GB"/>
        </w:rPr>
        <w:t xml:space="preserve"> </w:t>
      </w:r>
      <w:r w:rsidR="009A26A9" w:rsidRPr="00BE4F4F">
        <w:rPr>
          <w:lang w:val="en-GB"/>
        </w:rPr>
        <w:t xml:space="preserve">when </w:t>
      </w:r>
      <w:r w:rsidR="00592F74" w:rsidRPr="00BE4F4F">
        <w:rPr>
          <w:lang w:val="en-GB"/>
        </w:rPr>
        <w:t>additional experimental data will be available for LH</w:t>
      </w:r>
      <w:r w:rsidR="00592F74" w:rsidRPr="00BE4F4F">
        <w:rPr>
          <w:vertAlign w:val="subscript"/>
          <w:lang w:val="en-GB"/>
        </w:rPr>
        <w:t>2</w:t>
      </w:r>
      <w:r w:rsidR="00592F74" w:rsidRPr="00BE4F4F">
        <w:rPr>
          <w:lang w:val="en-GB"/>
        </w:rPr>
        <w:t xml:space="preserve"> tanks.</w:t>
      </w:r>
      <w:r w:rsidR="00ED0F4E" w:rsidRPr="00BE4F4F">
        <w:rPr>
          <w:lang w:val="en-GB"/>
        </w:rPr>
        <w:t xml:space="preserve"> In this sense, a comparison of the characteristic time of each </w:t>
      </w:r>
      <w:r w:rsidR="00CF3905" w:rsidRPr="00BE4F4F">
        <w:rPr>
          <w:lang w:val="en-GB"/>
        </w:rPr>
        <w:t>phenomenon</w:t>
      </w:r>
      <w:r w:rsidR="00ED0F4E" w:rsidRPr="00BE4F4F">
        <w:rPr>
          <w:lang w:val="en-GB"/>
        </w:rPr>
        <w:t xml:space="preserve"> potentially involved in the </w:t>
      </w:r>
      <w:r w:rsidR="00BE4F4F" w:rsidRPr="00BE4F4F">
        <w:rPr>
          <w:lang w:val="en-GB"/>
        </w:rPr>
        <w:t>analysed</w:t>
      </w:r>
      <w:r w:rsidR="00ED0F4E" w:rsidRPr="00BE4F4F">
        <w:rPr>
          <w:lang w:val="en-GB"/>
        </w:rPr>
        <w:t xml:space="preserve"> scenario can be essential for the determination of the energy and overpressure generated by an accidental release of LH</w:t>
      </w:r>
      <w:r w:rsidR="00ED0F4E" w:rsidRPr="00BE4F4F">
        <w:rPr>
          <w:vertAlign w:val="subscript"/>
          <w:lang w:val="en-GB"/>
        </w:rPr>
        <w:t>2</w:t>
      </w:r>
      <w:r w:rsidR="00ED0F4E" w:rsidRPr="00BE4F4F">
        <w:rPr>
          <w:lang w:val="en-GB"/>
        </w:rPr>
        <w:t>.</w:t>
      </w:r>
    </w:p>
    <w:p w14:paraId="30AA6BC7" w14:textId="0F2EA36D" w:rsidR="00AD3B1F" w:rsidRPr="00BE4F4F" w:rsidRDefault="00AD3B1F" w:rsidP="00453E24">
      <w:pPr>
        <w:pStyle w:val="CETBodytext"/>
        <w:rPr>
          <w:lang w:val="en-GB"/>
        </w:rPr>
      </w:pPr>
      <w:r w:rsidRPr="00BE4F4F">
        <w:rPr>
          <w:lang w:val="en-GB"/>
        </w:rPr>
        <w:t>In this study, the TNT equivalent mass method</w:t>
      </w:r>
      <w:r w:rsidR="00BC2C3C" w:rsidRPr="00BE4F4F">
        <w:rPr>
          <w:lang w:val="en-GB"/>
        </w:rPr>
        <w:t>,</w:t>
      </w:r>
      <w:r w:rsidRPr="00BE4F4F">
        <w:rPr>
          <w:lang w:val="en-GB"/>
        </w:rPr>
        <w:t xml:space="preserve"> </w:t>
      </w:r>
      <w:r w:rsidR="00BC2C3C" w:rsidRPr="00BE4F4F">
        <w:rPr>
          <w:lang w:val="en-GB"/>
        </w:rPr>
        <w:t xml:space="preserve">which is usually extremely conservative in the near field, </w:t>
      </w:r>
      <w:r w:rsidRPr="00BE4F4F">
        <w:rPr>
          <w:lang w:val="en-GB"/>
        </w:rPr>
        <w:t>was employed</w:t>
      </w:r>
      <w:r w:rsidR="00BC2C3C" w:rsidRPr="00BE4F4F">
        <w:rPr>
          <w:lang w:val="en-GB"/>
        </w:rPr>
        <w:t xml:space="preserve">. </w:t>
      </w:r>
      <w:r w:rsidR="00C46D7F" w:rsidRPr="00BE4F4F">
        <w:rPr>
          <w:lang w:val="en-GB"/>
        </w:rPr>
        <w:t>As previously mentioned, the shock wave was measured at 3 m from the tank cent</w:t>
      </w:r>
      <w:r w:rsidR="00EC554B" w:rsidRPr="00BE4F4F">
        <w:rPr>
          <w:lang w:val="en-GB"/>
        </w:rPr>
        <w:t>re</w:t>
      </w:r>
      <w:r w:rsidR="00C46D7F" w:rsidRPr="00BE4F4F">
        <w:rPr>
          <w:lang w:val="en-GB"/>
        </w:rPr>
        <w:t xml:space="preserve"> which </w:t>
      </w:r>
      <w:r w:rsidR="00B60505" w:rsidRPr="00BE4F4F">
        <w:rPr>
          <w:lang w:val="en-GB"/>
        </w:rPr>
        <w:t xml:space="preserve">should be already </w:t>
      </w:r>
      <w:r w:rsidR="00114452" w:rsidRPr="00BE4F4F">
        <w:rPr>
          <w:lang w:val="en-GB"/>
        </w:rPr>
        <w:t xml:space="preserve">in </w:t>
      </w:r>
      <w:r w:rsidR="00B60505" w:rsidRPr="00BE4F4F">
        <w:rPr>
          <w:lang w:val="en-GB"/>
        </w:rPr>
        <w:t>the far</w:t>
      </w:r>
      <w:r w:rsidR="00EC554B" w:rsidRPr="00BE4F4F">
        <w:rPr>
          <w:lang w:val="en-GB"/>
        </w:rPr>
        <w:t>-</w:t>
      </w:r>
      <w:r w:rsidR="00B60505" w:rsidRPr="00BE4F4F">
        <w:rPr>
          <w:lang w:val="en-GB"/>
        </w:rPr>
        <w:t>fie</w:t>
      </w:r>
      <w:r w:rsidR="00592461" w:rsidRPr="00BE4F4F">
        <w:rPr>
          <w:lang w:val="en-GB"/>
        </w:rPr>
        <w:t>ld</w:t>
      </w:r>
      <w:r w:rsidR="001E0980" w:rsidRPr="00BE4F4F">
        <w:rPr>
          <w:lang w:val="en-GB"/>
        </w:rPr>
        <w:t xml:space="preserve"> for th</w:t>
      </w:r>
      <w:r w:rsidR="00114452" w:rsidRPr="00BE4F4F">
        <w:rPr>
          <w:lang w:val="en-GB"/>
        </w:rPr>
        <w:t>e</w:t>
      </w:r>
      <w:r w:rsidR="00663C0C" w:rsidRPr="00BE4F4F">
        <w:rPr>
          <w:lang w:val="en-GB"/>
        </w:rPr>
        <w:t xml:space="preserve"> size of the</w:t>
      </w:r>
      <w:r w:rsidR="00114452" w:rsidRPr="00BE4F4F">
        <w:rPr>
          <w:lang w:val="en-GB"/>
        </w:rPr>
        <w:t xml:space="preserve"> tested </w:t>
      </w:r>
      <w:r w:rsidR="001E0980" w:rsidRPr="00BE4F4F">
        <w:rPr>
          <w:lang w:val="en-GB"/>
        </w:rPr>
        <w:t>tanks (0.120 m</w:t>
      </w:r>
      <w:r w:rsidR="001E0980" w:rsidRPr="00BE4F4F">
        <w:rPr>
          <w:vertAlign w:val="superscript"/>
          <w:lang w:val="en-GB"/>
        </w:rPr>
        <w:t>3</w:t>
      </w:r>
      <w:r w:rsidR="001E0980" w:rsidRPr="00BE4F4F">
        <w:rPr>
          <w:lang w:val="en-GB"/>
        </w:rPr>
        <w:t xml:space="preserve"> (</w:t>
      </w:r>
      <w:proofErr w:type="spellStart"/>
      <w:r w:rsidR="001E0980" w:rsidRPr="00BE4F4F">
        <w:rPr>
          <w:lang w:val="en-GB"/>
        </w:rPr>
        <w:t>Pehr</w:t>
      </w:r>
      <w:proofErr w:type="spellEnd"/>
      <w:r w:rsidR="001E0980" w:rsidRPr="00BE4F4F">
        <w:rPr>
          <w:lang w:val="en-GB"/>
        </w:rPr>
        <w:t>, 1996))</w:t>
      </w:r>
      <w:r w:rsidR="00592461" w:rsidRPr="00BE4F4F">
        <w:rPr>
          <w:lang w:val="en-GB"/>
        </w:rPr>
        <w:t>.</w:t>
      </w:r>
      <w:r w:rsidR="00663C0C" w:rsidRPr="00BE4F4F">
        <w:rPr>
          <w:lang w:val="en-GB"/>
        </w:rPr>
        <w:t xml:space="preserve"> Therefore, the TNT method should not have </w:t>
      </w:r>
      <w:r w:rsidR="0028560C" w:rsidRPr="00BE4F4F">
        <w:rPr>
          <w:lang w:val="en-GB"/>
        </w:rPr>
        <w:t>provided</w:t>
      </w:r>
      <w:r w:rsidR="00663C0C" w:rsidRPr="00BE4F4F">
        <w:rPr>
          <w:lang w:val="en-GB"/>
        </w:rPr>
        <w:t xml:space="preserve"> </w:t>
      </w:r>
      <w:r w:rsidR="0028560C" w:rsidRPr="00BE4F4F">
        <w:rPr>
          <w:lang w:val="en-GB"/>
        </w:rPr>
        <w:t>high</w:t>
      </w:r>
      <w:r w:rsidR="00E25A77" w:rsidRPr="00BE4F4F">
        <w:rPr>
          <w:lang w:val="en-GB"/>
        </w:rPr>
        <w:t xml:space="preserve"> conservative overpressure estimations.</w:t>
      </w:r>
      <w:r w:rsidR="00592461" w:rsidRPr="00BE4F4F">
        <w:rPr>
          <w:lang w:val="en-GB"/>
        </w:rPr>
        <w:t xml:space="preserve"> </w:t>
      </w:r>
      <w:r w:rsidR="00E25A77" w:rsidRPr="00BE4F4F">
        <w:rPr>
          <w:lang w:val="en-GB"/>
        </w:rPr>
        <w:t>Nevertheless, a</w:t>
      </w:r>
      <w:r w:rsidR="00592461" w:rsidRPr="00BE4F4F">
        <w:rPr>
          <w:lang w:val="en-GB"/>
        </w:rPr>
        <w:t xml:space="preserve"> comparison with other methods</w:t>
      </w:r>
      <w:r w:rsidR="003E76E3" w:rsidRPr="00BE4F4F">
        <w:rPr>
          <w:lang w:val="en-GB"/>
        </w:rPr>
        <w:t>,</w:t>
      </w:r>
      <w:r w:rsidR="00592461" w:rsidRPr="00BE4F4F">
        <w:rPr>
          <w:lang w:val="en-GB"/>
        </w:rPr>
        <w:t xml:space="preserve"> such as the Sachs scaling law</w:t>
      </w:r>
      <w:r w:rsidR="00440F4D" w:rsidRPr="00BE4F4F">
        <w:rPr>
          <w:lang w:val="en-GB"/>
        </w:rPr>
        <w:t xml:space="preserve"> (Sachs, 1944)</w:t>
      </w:r>
      <w:r w:rsidR="00592461" w:rsidRPr="00BE4F4F">
        <w:rPr>
          <w:lang w:val="en-GB"/>
        </w:rPr>
        <w:t xml:space="preserve"> or the one suggested by Baker et al. (1983)</w:t>
      </w:r>
      <w:r w:rsidR="003E76E3" w:rsidRPr="00BE4F4F">
        <w:rPr>
          <w:lang w:val="en-GB"/>
        </w:rPr>
        <w:t xml:space="preserve">, </w:t>
      </w:r>
      <w:r w:rsidR="001E0980" w:rsidRPr="00BE4F4F">
        <w:rPr>
          <w:lang w:val="en-GB"/>
        </w:rPr>
        <w:t>should</w:t>
      </w:r>
      <w:r w:rsidR="003E76E3" w:rsidRPr="00BE4F4F">
        <w:rPr>
          <w:lang w:val="en-GB"/>
        </w:rPr>
        <w:t xml:space="preserve"> be conducted in future studies.</w:t>
      </w:r>
    </w:p>
    <w:p w14:paraId="56413CD6" w14:textId="6DBC4E8F" w:rsidR="00DF6477" w:rsidRPr="00BE4F4F" w:rsidRDefault="00DA6910" w:rsidP="00453E24">
      <w:pPr>
        <w:pStyle w:val="CETBodytext"/>
        <w:rPr>
          <w:lang w:val="en-GB"/>
        </w:rPr>
      </w:pPr>
      <w:r w:rsidRPr="00BE4F4F">
        <w:rPr>
          <w:lang w:val="en-GB"/>
        </w:rPr>
        <w:t>Since hydrogen has a low critical pressure</w:t>
      </w:r>
      <w:r w:rsidR="0029391C" w:rsidRPr="00BE4F4F">
        <w:rPr>
          <w:lang w:val="en-GB"/>
        </w:rPr>
        <w:t xml:space="preserve"> compared with other gases</w:t>
      </w:r>
      <w:r w:rsidR="0004542B" w:rsidRPr="00BE4F4F">
        <w:rPr>
          <w:lang w:val="en-GB"/>
        </w:rPr>
        <w:t>,</w:t>
      </w:r>
      <w:r w:rsidR="0029391C" w:rsidRPr="00BE4F4F">
        <w:rPr>
          <w:lang w:val="en-GB"/>
        </w:rPr>
        <w:t xml:space="preserve"> </w:t>
      </w:r>
      <w:r w:rsidRPr="00BE4F4F">
        <w:rPr>
          <w:lang w:val="en-GB"/>
        </w:rPr>
        <w:t>the explosion of the tank at supercritical conditions should be further investigated</w:t>
      </w:r>
      <w:r w:rsidR="0029391C" w:rsidRPr="00BE4F4F">
        <w:rPr>
          <w:lang w:val="en-GB"/>
        </w:rPr>
        <w:t>.</w:t>
      </w:r>
      <w:r w:rsidR="00FC30DE" w:rsidRPr="00BE4F4F">
        <w:rPr>
          <w:lang w:val="en-GB"/>
        </w:rPr>
        <w:t xml:space="preserve"> This might be a possible scenario when the tank is exposed to an external fire</w:t>
      </w:r>
      <w:r w:rsidR="00FA1D94" w:rsidRPr="00BE4F4F">
        <w:rPr>
          <w:lang w:val="en-GB"/>
        </w:rPr>
        <w:t xml:space="preserve"> and not wrecked by explosive</w:t>
      </w:r>
      <w:r w:rsidR="0028560C" w:rsidRPr="00BE4F4F">
        <w:rPr>
          <w:lang w:val="en-GB"/>
        </w:rPr>
        <w:t>s</w:t>
      </w:r>
      <w:r w:rsidR="00FA1D94" w:rsidRPr="00BE4F4F">
        <w:rPr>
          <w:lang w:val="en-GB"/>
        </w:rPr>
        <w:t xml:space="preserve"> as during the BMW tests.</w:t>
      </w:r>
      <w:r w:rsidR="0029391C" w:rsidRPr="00BE4F4F">
        <w:rPr>
          <w:lang w:val="en-GB"/>
        </w:rPr>
        <w:t xml:space="preserve"> In </w:t>
      </w:r>
      <w:r w:rsidR="00F37E72" w:rsidRPr="00BE4F4F">
        <w:rPr>
          <w:lang w:val="en-GB"/>
        </w:rPr>
        <w:t>any</w:t>
      </w:r>
      <w:r w:rsidR="000977DC" w:rsidRPr="00BE4F4F">
        <w:rPr>
          <w:lang w:val="en-GB"/>
        </w:rPr>
        <w:t xml:space="preserve"> case</w:t>
      </w:r>
      <w:r w:rsidR="0029391C" w:rsidRPr="00BE4F4F">
        <w:rPr>
          <w:lang w:val="en-GB"/>
        </w:rPr>
        <w:t xml:space="preserve">, the combustion process should be accounted for </w:t>
      </w:r>
      <w:r w:rsidR="00802954" w:rsidRPr="00BE4F4F">
        <w:rPr>
          <w:lang w:val="en-GB"/>
        </w:rPr>
        <w:t>due to the presence of an ignition source</w:t>
      </w:r>
      <w:r w:rsidR="0083681F" w:rsidRPr="00BE4F4F">
        <w:rPr>
          <w:lang w:val="en-GB"/>
        </w:rPr>
        <w:t>. Ustolin et al. (2020</w:t>
      </w:r>
      <w:r w:rsidR="00FC30DE" w:rsidRPr="00BE4F4F">
        <w:rPr>
          <w:lang w:val="en-GB"/>
        </w:rPr>
        <w:t>a</w:t>
      </w:r>
      <w:r w:rsidR="0083681F" w:rsidRPr="00BE4F4F">
        <w:rPr>
          <w:lang w:val="en-GB"/>
        </w:rPr>
        <w:t>)</w:t>
      </w:r>
      <w:r w:rsidR="00F37E72" w:rsidRPr="00BE4F4F">
        <w:rPr>
          <w:lang w:val="en-GB"/>
        </w:rPr>
        <w:t>,</w:t>
      </w:r>
      <w:r w:rsidR="00802954" w:rsidRPr="00BE4F4F">
        <w:rPr>
          <w:lang w:val="en-GB"/>
        </w:rPr>
        <w:t xml:space="preserve"> </w:t>
      </w:r>
      <w:r w:rsidR="00F37E72" w:rsidRPr="00BE4F4F">
        <w:rPr>
          <w:lang w:val="en-GB"/>
        </w:rPr>
        <w:t xml:space="preserve">who considered supercritical BLEVEs, </w:t>
      </w:r>
      <w:r w:rsidR="00802954" w:rsidRPr="00BE4F4F">
        <w:rPr>
          <w:lang w:val="en-GB"/>
        </w:rPr>
        <w:t xml:space="preserve">assumed that the </w:t>
      </w:r>
      <w:r w:rsidR="007B77C4" w:rsidRPr="00BE4F4F">
        <w:rPr>
          <w:lang w:val="en-GB"/>
        </w:rPr>
        <w:t xml:space="preserve">entire </w:t>
      </w:r>
      <w:r w:rsidR="00802954" w:rsidRPr="00BE4F4F">
        <w:rPr>
          <w:lang w:val="en-GB"/>
        </w:rPr>
        <w:t xml:space="preserve">tank content was </w:t>
      </w:r>
      <w:r w:rsidR="007B77C4" w:rsidRPr="00BE4F4F">
        <w:rPr>
          <w:lang w:val="en-GB"/>
        </w:rPr>
        <w:t xml:space="preserve">in supercritical </w:t>
      </w:r>
      <w:r w:rsidR="00417C4D" w:rsidRPr="00BE4F4F">
        <w:rPr>
          <w:lang w:val="en-GB"/>
        </w:rPr>
        <w:t>conditions,</w:t>
      </w:r>
      <w:r w:rsidR="007B77C4" w:rsidRPr="00BE4F4F">
        <w:rPr>
          <w:lang w:val="en-GB"/>
        </w:rPr>
        <w:t xml:space="preserve"> </w:t>
      </w:r>
      <w:r w:rsidR="00F37E72" w:rsidRPr="00BE4F4F">
        <w:rPr>
          <w:lang w:val="en-GB"/>
        </w:rPr>
        <w:t>hence</w:t>
      </w:r>
      <w:r w:rsidR="007B77C4" w:rsidRPr="00BE4F4F">
        <w:rPr>
          <w:lang w:val="en-GB"/>
        </w:rPr>
        <w:t xml:space="preserve"> it was not possible to distinguish </w:t>
      </w:r>
      <w:r w:rsidR="00417C4D" w:rsidRPr="00BE4F4F">
        <w:rPr>
          <w:lang w:val="en-GB"/>
        </w:rPr>
        <w:t xml:space="preserve">the liquid and gaseous phases. However, </w:t>
      </w:r>
      <w:r w:rsidR="00FE73CE" w:rsidRPr="00BE4F4F">
        <w:rPr>
          <w:lang w:val="en-GB"/>
        </w:rPr>
        <w:t>the liquid phase could exist even though the pressure is higher than the critical one thanks to the super insulation of the LH</w:t>
      </w:r>
      <w:r w:rsidR="00FE73CE" w:rsidRPr="00BE4F4F">
        <w:rPr>
          <w:vertAlign w:val="subscript"/>
          <w:lang w:val="en-GB"/>
        </w:rPr>
        <w:t>2</w:t>
      </w:r>
      <w:r w:rsidR="00FE73CE" w:rsidRPr="00BE4F4F">
        <w:rPr>
          <w:lang w:val="en-GB"/>
        </w:rPr>
        <w:t xml:space="preserve"> double</w:t>
      </w:r>
      <w:r w:rsidR="00EC554B" w:rsidRPr="00BE4F4F">
        <w:rPr>
          <w:lang w:val="en-GB"/>
        </w:rPr>
        <w:t>-</w:t>
      </w:r>
      <w:r w:rsidR="00FE73CE" w:rsidRPr="00BE4F4F">
        <w:rPr>
          <w:lang w:val="en-GB"/>
        </w:rPr>
        <w:t>walled tank</w:t>
      </w:r>
      <w:r w:rsidR="003475AF" w:rsidRPr="00BE4F4F">
        <w:rPr>
          <w:lang w:val="en-GB"/>
        </w:rPr>
        <w:t xml:space="preserve"> and the high LH</w:t>
      </w:r>
      <w:r w:rsidR="003475AF" w:rsidRPr="00BE4F4F">
        <w:rPr>
          <w:vertAlign w:val="subscript"/>
          <w:lang w:val="en-GB"/>
        </w:rPr>
        <w:t>2</w:t>
      </w:r>
      <w:r w:rsidR="003475AF" w:rsidRPr="00BE4F4F">
        <w:rPr>
          <w:lang w:val="en-GB"/>
        </w:rPr>
        <w:t xml:space="preserve"> specific heat capacity.</w:t>
      </w:r>
      <w:r w:rsidR="00047F33" w:rsidRPr="00BE4F4F">
        <w:rPr>
          <w:lang w:val="en-GB"/>
        </w:rPr>
        <w:t xml:space="preserve"> </w:t>
      </w:r>
      <w:r w:rsidR="00353A4D" w:rsidRPr="00BE4F4F">
        <w:rPr>
          <w:lang w:val="en-GB"/>
        </w:rPr>
        <w:t>In this case, t</w:t>
      </w:r>
      <w:r w:rsidR="00047F33" w:rsidRPr="00BE4F4F">
        <w:rPr>
          <w:lang w:val="en-GB"/>
        </w:rPr>
        <w:t xml:space="preserve">he requisite for the liquid phase to exist </w:t>
      </w:r>
      <w:r w:rsidR="00353A4D" w:rsidRPr="00BE4F4F">
        <w:rPr>
          <w:lang w:val="en-GB"/>
        </w:rPr>
        <w:t xml:space="preserve">is to have a temperature lower than the critical one. The </w:t>
      </w:r>
      <w:r w:rsidR="004D3119" w:rsidRPr="00BE4F4F">
        <w:rPr>
          <w:lang w:val="en-GB"/>
        </w:rPr>
        <w:t xml:space="preserve">effect of the </w:t>
      </w:r>
      <w:r w:rsidR="00576146" w:rsidRPr="00BE4F4F">
        <w:rPr>
          <w:lang w:val="en-GB"/>
        </w:rPr>
        <w:t>liquid</w:t>
      </w:r>
      <w:r w:rsidR="004F3C09" w:rsidRPr="00BE4F4F">
        <w:rPr>
          <w:lang w:val="en-GB"/>
        </w:rPr>
        <w:t xml:space="preserve"> in supercritical conditions</w:t>
      </w:r>
      <w:r w:rsidR="00576146" w:rsidRPr="00BE4F4F">
        <w:rPr>
          <w:lang w:val="en-GB"/>
        </w:rPr>
        <w:t xml:space="preserve"> </w:t>
      </w:r>
      <w:r w:rsidR="004F3C09" w:rsidRPr="00BE4F4F">
        <w:rPr>
          <w:lang w:val="en-GB"/>
        </w:rPr>
        <w:t xml:space="preserve">on the explosion </w:t>
      </w:r>
      <w:r w:rsidR="00312D59" w:rsidRPr="00BE4F4F">
        <w:rPr>
          <w:lang w:val="en-GB"/>
        </w:rPr>
        <w:t xml:space="preserve">yield </w:t>
      </w:r>
      <w:r w:rsidR="004F3C09" w:rsidRPr="00BE4F4F">
        <w:rPr>
          <w:lang w:val="en-GB"/>
        </w:rPr>
        <w:t>should be investigate</w:t>
      </w:r>
      <w:r w:rsidR="00EC554B" w:rsidRPr="00BE4F4F">
        <w:rPr>
          <w:lang w:val="en-GB"/>
        </w:rPr>
        <w:t>d</w:t>
      </w:r>
      <w:r w:rsidR="00DF6477" w:rsidRPr="00BE4F4F">
        <w:rPr>
          <w:lang w:val="en-GB"/>
        </w:rPr>
        <w:t xml:space="preserve"> in future studies.</w:t>
      </w:r>
      <w:r w:rsidR="00E30D3C" w:rsidRPr="00BE4F4F">
        <w:rPr>
          <w:lang w:val="en-GB"/>
        </w:rPr>
        <w:t xml:space="preserve"> </w:t>
      </w:r>
      <w:r w:rsidR="00ED0F4E" w:rsidRPr="00BE4F4F">
        <w:rPr>
          <w:lang w:val="en-GB"/>
        </w:rPr>
        <w:t>Eventually</w:t>
      </w:r>
      <w:r w:rsidR="00DF6477" w:rsidRPr="00BE4F4F">
        <w:rPr>
          <w:lang w:val="en-GB"/>
        </w:rPr>
        <w:t xml:space="preserve">, the </w:t>
      </w:r>
      <w:r w:rsidR="00ED0F4E" w:rsidRPr="00BE4F4F">
        <w:rPr>
          <w:lang w:val="en-GB"/>
        </w:rPr>
        <w:t>contribut</w:t>
      </w:r>
      <w:r w:rsidR="00EC554B" w:rsidRPr="00BE4F4F">
        <w:rPr>
          <w:lang w:val="en-GB"/>
        </w:rPr>
        <w:t>ion</w:t>
      </w:r>
      <w:r w:rsidR="00ED0F4E" w:rsidRPr="00BE4F4F">
        <w:rPr>
          <w:lang w:val="en-GB"/>
        </w:rPr>
        <w:t xml:space="preserve"> </w:t>
      </w:r>
      <w:r w:rsidR="00EC554B" w:rsidRPr="00BE4F4F">
        <w:rPr>
          <w:lang w:val="en-GB"/>
        </w:rPr>
        <w:t>to</w:t>
      </w:r>
      <w:r w:rsidR="00ED0F4E" w:rsidRPr="00BE4F4F">
        <w:rPr>
          <w:lang w:val="en-GB"/>
        </w:rPr>
        <w:t xml:space="preserve"> the overall energy budget of the significantly endothermic conversion from </w:t>
      </w:r>
      <w:proofErr w:type="gramStart"/>
      <w:r w:rsidR="00DF6477" w:rsidRPr="00BE4F4F">
        <w:rPr>
          <w:lang w:val="en-GB"/>
        </w:rPr>
        <w:t>para</w:t>
      </w:r>
      <w:r w:rsidR="00ED0F4E" w:rsidRPr="00BE4F4F">
        <w:rPr>
          <w:lang w:val="en-GB"/>
        </w:rPr>
        <w:t>-hydrogen</w:t>
      </w:r>
      <w:proofErr w:type="gramEnd"/>
      <w:r w:rsidR="00DF6477" w:rsidRPr="00BE4F4F">
        <w:rPr>
          <w:lang w:val="en-GB"/>
        </w:rPr>
        <w:t xml:space="preserve"> to ortho</w:t>
      </w:r>
      <w:r w:rsidR="00ED0F4E" w:rsidRPr="00BE4F4F">
        <w:rPr>
          <w:lang w:val="en-GB"/>
        </w:rPr>
        <w:t>-hydrogen</w:t>
      </w:r>
      <w:r w:rsidR="00DF6477" w:rsidRPr="00BE4F4F">
        <w:rPr>
          <w:lang w:val="en-GB"/>
        </w:rPr>
        <w:t xml:space="preserve"> </w:t>
      </w:r>
      <w:r w:rsidR="00F854BD" w:rsidRPr="00BE4F4F">
        <w:rPr>
          <w:lang w:val="en-GB"/>
        </w:rPr>
        <w:t xml:space="preserve">should be </w:t>
      </w:r>
      <w:r w:rsidR="00BE4F4F" w:rsidRPr="00BE4F4F">
        <w:rPr>
          <w:lang w:val="en-GB"/>
        </w:rPr>
        <w:t>analysed</w:t>
      </w:r>
      <w:r w:rsidR="00F854BD" w:rsidRPr="00BE4F4F">
        <w:rPr>
          <w:lang w:val="en-GB"/>
        </w:rPr>
        <w:t xml:space="preserve">. As described by </w:t>
      </w:r>
      <w:r w:rsidR="005E72C2" w:rsidRPr="00BE4F4F">
        <w:rPr>
          <w:lang w:val="en-GB"/>
        </w:rPr>
        <w:t>Salzano et al. (2020), th</w:t>
      </w:r>
      <w:r w:rsidR="00835000" w:rsidRPr="00BE4F4F">
        <w:rPr>
          <w:lang w:val="en-GB"/>
        </w:rPr>
        <w:t>e neglection of this</w:t>
      </w:r>
      <w:r w:rsidR="005E72C2" w:rsidRPr="00BE4F4F">
        <w:rPr>
          <w:lang w:val="en-GB"/>
        </w:rPr>
        <w:t xml:space="preserve"> phenomenon</w:t>
      </w:r>
      <w:r w:rsidR="005E6C8E" w:rsidRPr="00BE4F4F">
        <w:rPr>
          <w:lang w:val="en-GB"/>
        </w:rPr>
        <w:t xml:space="preserve"> on the </w:t>
      </w:r>
      <w:r w:rsidR="00CF3905" w:rsidRPr="00BE4F4F">
        <w:rPr>
          <w:lang w:val="en-GB"/>
        </w:rPr>
        <w:t xml:space="preserve">characterization of scenarios involving </w:t>
      </w:r>
      <w:r w:rsidR="005E6C8E" w:rsidRPr="00BE4F4F">
        <w:rPr>
          <w:lang w:val="en-GB"/>
        </w:rPr>
        <w:t>LH</w:t>
      </w:r>
      <w:r w:rsidR="005E6C8E" w:rsidRPr="00BE4F4F">
        <w:rPr>
          <w:vertAlign w:val="subscript"/>
          <w:lang w:val="en-GB"/>
        </w:rPr>
        <w:t>2</w:t>
      </w:r>
      <w:r w:rsidR="005E6C8E" w:rsidRPr="00BE4F4F">
        <w:rPr>
          <w:lang w:val="en-GB"/>
        </w:rPr>
        <w:t xml:space="preserve"> </w:t>
      </w:r>
      <w:r w:rsidR="005E72C2" w:rsidRPr="00BE4F4F">
        <w:rPr>
          <w:lang w:val="en-GB"/>
        </w:rPr>
        <w:t xml:space="preserve">might </w:t>
      </w:r>
      <w:r w:rsidR="00CF3905" w:rsidRPr="00BE4F4F">
        <w:rPr>
          <w:lang w:val="en-GB"/>
        </w:rPr>
        <w:t>lead to</w:t>
      </w:r>
      <w:r w:rsidR="005E72C2" w:rsidRPr="00BE4F4F">
        <w:rPr>
          <w:lang w:val="en-GB"/>
        </w:rPr>
        <w:t xml:space="preserve"> a non</w:t>
      </w:r>
      <w:r w:rsidR="005E6C8E" w:rsidRPr="00BE4F4F">
        <w:rPr>
          <w:lang w:val="en-GB"/>
        </w:rPr>
        <w:t>-</w:t>
      </w:r>
      <w:r w:rsidR="005E72C2" w:rsidRPr="00BE4F4F">
        <w:rPr>
          <w:lang w:val="en-GB"/>
        </w:rPr>
        <w:t xml:space="preserve">conservative </w:t>
      </w:r>
      <w:r w:rsidR="00CF3905" w:rsidRPr="00BE4F4F">
        <w:rPr>
          <w:lang w:val="en-GB"/>
        </w:rPr>
        <w:t>result</w:t>
      </w:r>
      <w:r w:rsidR="005E6C8E" w:rsidRPr="00BE4F4F">
        <w:rPr>
          <w:lang w:val="en-GB"/>
        </w:rPr>
        <w:t>.</w:t>
      </w:r>
    </w:p>
    <w:p w14:paraId="68D26B83" w14:textId="77777777" w:rsidR="00600535" w:rsidRPr="00BE4F4F" w:rsidRDefault="00600535" w:rsidP="00600535">
      <w:pPr>
        <w:pStyle w:val="CETHeading1"/>
        <w:rPr>
          <w:lang w:val="en-GB"/>
        </w:rPr>
      </w:pPr>
      <w:r w:rsidRPr="00BE4F4F">
        <w:rPr>
          <w:lang w:val="en-GB"/>
        </w:rPr>
        <w:t>Conclusions</w:t>
      </w:r>
    </w:p>
    <w:p w14:paraId="52DAFDE0" w14:textId="72A5A5EE" w:rsidR="001D0CFB" w:rsidRPr="00442496" w:rsidRDefault="00F231FD" w:rsidP="00600535">
      <w:pPr>
        <w:pStyle w:val="CETBodytext"/>
        <w:rPr>
          <w:lang w:val="en-GB"/>
        </w:rPr>
      </w:pPr>
      <w:r w:rsidRPr="00BE4F4F">
        <w:rPr>
          <w:lang w:val="en-GB"/>
        </w:rPr>
        <w:t>An analysis o</w:t>
      </w:r>
      <w:r w:rsidR="00EC554B" w:rsidRPr="00BE4F4F">
        <w:rPr>
          <w:lang w:val="en-GB"/>
        </w:rPr>
        <w:t>f</w:t>
      </w:r>
      <w:r w:rsidRPr="00BE4F4F">
        <w:rPr>
          <w:lang w:val="en-GB"/>
        </w:rPr>
        <w:t xml:space="preserve"> the </w:t>
      </w:r>
      <w:r w:rsidR="00B24BB6" w:rsidRPr="00BE4F4F">
        <w:rPr>
          <w:lang w:val="en-GB"/>
        </w:rPr>
        <w:t xml:space="preserve">energy generated </w:t>
      </w:r>
      <w:r w:rsidR="003B254F" w:rsidRPr="00BE4F4F">
        <w:rPr>
          <w:lang w:val="en-GB"/>
        </w:rPr>
        <w:t>by</w:t>
      </w:r>
      <w:r w:rsidR="00B24BB6" w:rsidRPr="00BE4F4F">
        <w:rPr>
          <w:lang w:val="en-GB"/>
        </w:rPr>
        <w:t xml:space="preserve"> a BLEVE</w:t>
      </w:r>
      <w:r w:rsidR="003B254F" w:rsidRPr="00BE4F4F">
        <w:rPr>
          <w:lang w:val="en-GB"/>
        </w:rPr>
        <w:t xml:space="preserve"> </w:t>
      </w:r>
      <w:r w:rsidR="00312D59" w:rsidRPr="00BE4F4F">
        <w:rPr>
          <w:lang w:val="en-GB"/>
        </w:rPr>
        <w:t>caused</w:t>
      </w:r>
      <w:r w:rsidR="003B254F" w:rsidRPr="00BE4F4F">
        <w:rPr>
          <w:lang w:val="en-GB"/>
        </w:rPr>
        <w:t xml:space="preserve"> after the complete rupture of the LH</w:t>
      </w:r>
      <w:r w:rsidR="003B254F" w:rsidRPr="00BE4F4F">
        <w:rPr>
          <w:vertAlign w:val="subscript"/>
          <w:lang w:val="en-GB"/>
        </w:rPr>
        <w:t>2</w:t>
      </w:r>
      <w:r w:rsidR="003B254F" w:rsidRPr="00BE4F4F">
        <w:rPr>
          <w:lang w:val="en-GB"/>
        </w:rPr>
        <w:t xml:space="preserve"> vessels was carried out in this study. The</w:t>
      </w:r>
      <w:r w:rsidR="002B572D" w:rsidRPr="00BE4F4F">
        <w:rPr>
          <w:lang w:val="en-GB"/>
        </w:rPr>
        <w:t xml:space="preserve"> contribution of the</w:t>
      </w:r>
      <w:r w:rsidR="003B254F" w:rsidRPr="00BE4F4F">
        <w:rPr>
          <w:lang w:val="en-GB"/>
        </w:rPr>
        <w:t xml:space="preserve"> combustion process </w:t>
      </w:r>
      <w:r w:rsidR="002B572D" w:rsidRPr="00BE4F4F">
        <w:rPr>
          <w:lang w:val="en-GB"/>
        </w:rPr>
        <w:t xml:space="preserve">to the </w:t>
      </w:r>
      <w:r w:rsidR="00AC056C" w:rsidRPr="00BE4F4F">
        <w:rPr>
          <w:lang w:val="en-GB"/>
        </w:rPr>
        <w:t xml:space="preserve">explosion </w:t>
      </w:r>
      <w:r w:rsidR="002B572D" w:rsidRPr="00BE4F4F">
        <w:rPr>
          <w:lang w:val="en-GB"/>
        </w:rPr>
        <w:t xml:space="preserve">energy </w:t>
      </w:r>
      <w:r w:rsidR="00AC056C" w:rsidRPr="00BE4F4F">
        <w:rPr>
          <w:lang w:val="en-GB"/>
        </w:rPr>
        <w:t>and the</w:t>
      </w:r>
      <w:r w:rsidR="002B572D" w:rsidRPr="00BE4F4F">
        <w:rPr>
          <w:lang w:val="en-GB"/>
        </w:rPr>
        <w:t xml:space="preserve"> shock wave </w:t>
      </w:r>
      <w:r w:rsidR="00AC056C" w:rsidRPr="00BE4F4F">
        <w:rPr>
          <w:lang w:val="en-GB"/>
        </w:rPr>
        <w:t xml:space="preserve">overpressure </w:t>
      </w:r>
      <w:r w:rsidR="003B254F" w:rsidRPr="00BE4F4F">
        <w:rPr>
          <w:lang w:val="en-GB"/>
        </w:rPr>
        <w:t xml:space="preserve">was considered </w:t>
      </w:r>
      <w:r w:rsidR="00AC056C" w:rsidRPr="00BE4F4F">
        <w:rPr>
          <w:lang w:val="en-GB"/>
        </w:rPr>
        <w:t xml:space="preserve">since previous studies </w:t>
      </w:r>
      <w:r w:rsidR="007D1A57" w:rsidRPr="00BE4F4F">
        <w:rPr>
          <w:lang w:val="en-GB"/>
        </w:rPr>
        <w:t>obtained an underestimation by accounting only for the mechanical energy</w:t>
      </w:r>
      <w:r w:rsidR="00F16024" w:rsidRPr="00BE4F4F">
        <w:rPr>
          <w:lang w:val="en-GB"/>
        </w:rPr>
        <w:t xml:space="preserve">. A good agreement </w:t>
      </w:r>
      <w:r w:rsidR="00DD46FD" w:rsidRPr="00BE4F4F">
        <w:rPr>
          <w:lang w:val="en-GB"/>
        </w:rPr>
        <w:t>between the simulat</w:t>
      </w:r>
      <w:r w:rsidR="00EB61AE" w:rsidRPr="00BE4F4F">
        <w:rPr>
          <w:lang w:val="en-GB"/>
        </w:rPr>
        <w:t>ion and</w:t>
      </w:r>
      <w:r w:rsidR="00F16024" w:rsidRPr="00BE4F4F">
        <w:rPr>
          <w:lang w:val="en-GB"/>
        </w:rPr>
        <w:t xml:space="preserve"> </w:t>
      </w:r>
      <w:r w:rsidR="00DD46FD" w:rsidRPr="00BE4F4F">
        <w:rPr>
          <w:lang w:val="en-GB"/>
        </w:rPr>
        <w:t xml:space="preserve">the experimental </w:t>
      </w:r>
      <w:r w:rsidR="00EB61AE" w:rsidRPr="00BE4F4F">
        <w:rPr>
          <w:lang w:val="en-GB"/>
        </w:rPr>
        <w:t xml:space="preserve">outcomes was achieved by the most conservative model (TNO). </w:t>
      </w:r>
      <w:r w:rsidR="00CF3905" w:rsidRPr="00BE4F4F">
        <w:rPr>
          <w:lang w:val="en-GB"/>
        </w:rPr>
        <w:t xml:space="preserve">The </w:t>
      </w:r>
      <w:r w:rsidR="00EC554B" w:rsidRPr="00BE4F4F">
        <w:rPr>
          <w:lang w:val="en-GB"/>
        </w:rPr>
        <w:t xml:space="preserve">most relevant </w:t>
      </w:r>
      <w:r w:rsidR="00CF3905" w:rsidRPr="00BE4F4F">
        <w:rPr>
          <w:lang w:val="en-GB"/>
        </w:rPr>
        <w:t xml:space="preserve">hypotheses were </w:t>
      </w:r>
      <w:r w:rsidR="00BE4F4F" w:rsidRPr="00BE4F4F">
        <w:rPr>
          <w:lang w:val="en-GB"/>
        </w:rPr>
        <w:t>analysed</w:t>
      </w:r>
      <w:r w:rsidR="00CF3905" w:rsidRPr="00BE4F4F">
        <w:rPr>
          <w:lang w:val="en-GB"/>
        </w:rPr>
        <w:t xml:space="preserve"> to identify possible phenomena causing the observed discrepancies. </w:t>
      </w:r>
      <w:r w:rsidR="00EB61AE" w:rsidRPr="00BE4F4F">
        <w:rPr>
          <w:lang w:val="en-GB"/>
        </w:rPr>
        <w:t xml:space="preserve">Further studies </w:t>
      </w:r>
      <w:r w:rsidR="00FB6D4C" w:rsidRPr="00BE4F4F">
        <w:rPr>
          <w:lang w:val="en-GB"/>
        </w:rPr>
        <w:t>on the modelling of the BLEVE phenomenon for LH</w:t>
      </w:r>
      <w:r w:rsidR="00FB6D4C" w:rsidRPr="00BE4F4F">
        <w:rPr>
          <w:vertAlign w:val="subscript"/>
          <w:lang w:val="en-GB"/>
        </w:rPr>
        <w:t>2</w:t>
      </w:r>
      <w:r w:rsidR="00FB6D4C" w:rsidRPr="00BE4F4F">
        <w:rPr>
          <w:lang w:val="en-GB"/>
        </w:rPr>
        <w:t xml:space="preserve"> were suggested as well as additional </w:t>
      </w:r>
      <w:r w:rsidR="00B0633B" w:rsidRPr="00BE4F4F">
        <w:rPr>
          <w:lang w:val="en-GB"/>
        </w:rPr>
        <w:t>tests on the</w:t>
      </w:r>
      <w:r w:rsidR="00B0633B" w:rsidRPr="00442496">
        <w:rPr>
          <w:lang w:val="en-GB"/>
        </w:rPr>
        <w:t xml:space="preserve"> LH</w:t>
      </w:r>
      <w:r w:rsidR="00B0633B" w:rsidRPr="00442496">
        <w:rPr>
          <w:vertAlign w:val="subscript"/>
          <w:lang w:val="en-GB"/>
        </w:rPr>
        <w:t>2</w:t>
      </w:r>
      <w:r w:rsidR="00B0633B" w:rsidRPr="00442496">
        <w:rPr>
          <w:lang w:val="en-GB"/>
        </w:rPr>
        <w:t xml:space="preserve"> tank explosions.</w:t>
      </w:r>
    </w:p>
    <w:p w14:paraId="637D09F4" w14:textId="77777777" w:rsidR="00730A47" w:rsidRPr="00442496" w:rsidRDefault="00730A47" w:rsidP="00730A47">
      <w:pPr>
        <w:pStyle w:val="CETHeadingxx"/>
        <w:rPr>
          <w:lang w:val="en-GB"/>
        </w:rPr>
      </w:pPr>
      <w:r w:rsidRPr="00442496">
        <w:rPr>
          <w:lang w:val="en-GB"/>
        </w:rPr>
        <w:t>Nomenclature</w:t>
      </w:r>
    </w:p>
    <w:p w14:paraId="4EF3C00A" w14:textId="77777777" w:rsidR="00730A47" w:rsidRPr="00442496" w:rsidRDefault="00730A47" w:rsidP="00730A47">
      <w:pPr>
        <w:pStyle w:val="CETBodytext"/>
        <w:rPr>
          <w:lang w:val="en-GB"/>
        </w:rPr>
        <w:sectPr w:rsidR="00730A47" w:rsidRPr="00442496" w:rsidSect="00B57E6F">
          <w:type w:val="continuous"/>
          <w:pgSz w:w="11906" w:h="16838" w:code="9"/>
          <w:pgMar w:top="1701" w:right="1418" w:bottom="1701" w:left="1701" w:header="1701" w:footer="0" w:gutter="0"/>
          <w:cols w:space="708"/>
          <w:formProt w:val="0"/>
          <w:titlePg/>
          <w:docGrid w:linePitch="360"/>
        </w:sectPr>
      </w:pPr>
    </w:p>
    <w:p w14:paraId="781B16C5" w14:textId="77777777" w:rsidR="00730A47" w:rsidRPr="00442496" w:rsidRDefault="00730A47" w:rsidP="00730A47">
      <w:pPr>
        <w:pStyle w:val="CETBodytext"/>
        <w:jc w:val="left"/>
        <w:rPr>
          <w:rFonts w:eastAsia="SimSun"/>
          <w:lang w:val="en-GB"/>
        </w:rPr>
      </w:pPr>
      <w:proofErr w:type="spellStart"/>
      <w:r w:rsidRPr="00442496">
        <w:rPr>
          <w:rFonts w:eastAsia="SimSun"/>
          <w:lang w:val="en-GB"/>
        </w:rPr>
        <w:t>E</w:t>
      </w:r>
      <w:r w:rsidRPr="00442496">
        <w:rPr>
          <w:rFonts w:eastAsia="SimSun"/>
          <w:vertAlign w:val="subscript"/>
          <w:lang w:val="en-GB"/>
        </w:rPr>
        <w:t>ch</w:t>
      </w:r>
      <w:proofErr w:type="spellEnd"/>
      <w:r w:rsidRPr="00442496">
        <w:rPr>
          <w:rFonts w:eastAsia="SimSun"/>
          <w:lang w:val="en-GB"/>
        </w:rPr>
        <w:t xml:space="preserve"> – chemical energy, MJ</w:t>
      </w:r>
    </w:p>
    <w:p w14:paraId="42458D49" w14:textId="77777777" w:rsidR="00730A47" w:rsidRPr="00442496" w:rsidRDefault="00730A47" w:rsidP="00730A47">
      <w:pPr>
        <w:pStyle w:val="CETBodytext"/>
        <w:jc w:val="left"/>
        <w:rPr>
          <w:rFonts w:eastAsia="SimSun"/>
          <w:lang w:val="en-GB"/>
        </w:rPr>
        <w:sectPr w:rsidR="00730A47" w:rsidRPr="00442496" w:rsidSect="0077098D">
          <w:type w:val="continuous"/>
          <w:pgSz w:w="11906" w:h="16838" w:code="9"/>
          <w:pgMar w:top="1701" w:right="1418" w:bottom="1701" w:left="1701" w:header="1701" w:footer="0" w:gutter="0"/>
          <w:cols w:space="708"/>
          <w:formProt w:val="0"/>
          <w:titlePg/>
          <w:docGrid w:linePitch="360"/>
        </w:sectPr>
      </w:pPr>
    </w:p>
    <w:p w14:paraId="0149FDF8" w14:textId="77777777" w:rsidR="00730A47" w:rsidRPr="00442496" w:rsidRDefault="00730A47" w:rsidP="00730A47">
      <w:pPr>
        <w:pStyle w:val="CETBodytext"/>
        <w:jc w:val="left"/>
        <w:rPr>
          <w:rFonts w:eastAsia="SimSun"/>
          <w:lang w:val="en-GB"/>
        </w:rPr>
      </w:pPr>
      <w:proofErr w:type="spellStart"/>
      <w:r w:rsidRPr="00442496">
        <w:rPr>
          <w:rFonts w:eastAsia="SimSun"/>
          <w:lang w:val="en-GB"/>
        </w:rPr>
        <w:t>E</w:t>
      </w:r>
      <w:r w:rsidRPr="00442496">
        <w:rPr>
          <w:rFonts w:eastAsia="SimSun"/>
          <w:vertAlign w:val="subscript"/>
          <w:lang w:val="en-GB"/>
        </w:rPr>
        <w:t>i</w:t>
      </w:r>
      <w:proofErr w:type="spellEnd"/>
      <w:r w:rsidRPr="00442496">
        <w:rPr>
          <w:rFonts w:eastAsia="SimSun"/>
          <w:lang w:val="en-GB"/>
        </w:rPr>
        <w:t xml:space="preserve"> – combustion products expansion coefficient, -</w:t>
      </w:r>
    </w:p>
    <w:p w14:paraId="0EA0BB69" w14:textId="77777777" w:rsidR="00730A47" w:rsidRPr="00442496" w:rsidRDefault="00730A47" w:rsidP="00730A47">
      <w:pPr>
        <w:pStyle w:val="CETBodytext"/>
        <w:jc w:val="left"/>
        <w:rPr>
          <w:rFonts w:eastAsia="SimSun"/>
          <w:lang w:val="en-GB"/>
        </w:rPr>
      </w:pPr>
      <w:r w:rsidRPr="00442496">
        <w:rPr>
          <w:rFonts w:eastAsia="SimSun"/>
          <w:lang w:val="en-GB"/>
        </w:rPr>
        <w:t>LHV – lower heating value, MJ</w:t>
      </w:r>
    </w:p>
    <w:p w14:paraId="474253FB" w14:textId="77777777" w:rsidR="00730A47" w:rsidRPr="00442496" w:rsidRDefault="00730A47" w:rsidP="00730A47">
      <w:pPr>
        <w:pStyle w:val="CETBodytext"/>
        <w:jc w:val="left"/>
        <w:rPr>
          <w:rFonts w:eastAsia="SimSun"/>
          <w:lang w:val="en-GB"/>
        </w:rPr>
      </w:pPr>
      <w:r w:rsidRPr="00442496">
        <w:rPr>
          <w:rFonts w:eastAsia="SimSun"/>
          <w:lang w:val="en-GB"/>
        </w:rPr>
        <w:t>M</w:t>
      </w:r>
      <w:r w:rsidRPr="00442496">
        <w:rPr>
          <w:rFonts w:eastAsia="SimSun"/>
          <w:vertAlign w:val="subscript"/>
          <w:lang w:val="en-GB"/>
        </w:rPr>
        <w:t>H2</w:t>
      </w:r>
      <w:r w:rsidRPr="00442496">
        <w:rPr>
          <w:rFonts w:eastAsia="SimSun"/>
          <w:lang w:val="en-GB"/>
        </w:rPr>
        <w:t xml:space="preserve"> – hydrogen molar mass, kg mol</w:t>
      </w:r>
      <w:r w:rsidRPr="00442496">
        <w:rPr>
          <w:rFonts w:eastAsia="SimSun"/>
          <w:vertAlign w:val="superscript"/>
          <w:lang w:val="en-GB"/>
        </w:rPr>
        <w:t>-1</w:t>
      </w:r>
    </w:p>
    <w:p w14:paraId="569CA94C" w14:textId="77777777" w:rsidR="00730A47" w:rsidRPr="00442496" w:rsidRDefault="00730A47" w:rsidP="00730A47">
      <w:pPr>
        <w:pStyle w:val="CETBodytext"/>
        <w:jc w:val="left"/>
        <w:rPr>
          <w:rFonts w:eastAsia="SimSun"/>
          <w:lang w:val="en-GB"/>
        </w:rPr>
      </w:pPr>
      <w:proofErr w:type="spellStart"/>
      <w:r w:rsidRPr="00442496">
        <w:rPr>
          <w:rFonts w:eastAsia="SimSun"/>
          <w:lang w:val="en-GB"/>
        </w:rPr>
        <w:t>V</w:t>
      </w:r>
      <w:r w:rsidRPr="00442496">
        <w:rPr>
          <w:rFonts w:eastAsia="SimSun"/>
          <w:vertAlign w:val="subscript"/>
          <w:lang w:val="en-GB"/>
        </w:rPr>
        <w:t>b</w:t>
      </w:r>
      <w:proofErr w:type="spellEnd"/>
      <w:r w:rsidRPr="00442496">
        <w:rPr>
          <w:rFonts w:eastAsia="SimSun"/>
          <w:lang w:val="en-GB"/>
        </w:rPr>
        <w:t xml:space="preserve"> – combustion products hemisphere volume, m</w:t>
      </w:r>
      <w:r w:rsidRPr="00442496">
        <w:rPr>
          <w:rFonts w:eastAsia="SimSun"/>
          <w:vertAlign w:val="superscript"/>
          <w:lang w:val="en-GB"/>
        </w:rPr>
        <w:t>3</w:t>
      </w:r>
    </w:p>
    <w:p w14:paraId="5317BA5A" w14:textId="77777777" w:rsidR="00730A47" w:rsidRPr="00442496" w:rsidRDefault="00730A47" w:rsidP="00730A47">
      <w:pPr>
        <w:pStyle w:val="CETBodytext"/>
        <w:jc w:val="left"/>
        <w:rPr>
          <w:rFonts w:eastAsia="SimSun"/>
          <w:lang w:val="en-GB"/>
        </w:rPr>
      </w:pPr>
      <w:r w:rsidRPr="00442496">
        <w:rPr>
          <w:rFonts w:eastAsia="SimSun"/>
          <w:lang w:val="en-GB"/>
        </w:rPr>
        <w:t>V</w:t>
      </w:r>
      <w:r w:rsidRPr="00442496">
        <w:rPr>
          <w:rFonts w:eastAsia="SimSun"/>
          <w:vertAlign w:val="subscript"/>
          <w:lang w:val="en-GB"/>
        </w:rPr>
        <w:t>M</w:t>
      </w:r>
      <w:r w:rsidRPr="00442496">
        <w:rPr>
          <w:rFonts w:eastAsia="SimSun"/>
          <w:lang w:val="en-GB"/>
        </w:rPr>
        <w:t xml:space="preserve"> – molar volume, m</w:t>
      </w:r>
      <w:r w:rsidRPr="00442496">
        <w:rPr>
          <w:rFonts w:eastAsia="SimSun"/>
          <w:vertAlign w:val="superscript"/>
          <w:lang w:val="en-GB"/>
        </w:rPr>
        <w:t>3</w:t>
      </w:r>
    </w:p>
    <w:p w14:paraId="5054DE32" w14:textId="77777777" w:rsidR="00730A47" w:rsidRPr="00442496" w:rsidRDefault="00730A47" w:rsidP="00730A47">
      <w:pPr>
        <w:pStyle w:val="CETBodytext"/>
        <w:jc w:val="left"/>
        <w:rPr>
          <w:rFonts w:eastAsia="SimSun"/>
          <w:lang w:val="en-GB"/>
        </w:rPr>
      </w:pPr>
      <w:r w:rsidRPr="00442496">
        <w:rPr>
          <w:rFonts w:eastAsia="SimSun"/>
          <w:lang w:val="en-GB"/>
        </w:rPr>
        <w:t>V</w:t>
      </w:r>
      <w:r w:rsidRPr="00442496">
        <w:rPr>
          <w:rFonts w:eastAsia="SimSun"/>
          <w:vertAlign w:val="subscript"/>
          <w:lang w:val="en-GB"/>
        </w:rPr>
        <w:t>u</w:t>
      </w:r>
      <w:r w:rsidRPr="00442496">
        <w:rPr>
          <w:rFonts w:eastAsia="SimSun"/>
          <w:lang w:val="en-GB"/>
        </w:rPr>
        <w:t xml:space="preserve"> – H</w:t>
      </w:r>
      <w:r w:rsidRPr="00442496">
        <w:rPr>
          <w:rFonts w:eastAsia="SimSun"/>
          <w:vertAlign w:val="subscript"/>
          <w:lang w:val="en-GB"/>
        </w:rPr>
        <w:t>2</w:t>
      </w:r>
      <w:r w:rsidRPr="00442496">
        <w:rPr>
          <w:rFonts w:eastAsia="SimSun"/>
          <w:lang w:val="en-GB"/>
        </w:rPr>
        <w:t>-air mixture hemisphere volume, m</w:t>
      </w:r>
      <w:r w:rsidRPr="00442496">
        <w:rPr>
          <w:rFonts w:eastAsia="SimSun"/>
          <w:vertAlign w:val="superscript"/>
          <w:lang w:val="en-GB"/>
        </w:rPr>
        <w:t>3</w:t>
      </w:r>
    </w:p>
    <w:p w14:paraId="62DCF349" w14:textId="77777777" w:rsidR="00730A47" w:rsidRPr="00442496" w:rsidRDefault="00730A47" w:rsidP="00730A47">
      <w:pPr>
        <w:pStyle w:val="CETBodytext"/>
        <w:jc w:val="left"/>
        <w:rPr>
          <w:rFonts w:eastAsia="SimSun"/>
          <w:lang w:val="en-GB"/>
        </w:rPr>
      </w:pPr>
      <w:r w:rsidRPr="00442496">
        <w:rPr>
          <w:rFonts w:eastAsia="SimSun"/>
          <w:lang w:val="en-GB"/>
        </w:rPr>
        <w:t>m</w:t>
      </w:r>
      <w:r w:rsidRPr="00442496">
        <w:rPr>
          <w:rFonts w:eastAsia="SimSun"/>
          <w:vertAlign w:val="subscript"/>
          <w:lang w:val="en-GB"/>
        </w:rPr>
        <w:t>H2</w:t>
      </w:r>
      <w:r w:rsidRPr="00442496">
        <w:rPr>
          <w:rFonts w:eastAsia="SimSun"/>
          <w:lang w:val="en-GB"/>
        </w:rPr>
        <w:t xml:space="preserve"> – hydrogen mass, kg</w:t>
      </w:r>
    </w:p>
    <w:p w14:paraId="516E3087" w14:textId="77777777" w:rsidR="00730A47" w:rsidRPr="00442496" w:rsidRDefault="00730A47" w:rsidP="00730A47">
      <w:pPr>
        <w:pStyle w:val="CETBodytext"/>
        <w:jc w:val="left"/>
        <w:rPr>
          <w:rFonts w:eastAsia="SimSun"/>
          <w:lang w:val="en-GB"/>
        </w:rPr>
      </w:pPr>
      <w:proofErr w:type="spellStart"/>
      <w:r w:rsidRPr="00442496">
        <w:rPr>
          <w:rFonts w:eastAsia="SimSun"/>
          <w:lang w:val="en-GB"/>
        </w:rPr>
        <w:t>n</w:t>
      </w:r>
      <w:r w:rsidRPr="00442496">
        <w:rPr>
          <w:rFonts w:eastAsia="SimSun"/>
          <w:vertAlign w:val="subscript"/>
          <w:lang w:val="en-GB"/>
        </w:rPr>
        <w:t>air</w:t>
      </w:r>
      <w:proofErr w:type="spellEnd"/>
      <w:r w:rsidRPr="00442496">
        <w:rPr>
          <w:rFonts w:eastAsia="SimSun"/>
          <w:lang w:val="en-GB"/>
        </w:rPr>
        <w:t xml:space="preserve"> – number of air moles, -</w:t>
      </w:r>
    </w:p>
    <w:p w14:paraId="0B48924C" w14:textId="77777777" w:rsidR="00730A47" w:rsidRPr="00442496" w:rsidRDefault="00730A47" w:rsidP="00730A47">
      <w:pPr>
        <w:pStyle w:val="CETBodytext"/>
        <w:jc w:val="left"/>
        <w:rPr>
          <w:rFonts w:eastAsia="SimSun"/>
          <w:lang w:val="en-GB"/>
        </w:rPr>
      </w:pPr>
      <w:r w:rsidRPr="00442496">
        <w:rPr>
          <w:rFonts w:eastAsia="SimSun"/>
          <w:lang w:val="en-GB"/>
        </w:rPr>
        <w:t>n</w:t>
      </w:r>
      <w:r w:rsidRPr="00442496">
        <w:rPr>
          <w:rFonts w:eastAsia="SimSun"/>
          <w:vertAlign w:val="subscript"/>
          <w:lang w:val="en-GB"/>
        </w:rPr>
        <w:t>H2</w:t>
      </w:r>
      <w:r w:rsidRPr="00442496">
        <w:rPr>
          <w:rFonts w:eastAsia="SimSun"/>
          <w:lang w:val="en-GB"/>
        </w:rPr>
        <w:t xml:space="preserve"> – number of hydrogen moles, -</w:t>
      </w:r>
    </w:p>
    <w:p w14:paraId="7A212C9F" w14:textId="77777777" w:rsidR="00730A47" w:rsidRPr="00442496" w:rsidRDefault="00730A47" w:rsidP="00730A47">
      <w:pPr>
        <w:pStyle w:val="CETBodytext"/>
        <w:jc w:val="left"/>
        <w:rPr>
          <w:rFonts w:eastAsia="SimSun"/>
          <w:lang w:val="en-GB"/>
        </w:rPr>
      </w:pPr>
      <w:proofErr w:type="spellStart"/>
      <w:r w:rsidRPr="00442496">
        <w:rPr>
          <w:rFonts w:eastAsia="SimSun"/>
          <w:lang w:val="en-GB"/>
        </w:rPr>
        <w:t>r</w:t>
      </w:r>
      <w:r w:rsidRPr="00442496">
        <w:rPr>
          <w:rFonts w:eastAsia="SimSun"/>
          <w:vertAlign w:val="subscript"/>
          <w:lang w:val="en-GB"/>
        </w:rPr>
        <w:t>b</w:t>
      </w:r>
      <w:proofErr w:type="spellEnd"/>
      <w:r w:rsidRPr="00442496">
        <w:rPr>
          <w:rFonts w:eastAsia="SimSun"/>
          <w:lang w:val="en-GB"/>
        </w:rPr>
        <w:t xml:space="preserve"> – combustion products hemisphere radius, m</w:t>
      </w:r>
    </w:p>
    <w:p w14:paraId="65B9C6BF" w14:textId="77777777" w:rsidR="00730A47" w:rsidRPr="00442496" w:rsidRDefault="00730A47" w:rsidP="00730A47">
      <w:pPr>
        <w:pStyle w:val="CETBodytext"/>
        <w:jc w:val="left"/>
        <w:rPr>
          <w:rFonts w:eastAsia="SimSun"/>
          <w:lang w:val="en-GB"/>
        </w:rPr>
      </w:pPr>
      <w:proofErr w:type="spellStart"/>
      <w:r w:rsidRPr="00442496">
        <w:rPr>
          <w:rFonts w:eastAsia="SimSun"/>
          <w:lang w:val="en-GB"/>
        </w:rPr>
        <w:t>r</w:t>
      </w:r>
      <w:r w:rsidRPr="00442496">
        <w:rPr>
          <w:rFonts w:eastAsia="SimSun"/>
          <w:vertAlign w:val="subscript"/>
          <w:lang w:val="en-GB"/>
        </w:rPr>
        <w:t>sh</w:t>
      </w:r>
      <w:proofErr w:type="spellEnd"/>
      <w:r w:rsidRPr="00442496">
        <w:rPr>
          <w:rFonts w:eastAsia="SimSun"/>
          <w:lang w:val="en-GB"/>
        </w:rPr>
        <w:t xml:space="preserve"> – shock wave radius, m</w:t>
      </w:r>
    </w:p>
    <w:p w14:paraId="230A7850" w14:textId="77777777" w:rsidR="00730A47" w:rsidRPr="00442496" w:rsidRDefault="00730A47" w:rsidP="00730A47">
      <w:pPr>
        <w:pStyle w:val="CETBodytext"/>
        <w:jc w:val="left"/>
        <w:rPr>
          <w:rFonts w:eastAsia="SimSun"/>
          <w:lang w:val="en-GB"/>
        </w:rPr>
      </w:pPr>
      <w:r w:rsidRPr="00442496">
        <w:rPr>
          <w:rFonts w:eastAsia="SimSun"/>
          <w:lang w:val="en-GB"/>
        </w:rPr>
        <w:t>α – mech energy coefficient, -</w:t>
      </w:r>
    </w:p>
    <w:p w14:paraId="63B65041" w14:textId="77777777" w:rsidR="00730A47" w:rsidRPr="00442496" w:rsidRDefault="00730A47" w:rsidP="00730A47">
      <w:pPr>
        <w:pStyle w:val="CETBodytext"/>
        <w:jc w:val="left"/>
        <w:rPr>
          <w:rFonts w:eastAsia="SimSun"/>
          <w:lang w:val="en-GB"/>
        </w:rPr>
        <w:sectPr w:rsidR="00730A47" w:rsidRPr="00442496" w:rsidSect="00200ECB">
          <w:type w:val="continuous"/>
          <w:pgSz w:w="11906" w:h="16838" w:code="9"/>
          <w:pgMar w:top="1701" w:right="1418" w:bottom="1701" w:left="1701" w:header="1701" w:footer="0" w:gutter="0"/>
          <w:cols w:num="2" w:space="708"/>
          <w:formProt w:val="0"/>
          <w:titlePg/>
          <w:docGrid w:linePitch="360"/>
        </w:sectPr>
      </w:pPr>
      <w:r w:rsidRPr="00442496">
        <w:rPr>
          <w:rFonts w:eastAsia="SimSun" w:cs="Arial"/>
          <w:lang w:val="en-GB"/>
        </w:rPr>
        <w:t>β</w:t>
      </w:r>
      <w:r w:rsidRPr="00442496">
        <w:rPr>
          <w:rFonts w:eastAsia="SimSun"/>
          <w:lang w:val="en-GB"/>
        </w:rPr>
        <w:t xml:space="preserve"> – chemical energy coefficient, -</w:t>
      </w:r>
    </w:p>
    <w:p w14:paraId="273D2CE9" w14:textId="77777777" w:rsidR="003631F4" w:rsidRPr="00442496" w:rsidRDefault="003631F4" w:rsidP="00730A47">
      <w:pPr>
        <w:pStyle w:val="CETAcknowledgementstitle"/>
      </w:pPr>
    </w:p>
    <w:p w14:paraId="6431BA7B" w14:textId="1C23DF60" w:rsidR="00730A47" w:rsidRPr="00442496" w:rsidRDefault="00730A47" w:rsidP="00730A47">
      <w:pPr>
        <w:pStyle w:val="CETAcknowledgementstitle"/>
      </w:pPr>
      <w:r w:rsidRPr="00442496">
        <w:lastRenderedPageBreak/>
        <w:t>Acknowledgments</w:t>
      </w:r>
    </w:p>
    <w:p w14:paraId="33F8138F" w14:textId="7DC34FEF" w:rsidR="00600535" w:rsidRPr="00442496" w:rsidRDefault="00F54E7C" w:rsidP="00600535">
      <w:pPr>
        <w:pStyle w:val="CETBodytext"/>
        <w:rPr>
          <w:lang w:val="en-GB"/>
        </w:rPr>
      </w:pPr>
      <w:r w:rsidRPr="00442496">
        <w:rPr>
          <w:lang w:val="en-GB"/>
        </w:rPr>
        <w:t>This work was undertaken as part of the research project Safe Hydrogen Fuel Handling and Use for Efficient Implementation (SH</w:t>
      </w:r>
      <w:r w:rsidRPr="00442496">
        <w:rPr>
          <w:vertAlign w:val="subscript"/>
          <w:lang w:val="en-GB"/>
        </w:rPr>
        <w:t>2</w:t>
      </w:r>
      <w:r w:rsidRPr="00442496">
        <w:rPr>
          <w:lang w:val="en-GB"/>
        </w:rPr>
        <w:t>IFT), and the authors would like to acknowledge the financial support of the Research Council of Norway under the ENERGIX programme (Grant No. 280964).</w:t>
      </w:r>
    </w:p>
    <w:p w14:paraId="4F1327F8" w14:textId="77777777" w:rsidR="00600535" w:rsidRPr="00442496" w:rsidRDefault="00600535" w:rsidP="00600535">
      <w:pPr>
        <w:pStyle w:val="CETReference"/>
      </w:pPr>
      <w:r w:rsidRPr="00442496">
        <w:t>References</w:t>
      </w:r>
    </w:p>
    <w:p w14:paraId="4148A315" w14:textId="40FA0E36" w:rsidR="00303A59" w:rsidRPr="00442496" w:rsidRDefault="00303A59" w:rsidP="001A16FE">
      <w:pPr>
        <w:pStyle w:val="CETReferencetext"/>
      </w:pPr>
      <w:r w:rsidRPr="00442496">
        <w:t xml:space="preserve">Baker W.E., Cox P.A., </w:t>
      </w:r>
      <w:proofErr w:type="spellStart"/>
      <w:r w:rsidRPr="00442496">
        <w:t>Kulesz</w:t>
      </w:r>
      <w:proofErr w:type="spellEnd"/>
      <w:r w:rsidRPr="00442496">
        <w:t xml:space="preserve"> J.J., </w:t>
      </w:r>
      <w:proofErr w:type="spellStart"/>
      <w:r w:rsidRPr="00442496">
        <w:t>Strehlow</w:t>
      </w:r>
      <w:proofErr w:type="spellEnd"/>
      <w:r w:rsidRPr="00442496">
        <w:t xml:space="preserve"> R.A., </w:t>
      </w:r>
      <w:proofErr w:type="spellStart"/>
      <w:r w:rsidRPr="00442496">
        <w:t>Westine</w:t>
      </w:r>
      <w:proofErr w:type="spellEnd"/>
      <w:r w:rsidRPr="00442496">
        <w:t xml:space="preserve"> P.S., 1983, Explosion Hazards and Evaluation. Elsevier Science, New York.</w:t>
      </w:r>
    </w:p>
    <w:p w14:paraId="282C6286" w14:textId="01C6C38D" w:rsidR="00EE5B5F" w:rsidRPr="00442496" w:rsidRDefault="001A16FE" w:rsidP="001A16FE">
      <w:pPr>
        <w:pStyle w:val="CETReferencetext"/>
      </w:pPr>
      <w:r w:rsidRPr="00442496">
        <w:t xml:space="preserve">Bell I., </w:t>
      </w:r>
      <w:proofErr w:type="spellStart"/>
      <w:r w:rsidRPr="00442496">
        <w:t>Wronski</w:t>
      </w:r>
      <w:proofErr w:type="spellEnd"/>
      <w:r w:rsidRPr="00442496">
        <w:t xml:space="preserve"> J., </w:t>
      </w:r>
      <w:proofErr w:type="spellStart"/>
      <w:r w:rsidRPr="00442496">
        <w:t>Quoilin</w:t>
      </w:r>
      <w:proofErr w:type="spellEnd"/>
      <w:r w:rsidRPr="00442496">
        <w:t xml:space="preserve"> S., </w:t>
      </w:r>
      <w:proofErr w:type="spellStart"/>
      <w:r w:rsidRPr="00442496">
        <w:t>Lemort</w:t>
      </w:r>
      <w:proofErr w:type="spellEnd"/>
      <w:r w:rsidRPr="00442496">
        <w:t xml:space="preserve"> V., 2014, Pure and Pseudo-Pure Fluid Thermophysical Property Evaluation and the Open-Source Thermophysical Property Library </w:t>
      </w:r>
      <w:proofErr w:type="spellStart"/>
      <w:r w:rsidRPr="00442496">
        <w:t>CoolProp</w:t>
      </w:r>
      <w:proofErr w:type="spellEnd"/>
      <w:r w:rsidRPr="00442496">
        <w:t>.</w:t>
      </w:r>
      <w:r w:rsidR="00EE5B5F" w:rsidRPr="00442496">
        <w:t xml:space="preserve"> </w:t>
      </w:r>
      <w:r w:rsidRPr="00442496">
        <w:t>Industrial &amp; Engineering Chemistry Research</w:t>
      </w:r>
      <w:r w:rsidR="00EE5B5F" w:rsidRPr="00442496">
        <w:t>,</w:t>
      </w:r>
      <w:r w:rsidRPr="00442496">
        <w:t xml:space="preserve"> 53,</w:t>
      </w:r>
      <w:r w:rsidR="00EE5B5F" w:rsidRPr="00442496">
        <w:t xml:space="preserve"> </w:t>
      </w:r>
      <w:r w:rsidRPr="00442496">
        <w:t>2498–2508.</w:t>
      </w:r>
    </w:p>
    <w:p w14:paraId="7AE1582C" w14:textId="17CCD5A2" w:rsidR="00E26CCE" w:rsidRPr="00442496" w:rsidRDefault="00E26CCE" w:rsidP="001A16FE">
      <w:pPr>
        <w:pStyle w:val="CETReferencetext"/>
      </w:pPr>
      <w:r w:rsidRPr="00442496">
        <w:t>Birk A.M., Davison C., Cunningham M., 2007, Blast overpressures from medium scale BLEVE tests, Journal of Loss Prevention in the Process Industries, 20, 194–206.</w:t>
      </w:r>
    </w:p>
    <w:p w14:paraId="3E6D5627" w14:textId="56439CC0" w:rsidR="00F7158A" w:rsidRPr="00442496" w:rsidRDefault="00F7158A" w:rsidP="006B4888">
      <w:pPr>
        <w:pStyle w:val="CETReferencetext"/>
      </w:pPr>
      <w:proofErr w:type="spellStart"/>
      <w:r w:rsidRPr="00442496">
        <w:t>Brode</w:t>
      </w:r>
      <w:proofErr w:type="spellEnd"/>
      <w:r w:rsidRPr="00442496">
        <w:t xml:space="preserve"> H.L., 1959, Blast Wave from a Spherical Charge, Physic Fluids, 2, 217–229.</w:t>
      </w:r>
    </w:p>
    <w:p w14:paraId="3BE8EEBD" w14:textId="77C6ABCD" w:rsidR="00B241BC" w:rsidRPr="00442496" w:rsidRDefault="0016270C" w:rsidP="006B4888">
      <w:pPr>
        <w:pStyle w:val="CETReferencetext"/>
      </w:pPr>
      <w:proofErr w:type="spellStart"/>
      <w:r w:rsidRPr="00442496">
        <w:t>Crowl</w:t>
      </w:r>
      <w:proofErr w:type="spellEnd"/>
      <w:r w:rsidRPr="00442496">
        <w:t xml:space="preserve"> D.A., 1991, Using thermodynamic availability to determine the energy of explosion, Plant/Operations Prog</w:t>
      </w:r>
      <w:r w:rsidR="000834BA" w:rsidRPr="00442496">
        <w:t>ress,</w:t>
      </w:r>
      <w:r w:rsidRPr="00442496">
        <w:t xml:space="preserve"> 10, 136–142.</w:t>
      </w:r>
    </w:p>
    <w:p w14:paraId="1BB9C279" w14:textId="5A3A3B3E" w:rsidR="005860AC" w:rsidRPr="00442496" w:rsidRDefault="005860AC" w:rsidP="006B4888">
      <w:pPr>
        <w:pStyle w:val="CETReferencetext"/>
      </w:pPr>
      <w:proofErr w:type="spellStart"/>
      <w:r w:rsidRPr="00442496">
        <w:t>Crowl</w:t>
      </w:r>
      <w:proofErr w:type="spellEnd"/>
      <w:r w:rsidRPr="00442496">
        <w:t xml:space="preserve"> D.A., 1992, Calculating the energy of explosion using thermodynamic availability, Journal of Loss Prevention in the Process Industries, 5, 109–118.</w:t>
      </w:r>
    </w:p>
    <w:p w14:paraId="06FFA87F" w14:textId="4DC70CE6" w:rsidR="00EE41B2" w:rsidRPr="00442496" w:rsidRDefault="00EE41B2" w:rsidP="006B4888">
      <w:pPr>
        <w:pStyle w:val="CETReferencetext"/>
      </w:pPr>
      <w:r w:rsidRPr="00442496">
        <w:t>DNV, 2021. Energy Transition Outlook 2021 - A global and regional forecast to 2050.</w:t>
      </w:r>
    </w:p>
    <w:p w14:paraId="76391882" w14:textId="597DCB6F" w:rsidR="00920ABF" w:rsidRPr="00442496" w:rsidRDefault="00920ABF" w:rsidP="006B4888">
      <w:pPr>
        <w:pStyle w:val="CETReferencetext"/>
      </w:pPr>
      <w:r w:rsidRPr="00442496">
        <w:t xml:space="preserve">Genova B., </w:t>
      </w:r>
      <w:proofErr w:type="spellStart"/>
      <w:r w:rsidRPr="00442496">
        <w:t>Silvestrini</w:t>
      </w:r>
      <w:proofErr w:type="spellEnd"/>
      <w:r w:rsidRPr="00442496">
        <w:t xml:space="preserve"> M., Leon Trujillo F.J., 2008, Evaluation of the blast-wave overpressure and fragments initial velocity for a BLEVE event via empirical correlations derived by a simplified model of released energy, </w:t>
      </w:r>
      <w:r w:rsidR="00B06A30" w:rsidRPr="00442496">
        <w:t>Journal of Loss Prevention in the Process Industries,</w:t>
      </w:r>
      <w:r w:rsidRPr="00442496">
        <w:t xml:space="preserve"> 21, 110–117.</w:t>
      </w:r>
    </w:p>
    <w:p w14:paraId="49F23937" w14:textId="084EEB75" w:rsidR="005A47D7" w:rsidRPr="00442496" w:rsidRDefault="005A47D7" w:rsidP="006B4888">
      <w:pPr>
        <w:pStyle w:val="CETReferencetext"/>
      </w:pPr>
      <w:proofErr w:type="spellStart"/>
      <w:r w:rsidRPr="00442496">
        <w:t>Hemmatian</w:t>
      </w:r>
      <w:proofErr w:type="spellEnd"/>
      <w:r w:rsidRPr="00442496">
        <w:t xml:space="preserve"> B., </w:t>
      </w:r>
      <w:proofErr w:type="spellStart"/>
      <w:r w:rsidRPr="00442496">
        <w:t>Planas</w:t>
      </w:r>
      <w:proofErr w:type="spellEnd"/>
      <w:r w:rsidRPr="00442496">
        <w:t xml:space="preserve"> E., </w:t>
      </w:r>
      <w:proofErr w:type="spellStart"/>
      <w:r w:rsidRPr="00442496">
        <w:t>Casal</w:t>
      </w:r>
      <w:proofErr w:type="spellEnd"/>
      <w:r w:rsidRPr="00442496">
        <w:t xml:space="preserve"> J., 2017, Comparative analysis of BLEVE mechanical energy and overpressure modelling</w:t>
      </w:r>
      <w:r w:rsidR="00D82CB6" w:rsidRPr="00442496">
        <w:t>,</w:t>
      </w:r>
      <w:r w:rsidRPr="00442496">
        <w:t xml:space="preserve"> Process Safety and Environmental Protection, 106, 138–149. </w:t>
      </w:r>
    </w:p>
    <w:p w14:paraId="6AEC36DD" w14:textId="3B5DC4DA" w:rsidR="00D50A23" w:rsidRPr="00442496" w:rsidRDefault="00D50A23" w:rsidP="006B4888">
      <w:pPr>
        <w:pStyle w:val="CETReferencetext"/>
      </w:pPr>
      <w:r w:rsidRPr="00442496">
        <w:t>McAllister S., Chen J.-Y., Fernandez-</w:t>
      </w:r>
      <w:proofErr w:type="spellStart"/>
      <w:r w:rsidRPr="00442496">
        <w:t>Pello</w:t>
      </w:r>
      <w:proofErr w:type="spellEnd"/>
      <w:r w:rsidRPr="00442496">
        <w:t xml:space="preserve"> A.C.</w:t>
      </w:r>
      <w:r w:rsidR="00462048" w:rsidRPr="00442496">
        <w:t xml:space="preserve"> (Eds.)</w:t>
      </w:r>
      <w:r w:rsidRPr="00442496">
        <w:t>, 2011, Fundamentals of Combustion Processes</w:t>
      </w:r>
      <w:r w:rsidR="00462048" w:rsidRPr="00442496">
        <w:t>,</w:t>
      </w:r>
      <w:r w:rsidRPr="00442496">
        <w:t xml:space="preserve"> Springer Science +Business Media, LLC, New York.</w:t>
      </w:r>
    </w:p>
    <w:p w14:paraId="376F1F4B" w14:textId="0A42DCFC" w:rsidR="006F22CA" w:rsidRPr="00442496" w:rsidRDefault="00732CBA" w:rsidP="006B4888">
      <w:pPr>
        <w:pStyle w:val="CETReferencetext"/>
      </w:pPr>
      <w:r w:rsidRPr="00442496">
        <w:t xml:space="preserve">Molkov V., </w:t>
      </w:r>
      <w:proofErr w:type="spellStart"/>
      <w:r w:rsidRPr="00442496">
        <w:t>Kashkarov</w:t>
      </w:r>
      <w:proofErr w:type="spellEnd"/>
      <w:r w:rsidRPr="00442496">
        <w:t xml:space="preserve"> S., 2015, Blast wave from a high-pressure gas tank rupture in a fire: Stand-alone and under-vehicle hydrogen tanks, International Journal of Hydrogen Energy, 40, 12581–12603.</w:t>
      </w:r>
    </w:p>
    <w:p w14:paraId="42246280" w14:textId="4263B8A3" w:rsidR="004800C1" w:rsidRPr="00442496" w:rsidRDefault="004800C1" w:rsidP="004800C1">
      <w:pPr>
        <w:pStyle w:val="CETReferencetext"/>
      </w:pPr>
      <w:r w:rsidRPr="00442496">
        <w:t>Molkov V.</w:t>
      </w:r>
      <w:r w:rsidR="00BE668B" w:rsidRPr="00442496">
        <w:t xml:space="preserve"> (Ed.), 2012,</w:t>
      </w:r>
      <w:r w:rsidRPr="00442496">
        <w:t xml:space="preserve"> Fundamentals of hydrogen safety engineering</w:t>
      </w:r>
      <w:r w:rsidR="00BE668B" w:rsidRPr="00442496">
        <w:t>,</w:t>
      </w:r>
      <w:r w:rsidRPr="00442496">
        <w:t xml:space="preserve"> bookboon.com.</w:t>
      </w:r>
    </w:p>
    <w:p w14:paraId="06AF0AAD" w14:textId="0B1BE763" w:rsidR="008154E7" w:rsidRPr="00442496" w:rsidRDefault="008154E7" w:rsidP="004800C1">
      <w:pPr>
        <w:pStyle w:val="CETReferencetext"/>
      </w:pPr>
      <w:r w:rsidRPr="00442496">
        <w:t xml:space="preserve">NIST, 2019, NIST Chemistry </w:t>
      </w:r>
      <w:proofErr w:type="spellStart"/>
      <w:r w:rsidRPr="00442496">
        <w:t>WebBook</w:t>
      </w:r>
      <w:proofErr w:type="spellEnd"/>
      <w:r w:rsidRPr="00442496">
        <w:t xml:space="preserve"> 69, National Institute of Standards and Technology &lt;webbook.nist.gov/chemistry/&gt; accessed 19.03.2019.</w:t>
      </w:r>
    </w:p>
    <w:p w14:paraId="48886D79" w14:textId="4DE077F0" w:rsidR="004E67E2" w:rsidRPr="00442496" w:rsidRDefault="004E67E2" w:rsidP="004800C1">
      <w:pPr>
        <w:pStyle w:val="CETReferencetext"/>
      </w:pPr>
      <w:proofErr w:type="spellStart"/>
      <w:r w:rsidRPr="00442496">
        <w:t>Pehr</w:t>
      </w:r>
      <w:proofErr w:type="spellEnd"/>
      <w:r w:rsidRPr="00442496">
        <w:t xml:space="preserve"> K., 1996, Aspects of safety and acceptance of LH2 tank systems in passenger cars, International Journal of Hydrogen Energy, 21, 387–395.</w:t>
      </w:r>
    </w:p>
    <w:p w14:paraId="3A7437E1" w14:textId="7491C7D5" w:rsidR="00FC1C23" w:rsidRPr="00442496" w:rsidRDefault="00FC1C23" w:rsidP="006B4888">
      <w:pPr>
        <w:pStyle w:val="CETReferencetext"/>
      </w:pPr>
      <w:proofErr w:type="spellStart"/>
      <w:r w:rsidRPr="00442496">
        <w:t>Planas-Cuchi</w:t>
      </w:r>
      <w:proofErr w:type="spellEnd"/>
      <w:r w:rsidRPr="00442496">
        <w:t xml:space="preserve"> E., Salla J.M., </w:t>
      </w:r>
      <w:proofErr w:type="spellStart"/>
      <w:r w:rsidRPr="00442496">
        <w:t>Casal</w:t>
      </w:r>
      <w:proofErr w:type="spellEnd"/>
      <w:r w:rsidRPr="00442496">
        <w:t xml:space="preserve"> J., 2004, Calculating overpressure from BLEVE explosions, Journal of Loss Prevention in the Process Industries, 17, 431–436.</w:t>
      </w:r>
    </w:p>
    <w:p w14:paraId="6A5DC8BD" w14:textId="3BE6C768" w:rsidR="00A66C37" w:rsidRPr="00442496" w:rsidRDefault="00A66C37" w:rsidP="006B4888">
      <w:pPr>
        <w:pStyle w:val="CETReferencetext"/>
      </w:pPr>
      <w:proofErr w:type="spellStart"/>
      <w:r w:rsidRPr="00442496">
        <w:t>Prugh</w:t>
      </w:r>
      <w:proofErr w:type="spellEnd"/>
      <w:r w:rsidRPr="00442496">
        <w:t xml:space="preserve"> R.W., 1991, Quantitative Evaluation of “BLEVE” hazards, Journal of Fire Protection Engineering, 3, 9–24.</w:t>
      </w:r>
    </w:p>
    <w:p w14:paraId="1F7CA20C" w14:textId="271D3E6A" w:rsidR="001B4D35" w:rsidRPr="00442496" w:rsidRDefault="001B4D35" w:rsidP="006B4888">
      <w:pPr>
        <w:pStyle w:val="CETReferencetext"/>
      </w:pPr>
      <w:r w:rsidRPr="00442496">
        <w:t>Sachs R.G., 1944, The dependence of blast on ambient pressure and temperature, BRL Report no. 466, Aberdeen Proving Ground, Maryland.</w:t>
      </w:r>
    </w:p>
    <w:p w14:paraId="27F03FE0" w14:textId="27D605D8" w:rsidR="007B3129" w:rsidRPr="00442496" w:rsidRDefault="007B3129" w:rsidP="006B4888">
      <w:pPr>
        <w:pStyle w:val="CETReferencetext"/>
      </w:pPr>
      <w:r w:rsidRPr="00442496">
        <w:t xml:space="preserve">Salzano E., </w:t>
      </w:r>
      <w:proofErr w:type="spellStart"/>
      <w:r w:rsidRPr="00442496">
        <w:t>Carboni</w:t>
      </w:r>
      <w:proofErr w:type="spellEnd"/>
      <w:r w:rsidRPr="00442496">
        <w:t xml:space="preserve"> M., Pio G., 2020, The effects of low-temperature phenomena on rapid phase transition of liquid hydrogen. International Journal of Hydrogen Energy, 45, 32676–32685.</w:t>
      </w:r>
    </w:p>
    <w:p w14:paraId="44EEA062" w14:textId="29E4E48B" w:rsidR="00C54095" w:rsidRPr="00442496" w:rsidRDefault="00C54095" w:rsidP="006B4888">
      <w:pPr>
        <w:pStyle w:val="CETReferencetext"/>
      </w:pPr>
      <w:r w:rsidRPr="00442496">
        <w:t>Smith J.M., Van Ness H.C.</w:t>
      </w:r>
      <w:r w:rsidR="00883730" w:rsidRPr="00442496">
        <w:t xml:space="preserve"> (Eds)</w:t>
      </w:r>
      <w:r w:rsidRPr="00442496">
        <w:t xml:space="preserve">, 1996, Introduction to Chemical Engineering Thermodynamics, McGraw-Hill, Inc, </w:t>
      </w:r>
      <w:proofErr w:type="spellStart"/>
      <w:r w:rsidRPr="00442496">
        <w:t>NewYork</w:t>
      </w:r>
      <w:proofErr w:type="spellEnd"/>
      <w:r w:rsidRPr="00442496">
        <w:t>.</w:t>
      </w:r>
    </w:p>
    <w:p w14:paraId="76E7B3B9" w14:textId="43E1B522" w:rsidR="006F22CA" w:rsidRPr="00442496" w:rsidRDefault="00F05CEA" w:rsidP="006B4888">
      <w:pPr>
        <w:pStyle w:val="CETReferencetext"/>
      </w:pPr>
      <w:r w:rsidRPr="00442496">
        <w:t>Ustolin F., Paltrinieri N., Landucci G., 2020</w:t>
      </w:r>
      <w:r w:rsidR="00EA0906" w:rsidRPr="00442496">
        <w:t>a</w:t>
      </w:r>
      <w:r w:rsidR="00B3330E" w:rsidRPr="00442496">
        <w:t>,</w:t>
      </w:r>
      <w:r w:rsidRPr="00442496">
        <w:t xml:space="preserve"> An innovative and comprehensive approach for the consequence analysis of liquid hydrogen vessel explosions</w:t>
      </w:r>
      <w:r w:rsidR="00B3330E" w:rsidRPr="00442496">
        <w:t>,</w:t>
      </w:r>
      <w:r w:rsidRPr="00442496">
        <w:t xml:space="preserve"> J</w:t>
      </w:r>
      <w:r w:rsidR="00B3330E" w:rsidRPr="00442496">
        <w:t>ournal of</w:t>
      </w:r>
      <w:r w:rsidRPr="00442496">
        <w:t xml:space="preserve"> Loss Prev</w:t>
      </w:r>
      <w:r w:rsidR="00B3330E" w:rsidRPr="00442496">
        <w:t>ention in the</w:t>
      </w:r>
      <w:r w:rsidRPr="00442496">
        <w:t xml:space="preserve"> Process Ind</w:t>
      </w:r>
      <w:r w:rsidR="00B3330E" w:rsidRPr="00442496">
        <w:t>ustries,</w:t>
      </w:r>
      <w:r w:rsidRPr="00442496">
        <w:t xml:space="preserve"> 68, 104323.</w:t>
      </w:r>
    </w:p>
    <w:p w14:paraId="1306F957" w14:textId="0DFDD398" w:rsidR="00EA0906" w:rsidRPr="00442496" w:rsidRDefault="00EA0906" w:rsidP="006B4888">
      <w:pPr>
        <w:pStyle w:val="CETReferencetext"/>
      </w:pPr>
      <w:r w:rsidRPr="00442496">
        <w:t>Ustolin F., Salzano E., Landucci G., Paltrinieri N., 2020b, Modelling Liquid Hydrogen BLEVEs: A Comparative Assessment with Hydrocarbon Fuels, Proceedings of the 30th European Safety and Reliability Conference and 15th Probabilistic Safety Assessment and Management Conference (ESREL2020 PSAM15).</w:t>
      </w:r>
    </w:p>
    <w:p w14:paraId="5DAB304E" w14:textId="47852816" w:rsidR="00630BC7" w:rsidRPr="00442496" w:rsidRDefault="00630BC7" w:rsidP="006B4888">
      <w:pPr>
        <w:pStyle w:val="CETReferencetext"/>
      </w:pPr>
      <w:r w:rsidRPr="00442496">
        <w:t>Ustolin F., Paltrinieri N., 2020</w:t>
      </w:r>
      <w:r w:rsidR="00E14B35" w:rsidRPr="00442496">
        <w:t>c</w:t>
      </w:r>
      <w:r w:rsidR="0099200D" w:rsidRPr="00442496">
        <w:t>,</w:t>
      </w:r>
      <w:r w:rsidRPr="00442496">
        <w:t xml:space="preserve"> Hydrogen fireball consequence analysis</w:t>
      </w:r>
      <w:r w:rsidR="0099200D" w:rsidRPr="00442496">
        <w:t>,</w:t>
      </w:r>
      <w:r w:rsidRPr="00442496">
        <w:t xml:space="preserve"> Chemical Engineering Transaction, 82, 211–216.</w:t>
      </w:r>
    </w:p>
    <w:p w14:paraId="2CCA97D8" w14:textId="73693884" w:rsidR="00DB2594" w:rsidRPr="00442496" w:rsidRDefault="00FB755D" w:rsidP="00DB2594">
      <w:pPr>
        <w:pStyle w:val="CETReferencetext"/>
      </w:pPr>
      <w:r w:rsidRPr="00442496">
        <w:t xml:space="preserve">van den Bosch C.J.H., </w:t>
      </w:r>
      <w:proofErr w:type="spellStart"/>
      <w:r w:rsidRPr="00442496">
        <w:t>Weterings</w:t>
      </w:r>
      <w:proofErr w:type="spellEnd"/>
      <w:r w:rsidRPr="00442496">
        <w:t xml:space="preserve"> R.A.P.M., 2005, Methods for the Calculation of Physical Effects - Due to Releases of Hazardous Materials (liquids and gases), “Yellow Book.” The Committee for the Prevention of Disasters by Hazardous Materials, Director-General for Social Affairs and Employment, The Hague.</w:t>
      </w:r>
    </w:p>
    <w:sectPr w:rsidR="00DB2594" w:rsidRPr="0044249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1596" w14:textId="77777777" w:rsidR="003B13DF" w:rsidRDefault="003B13DF" w:rsidP="004F5E36">
      <w:r>
        <w:separator/>
      </w:r>
    </w:p>
  </w:endnote>
  <w:endnote w:type="continuationSeparator" w:id="0">
    <w:p w14:paraId="7C2609CD" w14:textId="77777777" w:rsidR="003B13DF" w:rsidRDefault="003B13D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C699" w14:textId="77777777" w:rsidR="003B13DF" w:rsidRDefault="003B13DF" w:rsidP="004F5E36">
      <w:r>
        <w:separator/>
      </w:r>
    </w:p>
  </w:footnote>
  <w:footnote w:type="continuationSeparator" w:id="0">
    <w:p w14:paraId="23D1DFDB" w14:textId="77777777" w:rsidR="003B13DF" w:rsidRDefault="003B13D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B66A1D"/>
    <w:multiLevelType w:val="hybridMultilevel"/>
    <w:tmpl w:val="372C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1595C27"/>
    <w:multiLevelType w:val="hybridMultilevel"/>
    <w:tmpl w:val="F8B0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F0172"/>
    <w:multiLevelType w:val="hybridMultilevel"/>
    <w:tmpl w:val="5E80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93343B6"/>
    <w:multiLevelType w:val="hybridMultilevel"/>
    <w:tmpl w:val="9CBE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2"/>
  </w:num>
  <w:num w:numId="15">
    <w:abstractNumId w:val="24"/>
  </w:num>
  <w:num w:numId="16">
    <w:abstractNumId w:val="23"/>
  </w:num>
  <w:num w:numId="17">
    <w:abstractNumId w:val="13"/>
  </w:num>
  <w:num w:numId="18">
    <w:abstractNumId w:val="14"/>
    <w:lvlOverride w:ilvl="0">
      <w:startOverride w:val="1"/>
    </w:lvlOverride>
  </w:num>
  <w:num w:numId="19">
    <w:abstractNumId w:val="19"/>
  </w:num>
  <w:num w:numId="20">
    <w:abstractNumId w:val="17"/>
  </w:num>
  <w:num w:numId="21">
    <w:abstractNumId w:val="16"/>
  </w:num>
  <w:num w:numId="22">
    <w:abstractNumId w:val="15"/>
  </w:num>
  <w:num w:numId="23">
    <w:abstractNumId w:val="18"/>
  </w:num>
  <w:num w:numId="24">
    <w:abstractNumId w:val="21"/>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0569C"/>
    <w:rsid w:val="00005EBF"/>
    <w:rsid w:val="00007BB8"/>
    <w:rsid w:val="00011395"/>
    <w:rsid w:val="000117CB"/>
    <w:rsid w:val="00017ADB"/>
    <w:rsid w:val="00021BAD"/>
    <w:rsid w:val="00022A6A"/>
    <w:rsid w:val="00025867"/>
    <w:rsid w:val="0003148D"/>
    <w:rsid w:val="0003169D"/>
    <w:rsid w:val="00031EEC"/>
    <w:rsid w:val="0003345C"/>
    <w:rsid w:val="00041FC0"/>
    <w:rsid w:val="0004542B"/>
    <w:rsid w:val="00047F33"/>
    <w:rsid w:val="00051566"/>
    <w:rsid w:val="00053EF4"/>
    <w:rsid w:val="000603BC"/>
    <w:rsid w:val="00062431"/>
    <w:rsid w:val="00062A9A"/>
    <w:rsid w:val="00065058"/>
    <w:rsid w:val="00072237"/>
    <w:rsid w:val="00072A08"/>
    <w:rsid w:val="0007332F"/>
    <w:rsid w:val="0007523F"/>
    <w:rsid w:val="00082D63"/>
    <w:rsid w:val="000834BA"/>
    <w:rsid w:val="000844FB"/>
    <w:rsid w:val="00086C39"/>
    <w:rsid w:val="000921A2"/>
    <w:rsid w:val="00092271"/>
    <w:rsid w:val="000977DC"/>
    <w:rsid w:val="000A03B2"/>
    <w:rsid w:val="000A36C9"/>
    <w:rsid w:val="000A67AB"/>
    <w:rsid w:val="000C36DA"/>
    <w:rsid w:val="000C7814"/>
    <w:rsid w:val="000D0268"/>
    <w:rsid w:val="000D1B4A"/>
    <w:rsid w:val="000D34BE"/>
    <w:rsid w:val="000E102F"/>
    <w:rsid w:val="000E36F1"/>
    <w:rsid w:val="000E3A73"/>
    <w:rsid w:val="000E3CE1"/>
    <w:rsid w:val="000E414A"/>
    <w:rsid w:val="000E51A3"/>
    <w:rsid w:val="000F0386"/>
    <w:rsid w:val="000F093C"/>
    <w:rsid w:val="000F4DBD"/>
    <w:rsid w:val="000F787B"/>
    <w:rsid w:val="00100BC8"/>
    <w:rsid w:val="00104DF8"/>
    <w:rsid w:val="001115E7"/>
    <w:rsid w:val="00112202"/>
    <w:rsid w:val="00114452"/>
    <w:rsid w:val="00115989"/>
    <w:rsid w:val="00116338"/>
    <w:rsid w:val="0012091F"/>
    <w:rsid w:val="00126BC2"/>
    <w:rsid w:val="001308B6"/>
    <w:rsid w:val="0013121F"/>
    <w:rsid w:val="00131AED"/>
    <w:rsid w:val="00131FE6"/>
    <w:rsid w:val="0013263F"/>
    <w:rsid w:val="001331DF"/>
    <w:rsid w:val="00134DE4"/>
    <w:rsid w:val="0014034D"/>
    <w:rsid w:val="00144D16"/>
    <w:rsid w:val="0014693C"/>
    <w:rsid w:val="00150E59"/>
    <w:rsid w:val="0015177B"/>
    <w:rsid w:val="00152DE3"/>
    <w:rsid w:val="001547AC"/>
    <w:rsid w:val="00155064"/>
    <w:rsid w:val="0016270C"/>
    <w:rsid w:val="00164CF9"/>
    <w:rsid w:val="0016553E"/>
    <w:rsid w:val="001667A6"/>
    <w:rsid w:val="00170FDF"/>
    <w:rsid w:val="001710F7"/>
    <w:rsid w:val="00182C29"/>
    <w:rsid w:val="00184AD6"/>
    <w:rsid w:val="00186D63"/>
    <w:rsid w:val="00193318"/>
    <w:rsid w:val="00196777"/>
    <w:rsid w:val="00196A4B"/>
    <w:rsid w:val="001A16FE"/>
    <w:rsid w:val="001A2EEE"/>
    <w:rsid w:val="001A4AF7"/>
    <w:rsid w:val="001A7DA3"/>
    <w:rsid w:val="001B0349"/>
    <w:rsid w:val="001B1E93"/>
    <w:rsid w:val="001B2E6D"/>
    <w:rsid w:val="001B4D35"/>
    <w:rsid w:val="001B5C9E"/>
    <w:rsid w:val="001B65C1"/>
    <w:rsid w:val="001C0481"/>
    <w:rsid w:val="001C1EFA"/>
    <w:rsid w:val="001C684B"/>
    <w:rsid w:val="001C6ADE"/>
    <w:rsid w:val="001C7863"/>
    <w:rsid w:val="001D0CFB"/>
    <w:rsid w:val="001D483C"/>
    <w:rsid w:val="001D53FC"/>
    <w:rsid w:val="001E0980"/>
    <w:rsid w:val="001E2B71"/>
    <w:rsid w:val="001E2EB7"/>
    <w:rsid w:val="001F42A5"/>
    <w:rsid w:val="001F7B9D"/>
    <w:rsid w:val="00201C93"/>
    <w:rsid w:val="0020563D"/>
    <w:rsid w:val="00207A33"/>
    <w:rsid w:val="00210C71"/>
    <w:rsid w:val="00215778"/>
    <w:rsid w:val="002207FB"/>
    <w:rsid w:val="002224B4"/>
    <w:rsid w:val="00226D06"/>
    <w:rsid w:val="0023060A"/>
    <w:rsid w:val="002322D2"/>
    <w:rsid w:val="00234313"/>
    <w:rsid w:val="0023466C"/>
    <w:rsid w:val="00236FAC"/>
    <w:rsid w:val="00237130"/>
    <w:rsid w:val="00237FDE"/>
    <w:rsid w:val="002436A2"/>
    <w:rsid w:val="002447EF"/>
    <w:rsid w:val="00245F64"/>
    <w:rsid w:val="0025018C"/>
    <w:rsid w:val="00251550"/>
    <w:rsid w:val="0025700D"/>
    <w:rsid w:val="0026048C"/>
    <w:rsid w:val="00261A9D"/>
    <w:rsid w:val="00261D1B"/>
    <w:rsid w:val="00263B05"/>
    <w:rsid w:val="00267565"/>
    <w:rsid w:val="0027221A"/>
    <w:rsid w:val="00274D5F"/>
    <w:rsid w:val="00275B61"/>
    <w:rsid w:val="00280506"/>
    <w:rsid w:val="00280BB9"/>
    <w:rsid w:val="00280FAF"/>
    <w:rsid w:val="00281BBD"/>
    <w:rsid w:val="00282656"/>
    <w:rsid w:val="0028560C"/>
    <w:rsid w:val="0029391C"/>
    <w:rsid w:val="00293CCA"/>
    <w:rsid w:val="00295097"/>
    <w:rsid w:val="00295FDD"/>
    <w:rsid w:val="00296B83"/>
    <w:rsid w:val="002B043D"/>
    <w:rsid w:val="002B2027"/>
    <w:rsid w:val="002B4015"/>
    <w:rsid w:val="002B45BC"/>
    <w:rsid w:val="002B572D"/>
    <w:rsid w:val="002B6326"/>
    <w:rsid w:val="002B6BF9"/>
    <w:rsid w:val="002B6CE7"/>
    <w:rsid w:val="002B78CE"/>
    <w:rsid w:val="002C2FB6"/>
    <w:rsid w:val="002C358C"/>
    <w:rsid w:val="002C48B2"/>
    <w:rsid w:val="002C7631"/>
    <w:rsid w:val="002D4B72"/>
    <w:rsid w:val="002D6F2D"/>
    <w:rsid w:val="002E1615"/>
    <w:rsid w:val="002E3EFA"/>
    <w:rsid w:val="002E5FA7"/>
    <w:rsid w:val="002F17E0"/>
    <w:rsid w:val="002F3072"/>
    <w:rsid w:val="002F324B"/>
    <w:rsid w:val="002F3309"/>
    <w:rsid w:val="003008CE"/>
    <w:rsid w:val="003009B7"/>
    <w:rsid w:val="00300E56"/>
    <w:rsid w:val="0030109F"/>
    <w:rsid w:val="00303A59"/>
    <w:rsid w:val="0030469C"/>
    <w:rsid w:val="00304C8D"/>
    <w:rsid w:val="00307686"/>
    <w:rsid w:val="00310EBD"/>
    <w:rsid w:val="00312D59"/>
    <w:rsid w:val="00314363"/>
    <w:rsid w:val="003205D5"/>
    <w:rsid w:val="00321CA6"/>
    <w:rsid w:val="00323763"/>
    <w:rsid w:val="003242D8"/>
    <w:rsid w:val="00325209"/>
    <w:rsid w:val="00327A1A"/>
    <w:rsid w:val="00334C09"/>
    <w:rsid w:val="003376E1"/>
    <w:rsid w:val="0034074A"/>
    <w:rsid w:val="00341909"/>
    <w:rsid w:val="003431A7"/>
    <w:rsid w:val="0034327A"/>
    <w:rsid w:val="00343673"/>
    <w:rsid w:val="00344820"/>
    <w:rsid w:val="003475AF"/>
    <w:rsid w:val="0035115A"/>
    <w:rsid w:val="00353A4D"/>
    <w:rsid w:val="00356AB4"/>
    <w:rsid w:val="003623B2"/>
    <w:rsid w:val="00362E2E"/>
    <w:rsid w:val="003631F4"/>
    <w:rsid w:val="00363956"/>
    <w:rsid w:val="00363DD5"/>
    <w:rsid w:val="003677DD"/>
    <w:rsid w:val="00371AAD"/>
    <w:rsid w:val="00371CA3"/>
    <w:rsid w:val="003723D4"/>
    <w:rsid w:val="00374507"/>
    <w:rsid w:val="003769C8"/>
    <w:rsid w:val="0038129B"/>
    <w:rsid w:val="00381905"/>
    <w:rsid w:val="00384CC8"/>
    <w:rsid w:val="00385F07"/>
    <w:rsid w:val="003871FD"/>
    <w:rsid w:val="003901AA"/>
    <w:rsid w:val="0039047A"/>
    <w:rsid w:val="003905AF"/>
    <w:rsid w:val="003962F9"/>
    <w:rsid w:val="0039633F"/>
    <w:rsid w:val="00396D83"/>
    <w:rsid w:val="003A1E30"/>
    <w:rsid w:val="003A2829"/>
    <w:rsid w:val="003A5926"/>
    <w:rsid w:val="003A7D1C"/>
    <w:rsid w:val="003B13DF"/>
    <w:rsid w:val="003B254F"/>
    <w:rsid w:val="003B304B"/>
    <w:rsid w:val="003B3146"/>
    <w:rsid w:val="003B405A"/>
    <w:rsid w:val="003C60B0"/>
    <w:rsid w:val="003C74DB"/>
    <w:rsid w:val="003D0861"/>
    <w:rsid w:val="003D2EA2"/>
    <w:rsid w:val="003E1BE3"/>
    <w:rsid w:val="003E2A82"/>
    <w:rsid w:val="003E4F83"/>
    <w:rsid w:val="003E7360"/>
    <w:rsid w:val="003E763F"/>
    <w:rsid w:val="003E76E3"/>
    <w:rsid w:val="003E77F0"/>
    <w:rsid w:val="003F015E"/>
    <w:rsid w:val="003F26DE"/>
    <w:rsid w:val="003F49EF"/>
    <w:rsid w:val="003F63AA"/>
    <w:rsid w:val="00400414"/>
    <w:rsid w:val="00400AEB"/>
    <w:rsid w:val="00400E8B"/>
    <w:rsid w:val="00405113"/>
    <w:rsid w:val="00406ECB"/>
    <w:rsid w:val="0040797A"/>
    <w:rsid w:val="00410926"/>
    <w:rsid w:val="0041446B"/>
    <w:rsid w:val="004146FD"/>
    <w:rsid w:val="004147C7"/>
    <w:rsid w:val="00416591"/>
    <w:rsid w:val="00417407"/>
    <w:rsid w:val="00417C4D"/>
    <w:rsid w:val="00420A40"/>
    <w:rsid w:val="00420D5C"/>
    <w:rsid w:val="00421928"/>
    <w:rsid w:val="00427736"/>
    <w:rsid w:val="004337C9"/>
    <w:rsid w:val="004351F4"/>
    <w:rsid w:val="00440F4D"/>
    <w:rsid w:val="00442496"/>
    <w:rsid w:val="0044329C"/>
    <w:rsid w:val="00453E24"/>
    <w:rsid w:val="00455426"/>
    <w:rsid w:val="00457456"/>
    <w:rsid w:val="004577FE"/>
    <w:rsid w:val="00457B9C"/>
    <w:rsid w:val="0046164A"/>
    <w:rsid w:val="00462048"/>
    <w:rsid w:val="004628D2"/>
    <w:rsid w:val="00462DCD"/>
    <w:rsid w:val="004648AD"/>
    <w:rsid w:val="004703A9"/>
    <w:rsid w:val="00472488"/>
    <w:rsid w:val="004733C0"/>
    <w:rsid w:val="00474785"/>
    <w:rsid w:val="00474A4F"/>
    <w:rsid w:val="0047588E"/>
    <w:rsid w:val="004760DE"/>
    <w:rsid w:val="004763D7"/>
    <w:rsid w:val="004800C1"/>
    <w:rsid w:val="004842CF"/>
    <w:rsid w:val="00485724"/>
    <w:rsid w:val="00486244"/>
    <w:rsid w:val="00487E20"/>
    <w:rsid w:val="00490EC5"/>
    <w:rsid w:val="0049753A"/>
    <w:rsid w:val="004A004E"/>
    <w:rsid w:val="004A0587"/>
    <w:rsid w:val="004A24CF"/>
    <w:rsid w:val="004B0220"/>
    <w:rsid w:val="004B32BA"/>
    <w:rsid w:val="004B3D89"/>
    <w:rsid w:val="004B3F5A"/>
    <w:rsid w:val="004B59A7"/>
    <w:rsid w:val="004C16FA"/>
    <w:rsid w:val="004C3D1D"/>
    <w:rsid w:val="004C7913"/>
    <w:rsid w:val="004D3119"/>
    <w:rsid w:val="004D331B"/>
    <w:rsid w:val="004D53C6"/>
    <w:rsid w:val="004E3AA4"/>
    <w:rsid w:val="004E4DD6"/>
    <w:rsid w:val="004E67E2"/>
    <w:rsid w:val="004E7599"/>
    <w:rsid w:val="004E7E5A"/>
    <w:rsid w:val="004F3C09"/>
    <w:rsid w:val="004F5E36"/>
    <w:rsid w:val="004F652C"/>
    <w:rsid w:val="00502267"/>
    <w:rsid w:val="005044A2"/>
    <w:rsid w:val="0050458C"/>
    <w:rsid w:val="00507B47"/>
    <w:rsid w:val="00507BEF"/>
    <w:rsid w:val="00507CC9"/>
    <w:rsid w:val="005119A5"/>
    <w:rsid w:val="005124AE"/>
    <w:rsid w:val="00512886"/>
    <w:rsid w:val="00514E7B"/>
    <w:rsid w:val="00520AC0"/>
    <w:rsid w:val="005278B7"/>
    <w:rsid w:val="00530EE1"/>
    <w:rsid w:val="00532016"/>
    <w:rsid w:val="00533AC5"/>
    <w:rsid w:val="005346C8"/>
    <w:rsid w:val="00541910"/>
    <w:rsid w:val="00543E7D"/>
    <w:rsid w:val="00544EBD"/>
    <w:rsid w:val="00547A68"/>
    <w:rsid w:val="00547F03"/>
    <w:rsid w:val="005531C9"/>
    <w:rsid w:val="00553539"/>
    <w:rsid w:val="00560237"/>
    <w:rsid w:val="00560509"/>
    <w:rsid w:val="00570C43"/>
    <w:rsid w:val="005732BA"/>
    <w:rsid w:val="00574922"/>
    <w:rsid w:val="005753AE"/>
    <w:rsid w:val="00576146"/>
    <w:rsid w:val="00585FF9"/>
    <w:rsid w:val="005860AC"/>
    <w:rsid w:val="00591EF0"/>
    <w:rsid w:val="00592461"/>
    <w:rsid w:val="00592F74"/>
    <w:rsid w:val="005A47D7"/>
    <w:rsid w:val="005B2110"/>
    <w:rsid w:val="005B5000"/>
    <w:rsid w:val="005B61E6"/>
    <w:rsid w:val="005C16B6"/>
    <w:rsid w:val="005C311A"/>
    <w:rsid w:val="005C419F"/>
    <w:rsid w:val="005C4A66"/>
    <w:rsid w:val="005C6B6C"/>
    <w:rsid w:val="005C71C8"/>
    <w:rsid w:val="005C77E1"/>
    <w:rsid w:val="005D4467"/>
    <w:rsid w:val="005D668A"/>
    <w:rsid w:val="005D6A2F"/>
    <w:rsid w:val="005E1A82"/>
    <w:rsid w:val="005E6C8E"/>
    <w:rsid w:val="005E72C2"/>
    <w:rsid w:val="005E794C"/>
    <w:rsid w:val="005F0A28"/>
    <w:rsid w:val="005F0B45"/>
    <w:rsid w:val="005F0E5E"/>
    <w:rsid w:val="005F5C19"/>
    <w:rsid w:val="00600535"/>
    <w:rsid w:val="00606B48"/>
    <w:rsid w:val="00610CD6"/>
    <w:rsid w:val="00611FA2"/>
    <w:rsid w:val="00613625"/>
    <w:rsid w:val="00613FBD"/>
    <w:rsid w:val="00615936"/>
    <w:rsid w:val="00616CD5"/>
    <w:rsid w:val="00620651"/>
    <w:rsid w:val="00620DEE"/>
    <w:rsid w:val="00621A75"/>
    <w:rsid w:val="00621F92"/>
    <w:rsid w:val="0062280A"/>
    <w:rsid w:val="006255DC"/>
    <w:rsid w:val="00625639"/>
    <w:rsid w:val="0062653C"/>
    <w:rsid w:val="00630030"/>
    <w:rsid w:val="00630BC7"/>
    <w:rsid w:val="00631B33"/>
    <w:rsid w:val="0064184D"/>
    <w:rsid w:val="006422CC"/>
    <w:rsid w:val="006431A1"/>
    <w:rsid w:val="0065128F"/>
    <w:rsid w:val="00652785"/>
    <w:rsid w:val="00660E3E"/>
    <w:rsid w:val="00662E74"/>
    <w:rsid w:val="00663C0C"/>
    <w:rsid w:val="00665064"/>
    <w:rsid w:val="00666E63"/>
    <w:rsid w:val="006672CF"/>
    <w:rsid w:val="00667B29"/>
    <w:rsid w:val="00671623"/>
    <w:rsid w:val="00680C23"/>
    <w:rsid w:val="0068390A"/>
    <w:rsid w:val="00693766"/>
    <w:rsid w:val="00695C59"/>
    <w:rsid w:val="00695DA0"/>
    <w:rsid w:val="006A01F7"/>
    <w:rsid w:val="006A3281"/>
    <w:rsid w:val="006A75F4"/>
    <w:rsid w:val="006B188D"/>
    <w:rsid w:val="006B4888"/>
    <w:rsid w:val="006B4BEE"/>
    <w:rsid w:val="006C1A36"/>
    <w:rsid w:val="006C205C"/>
    <w:rsid w:val="006C2E45"/>
    <w:rsid w:val="006C359C"/>
    <w:rsid w:val="006C38AC"/>
    <w:rsid w:val="006C5579"/>
    <w:rsid w:val="006D502A"/>
    <w:rsid w:val="006D6E8B"/>
    <w:rsid w:val="006E23F0"/>
    <w:rsid w:val="006E3DCA"/>
    <w:rsid w:val="006E4A5E"/>
    <w:rsid w:val="006E663F"/>
    <w:rsid w:val="006E737D"/>
    <w:rsid w:val="006F22CA"/>
    <w:rsid w:val="00701A9E"/>
    <w:rsid w:val="00712EF1"/>
    <w:rsid w:val="00713973"/>
    <w:rsid w:val="00717AE8"/>
    <w:rsid w:val="00720A24"/>
    <w:rsid w:val="00722302"/>
    <w:rsid w:val="007240A2"/>
    <w:rsid w:val="00730A47"/>
    <w:rsid w:val="00732386"/>
    <w:rsid w:val="00732CBA"/>
    <w:rsid w:val="00733B83"/>
    <w:rsid w:val="0073514D"/>
    <w:rsid w:val="00735E37"/>
    <w:rsid w:val="00737DD2"/>
    <w:rsid w:val="007447F3"/>
    <w:rsid w:val="00752D8C"/>
    <w:rsid w:val="00752FBF"/>
    <w:rsid w:val="0075499F"/>
    <w:rsid w:val="007575DE"/>
    <w:rsid w:val="007614DF"/>
    <w:rsid w:val="0076243B"/>
    <w:rsid w:val="00762FB2"/>
    <w:rsid w:val="007633EC"/>
    <w:rsid w:val="007661C8"/>
    <w:rsid w:val="00767CD2"/>
    <w:rsid w:val="0077098D"/>
    <w:rsid w:val="00771396"/>
    <w:rsid w:val="00772F16"/>
    <w:rsid w:val="00774A2C"/>
    <w:rsid w:val="00776FBD"/>
    <w:rsid w:val="007855B5"/>
    <w:rsid w:val="00786C19"/>
    <w:rsid w:val="00790D75"/>
    <w:rsid w:val="007931FA"/>
    <w:rsid w:val="00793E5A"/>
    <w:rsid w:val="00796DA9"/>
    <w:rsid w:val="007A03C7"/>
    <w:rsid w:val="007A04CA"/>
    <w:rsid w:val="007A10B6"/>
    <w:rsid w:val="007A17F2"/>
    <w:rsid w:val="007A4861"/>
    <w:rsid w:val="007A538F"/>
    <w:rsid w:val="007A7BBA"/>
    <w:rsid w:val="007B0C50"/>
    <w:rsid w:val="007B3129"/>
    <w:rsid w:val="007B3673"/>
    <w:rsid w:val="007B4094"/>
    <w:rsid w:val="007B477F"/>
    <w:rsid w:val="007B48F9"/>
    <w:rsid w:val="007B659E"/>
    <w:rsid w:val="007B75EF"/>
    <w:rsid w:val="007B77C4"/>
    <w:rsid w:val="007C1A43"/>
    <w:rsid w:val="007C3CBB"/>
    <w:rsid w:val="007C6A55"/>
    <w:rsid w:val="007D0536"/>
    <w:rsid w:val="007D0923"/>
    <w:rsid w:val="007D1A57"/>
    <w:rsid w:val="007D7758"/>
    <w:rsid w:val="007D7CC7"/>
    <w:rsid w:val="007E3A05"/>
    <w:rsid w:val="007E50EE"/>
    <w:rsid w:val="007E7688"/>
    <w:rsid w:val="007F4507"/>
    <w:rsid w:val="007F6A6A"/>
    <w:rsid w:val="007F7C7B"/>
    <w:rsid w:val="0080013E"/>
    <w:rsid w:val="00802954"/>
    <w:rsid w:val="00805CCC"/>
    <w:rsid w:val="00807F88"/>
    <w:rsid w:val="0081184B"/>
    <w:rsid w:val="00813288"/>
    <w:rsid w:val="00815042"/>
    <w:rsid w:val="008154E7"/>
    <w:rsid w:val="008168FC"/>
    <w:rsid w:val="0081774E"/>
    <w:rsid w:val="00821950"/>
    <w:rsid w:val="00821DA8"/>
    <w:rsid w:val="0082239F"/>
    <w:rsid w:val="00830996"/>
    <w:rsid w:val="00831E91"/>
    <w:rsid w:val="00833F52"/>
    <w:rsid w:val="008341CF"/>
    <w:rsid w:val="008345F1"/>
    <w:rsid w:val="00835000"/>
    <w:rsid w:val="008360B1"/>
    <w:rsid w:val="008367CE"/>
    <w:rsid w:val="0083681F"/>
    <w:rsid w:val="008571AD"/>
    <w:rsid w:val="00863F5A"/>
    <w:rsid w:val="00865B07"/>
    <w:rsid w:val="008660B8"/>
    <w:rsid w:val="008667EA"/>
    <w:rsid w:val="0087009C"/>
    <w:rsid w:val="008751D0"/>
    <w:rsid w:val="00875E12"/>
    <w:rsid w:val="0087637F"/>
    <w:rsid w:val="008807ED"/>
    <w:rsid w:val="00883318"/>
    <w:rsid w:val="00883730"/>
    <w:rsid w:val="00883D44"/>
    <w:rsid w:val="008858D7"/>
    <w:rsid w:val="0089102F"/>
    <w:rsid w:val="00892AD5"/>
    <w:rsid w:val="00892F5E"/>
    <w:rsid w:val="00892FA8"/>
    <w:rsid w:val="008952C1"/>
    <w:rsid w:val="008A1512"/>
    <w:rsid w:val="008A5664"/>
    <w:rsid w:val="008B794C"/>
    <w:rsid w:val="008C1ACC"/>
    <w:rsid w:val="008C5A41"/>
    <w:rsid w:val="008C7516"/>
    <w:rsid w:val="008C774D"/>
    <w:rsid w:val="008D3094"/>
    <w:rsid w:val="008D32B9"/>
    <w:rsid w:val="008D3D34"/>
    <w:rsid w:val="008D433B"/>
    <w:rsid w:val="008E3F60"/>
    <w:rsid w:val="008E4DE4"/>
    <w:rsid w:val="008E566E"/>
    <w:rsid w:val="008E76E5"/>
    <w:rsid w:val="008F0081"/>
    <w:rsid w:val="008F4535"/>
    <w:rsid w:val="008F6A44"/>
    <w:rsid w:val="0090161A"/>
    <w:rsid w:val="00901EB6"/>
    <w:rsid w:val="00902576"/>
    <w:rsid w:val="00904C62"/>
    <w:rsid w:val="0090712A"/>
    <w:rsid w:val="0091181F"/>
    <w:rsid w:val="00911CB7"/>
    <w:rsid w:val="00912674"/>
    <w:rsid w:val="00912826"/>
    <w:rsid w:val="00913559"/>
    <w:rsid w:val="00915EBF"/>
    <w:rsid w:val="00920ABF"/>
    <w:rsid w:val="00920F45"/>
    <w:rsid w:val="00922BA8"/>
    <w:rsid w:val="00924A85"/>
    <w:rsid w:val="00924DAC"/>
    <w:rsid w:val="00926676"/>
    <w:rsid w:val="00926775"/>
    <w:rsid w:val="00927058"/>
    <w:rsid w:val="0093006F"/>
    <w:rsid w:val="00933594"/>
    <w:rsid w:val="00942750"/>
    <w:rsid w:val="009450CE"/>
    <w:rsid w:val="009459FB"/>
    <w:rsid w:val="00946E2D"/>
    <w:rsid w:val="00947179"/>
    <w:rsid w:val="00947969"/>
    <w:rsid w:val="0095164B"/>
    <w:rsid w:val="00954090"/>
    <w:rsid w:val="009573E7"/>
    <w:rsid w:val="00960352"/>
    <w:rsid w:val="0096039B"/>
    <w:rsid w:val="00963E05"/>
    <w:rsid w:val="00965559"/>
    <w:rsid w:val="009670EF"/>
    <w:rsid w:val="00967843"/>
    <w:rsid w:val="00967D54"/>
    <w:rsid w:val="00971028"/>
    <w:rsid w:val="00973E70"/>
    <w:rsid w:val="00973F60"/>
    <w:rsid w:val="00975B28"/>
    <w:rsid w:val="00977018"/>
    <w:rsid w:val="00981AEC"/>
    <w:rsid w:val="009851BA"/>
    <w:rsid w:val="00986A34"/>
    <w:rsid w:val="00987436"/>
    <w:rsid w:val="0099200D"/>
    <w:rsid w:val="00993B84"/>
    <w:rsid w:val="0099497A"/>
    <w:rsid w:val="00994FFA"/>
    <w:rsid w:val="00996483"/>
    <w:rsid w:val="00996F5A"/>
    <w:rsid w:val="0099702A"/>
    <w:rsid w:val="009A19E7"/>
    <w:rsid w:val="009A26A9"/>
    <w:rsid w:val="009A746F"/>
    <w:rsid w:val="009B041A"/>
    <w:rsid w:val="009C37C3"/>
    <w:rsid w:val="009C4BBC"/>
    <w:rsid w:val="009C7C86"/>
    <w:rsid w:val="009D2FF7"/>
    <w:rsid w:val="009D3CF4"/>
    <w:rsid w:val="009E0004"/>
    <w:rsid w:val="009E3594"/>
    <w:rsid w:val="009E7884"/>
    <w:rsid w:val="009E788A"/>
    <w:rsid w:val="009F0E08"/>
    <w:rsid w:val="009F69C5"/>
    <w:rsid w:val="00A050F6"/>
    <w:rsid w:val="00A113AF"/>
    <w:rsid w:val="00A11612"/>
    <w:rsid w:val="00A15957"/>
    <w:rsid w:val="00A16019"/>
    <w:rsid w:val="00A1747F"/>
    <w:rsid w:val="00A1763D"/>
    <w:rsid w:val="00A1787E"/>
    <w:rsid w:val="00A17CEC"/>
    <w:rsid w:val="00A215F3"/>
    <w:rsid w:val="00A2451B"/>
    <w:rsid w:val="00A27EF0"/>
    <w:rsid w:val="00A3412F"/>
    <w:rsid w:val="00A36D41"/>
    <w:rsid w:val="00A37171"/>
    <w:rsid w:val="00A37FB5"/>
    <w:rsid w:val="00A40399"/>
    <w:rsid w:val="00A4095D"/>
    <w:rsid w:val="00A4183E"/>
    <w:rsid w:val="00A42361"/>
    <w:rsid w:val="00A50B20"/>
    <w:rsid w:val="00A51390"/>
    <w:rsid w:val="00A60D13"/>
    <w:rsid w:val="00A61B77"/>
    <w:rsid w:val="00A62D06"/>
    <w:rsid w:val="00A63A7D"/>
    <w:rsid w:val="00A66C37"/>
    <w:rsid w:val="00A66CA8"/>
    <w:rsid w:val="00A66D51"/>
    <w:rsid w:val="00A67FD2"/>
    <w:rsid w:val="00A72745"/>
    <w:rsid w:val="00A73F85"/>
    <w:rsid w:val="00A761E7"/>
    <w:rsid w:val="00A76EFC"/>
    <w:rsid w:val="00A81913"/>
    <w:rsid w:val="00A81F7E"/>
    <w:rsid w:val="00A91010"/>
    <w:rsid w:val="00A96ADC"/>
    <w:rsid w:val="00A97F29"/>
    <w:rsid w:val="00AA0A84"/>
    <w:rsid w:val="00AA385B"/>
    <w:rsid w:val="00AA3D16"/>
    <w:rsid w:val="00AA3D1A"/>
    <w:rsid w:val="00AA46E1"/>
    <w:rsid w:val="00AA702E"/>
    <w:rsid w:val="00AB0964"/>
    <w:rsid w:val="00AB11ED"/>
    <w:rsid w:val="00AB1FFE"/>
    <w:rsid w:val="00AB5011"/>
    <w:rsid w:val="00AC056C"/>
    <w:rsid w:val="00AC54FB"/>
    <w:rsid w:val="00AC7368"/>
    <w:rsid w:val="00AD16B9"/>
    <w:rsid w:val="00AD252C"/>
    <w:rsid w:val="00AD3B1F"/>
    <w:rsid w:val="00AD5E22"/>
    <w:rsid w:val="00AD76B1"/>
    <w:rsid w:val="00AE2011"/>
    <w:rsid w:val="00AE377D"/>
    <w:rsid w:val="00AE4778"/>
    <w:rsid w:val="00AF0EBA"/>
    <w:rsid w:val="00AF126A"/>
    <w:rsid w:val="00AF1543"/>
    <w:rsid w:val="00AF4D11"/>
    <w:rsid w:val="00AF7E7A"/>
    <w:rsid w:val="00B01C6C"/>
    <w:rsid w:val="00B02C8A"/>
    <w:rsid w:val="00B05B23"/>
    <w:rsid w:val="00B0633B"/>
    <w:rsid w:val="00B06A30"/>
    <w:rsid w:val="00B12846"/>
    <w:rsid w:val="00B17FBD"/>
    <w:rsid w:val="00B241BC"/>
    <w:rsid w:val="00B24BB6"/>
    <w:rsid w:val="00B25976"/>
    <w:rsid w:val="00B3000C"/>
    <w:rsid w:val="00B315A6"/>
    <w:rsid w:val="00B316ED"/>
    <w:rsid w:val="00B31813"/>
    <w:rsid w:val="00B33208"/>
    <w:rsid w:val="00B3330E"/>
    <w:rsid w:val="00B33365"/>
    <w:rsid w:val="00B34ECE"/>
    <w:rsid w:val="00B355E2"/>
    <w:rsid w:val="00B42EEC"/>
    <w:rsid w:val="00B53228"/>
    <w:rsid w:val="00B53D95"/>
    <w:rsid w:val="00B5445F"/>
    <w:rsid w:val="00B55032"/>
    <w:rsid w:val="00B55F02"/>
    <w:rsid w:val="00B57B36"/>
    <w:rsid w:val="00B57E6F"/>
    <w:rsid w:val="00B60505"/>
    <w:rsid w:val="00B61A4F"/>
    <w:rsid w:val="00B63980"/>
    <w:rsid w:val="00B674C2"/>
    <w:rsid w:val="00B70745"/>
    <w:rsid w:val="00B729C3"/>
    <w:rsid w:val="00B73F65"/>
    <w:rsid w:val="00B750DF"/>
    <w:rsid w:val="00B8686D"/>
    <w:rsid w:val="00B868C7"/>
    <w:rsid w:val="00B922A5"/>
    <w:rsid w:val="00B93F69"/>
    <w:rsid w:val="00B97BE3"/>
    <w:rsid w:val="00BA1BAB"/>
    <w:rsid w:val="00BA5D0D"/>
    <w:rsid w:val="00BB0FF4"/>
    <w:rsid w:val="00BB1DDC"/>
    <w:rsid w:val="00BB6500"/>
    <w:rsid w:val="00BB7DF7"/>
    <w:rsid w:val="00BC1BBF"/>
    <w:rsid w:val="00BC1DE6"/>
    <w:rsid w:val="00BC2C3C"/>
    <w:rsid w:val="00BC30C9"/>
    <w:rsid w:val="00BD04A4"/>
    <w:rsid w:val="00BD077D"/>
    <w:rsid w:val="00BD110A"/>
    <w:rsid w:val="00BD4CAF"/>
    <w:rsid w:val="00BE1840"/>
    <w:rsid w:val="00BE2130"/>
    <w:rsid w:val="00BE3E58"/>
    <w:rsid w:val="00BE4F4F"/>
    <w:rsid w:val="00BE57A7"/>
    <w:rsid w:val="00BE668B"/>
    <w:rsid w:val="00BF15CC"/>
    <w:rsid w:val="00BF45E8"/>
    <w:rsid w:val="00BF5130"/>
    <w:rsid w:val="00BF7D03"/>
    <w:rsid w:val="00C00515"/>
    <w:rsid w:val="00C01616"/>
    <w:rsid w:val="00C0162B"/>
    <w:rsid w:val="00C01F12"/>
    <w:rsid w:val="00C068ED"/>
    <w:rsid w:val="00C07D31"/>
    <w:rsid w:val="00C12596"/>
    <w:rsid w:val="00C126F4"/>
    <w:rsid w:val="00C12B2A"/>
    <w:rsid w:val="00C14BCE"/>
    <w:rsid w:val="00C20233"/>
    <w:rsid w:val="00C20CA6"/>
    <w:rsid w:val="00C22E0C"/>
    <w:rsid w:val="00C23967"/>
    <w:rsid w:val="00C33381"/>
    <w:rsid w:val="00C3393C"/>
    <w:rsid w:val="00C33AC2"/>
    <w:rsid w:val="00C345B1"/>
    <w:rsid w:val="00C351BD"/>
    <w:rsid w:val="00C40142"/>
    <w:rsid w:val="00C402A8"/>
    <w:rsid w:val="00C4121E"/>
    <w:rsid w:val="00C43412"/>
    <w:rsid w:val="00C46D7F"/>
    <w:rsid w:val="00C47191"/>
    <w:rsid w:val="00C51876"/>
    <w:rsid w:val="00C52C3C"/>
    <w:rsid w:val="00C54095"/>
    <w:rsid w:val="00C54308"/>
    <w:rsid w:val="00C56941"/>
    <w:rsid w:val="00C57182"/>
    <w:rsid w:val="00C57863"/>
    <w:rsid w:val="00C60B12"/>
    <w:rsid w:val="00C62E55"/>
    <w:rsid w:val="00C655FD"/>
    <w:rsid w:val="00C7030A"/>
    <w:rsid w:val="00C703E0"/>
    <w:rsid w:val="00C75407"/>
    <w:rsid w:val="00C83DEC"/>
    <w:rsid w:val="00C842A9"/>
    <w:rsid w:val="00C86961"/>
    <w:rsid w:val="00C870A8"/>
    <w:rsid w:val="00C87EE0"/>
    <w:rsid w:val="00C92DB8"/>
    <w:rsid w:val="00C9304A"/>
    <w:rsid w:val="00C94434"/>
    <w:rsid w:val="00C960AC"/>
    <w:rsid w:val="00CA0D75"/>
    <w:rsid w:val="00CA1C95"/>
    <w:rsid w:val="00CA32EA"/>
    <w:rsid w:val="00CA5A9C"/>
    <w:rsid w:val="00CA736D"/>
    <w:rsid w:val="00CB1281"/>
    <w:rsid w:val="00CB1465"/>
    <w:rsid w:val="00CB2289"/>
    <w:rsid w:val="00CB2EAD"/>
    <w:rsid w:val="00CB4E63"/>
    <w:rsid w:val="00CC4C20"/>
    <w:rsid w:val="00CC7DD4"/>
    <w:rsid w:val="00CC7E09"/>
    <w:rsid w:val="00CD2B77"/>
    <w:rsid w:val="00CD3517"/>
    <w:rsid w:val="00CD5FE2"/>
    <w:rsid w:val="00CD7889"/>
    <w:rsid w:val="00CE7C68"/>
    <w:rsid w:val="00CF3905"/>
    <w:rsid w:val="00CF63BF"/>
    <w:rsid w:val="00CF746C"/>
    <w:rsid w:val="00D02B4C"/>
    <w:rsid w:val="00D030EE"/>
    <w:rsid w:val="00D040C4"/>
    <w:rsid w:val="00D059AD"/>
    <w:rsid w:val="00D0615F"/>
    <w:rsid w:val="00D150EC"/>
    <w:rsid w:val="00D20A88"/>
    <w:rsid w:val="00D210DC"/>
    <w:rsid w:val="00D24357"/>
    <w:rsid w:val="00D24721"/>
    <w:rsid w:val="00D25144"/>
    <w:rsid w:val="00D2602A"/>
    <w:rsid w:val="00D305AC"/>
    <w:rsid w:val="00D34498"/>
    <w:rsid w:val="00D454DC"/>
    <w:rsid w:val="00D46B7E"/>
    <w:rsid w:val="00D50A23"/>
    <w:rsid w:val="00D53361"/>
    <w:rsid w:val="00D554A6"/>
    <w:rsid w:val="00D56FDE"/>
    <w:rsid w:val="00D57C84"/>
    <w:rsid w:val="00D60053"/>
    <w:rsid w:val="00D6057D"/>
    <w:rsid w:val="00D63BF7"/>
    <w:rsid w:val="00D643EF"/>
    <w:rsid w:val="00D70DE1"/>
    <w:rsid w:val="00D7613E"/>
    <w:rsid w:val="00D81B70"/>
    <w:rsid w:val="00D82CB6"/>
    <w:rsid w:val="00D836C5"/>
    <w:rsid w:val="00D84576"/>
    <w:rsid w:val="00D864EF"/>
    <w:rsid w:val="00D86F40"/>
    <w:rsid w:val="00D87953"/>
    <w:rsid w:val="00D90ADF"/>
    <w:rsid w:val="00D95DE6"/>
    <w:rsid w:val="00DA1399"/>
    <w:rsid w:val="00DA24C6"/>
    <w:rsid w:val="00DA4D7B"/>
    <w:rsid w:val="00DA607C"/>
    <w:rsid w:val="00DA6910"/>
    <w:rsid w:val="00DB11B0"/>
    <w:rsid w:val="00DB150E"/>
    <w:rsid w:val="00DB19D5"/>
    <w:rsid w:val="00DB2594"/>
    <w:rsid w:val="00DD049A"/>
    <w:rsid w:val="00DD0D93"/>
    <w:rsid w:val="00DD45F9"/>
    <w:rsid w:val="00DD46FD"/>
    <w:rsid w:val="00DD7414"/>
    <w:rsid w:val="00DE264A"/>
    <w:rsid w:val="00DE788E"/>
    <w:rsid w:val="00DF1965"/>
    <w:rsid w:val="00DF23F4"/>
    <w:rsid w:val="00DF39AA"/>
    <w:rsid w:val="00DF43A5"/>
    <w:rsid w:val="00DF5072"/>
    <w:rsid w:val="00DF6477"/>
    <w:rsid w:val="00E00B1A"/>
    <w:rsid w:val="00E01ED1"/>
    <w:rsid w:val="00E024D5"/>
    <w:rsid w:val="00E02D18"/>
    <w:rsid w:val="00E041E7"/>
    <w:rsid w:val="00E04AEA"/>
    <w:rsid w:val="00E053BD"/>
    <w:rsid w:val="00E14B35"/>
    <w:rsid w:val="00E164CA"/>
    <w:rsid w:val="00E17557"/>
    <w:rsid w:val="00E214DA"/>
    <w:rsid w:val="00E236B4"/>
    <w:rsid w:val="00E23CA1"/>
    <w:rsid w:val="00E25A77"/>
    <w:rsid w:val="00E26CCE"/>
    <w:rsid w:val="00E30D3C"/>
    <w:rsid w:val="00E32261"/>
    <w:rsid w:val="00E33A41"/>
    <w:rsid w:val="00E3687B"/>
    <w:rsid w:val="00E409A8"/>
    <w:rsid w:val="00E4259A"/>
    <w:rsid w:val="00E50C12"/>
    <w:rsid w:val="00E53939"/>
    <w:rsid w:val="00E54B1A"/>
    <w:rsid w:val="00E54E45"/>
    <w:rsid w:val="00E602FE"/>
    <w:rsid w:val="00E61B34"/>
    <w:rsid w:val="00E65B91"/>
    <w:rsid w:val="00E7209D"/>
    <w:rsid w:val="00E72EAD"/>
    <w:rsid w:val="00E77223"/>
    <w:rsid w:val="00E81006"/>
    <w:rsid w:val="00E8528B"/>
    <w:rsid w:val="00E85B94"/>
    <w:rsid w:val="00E874D3"/>
    <w:rsid w:val="00E91C21"/>
    <w:rsid w:val="00E92325"/>
    <w:rsid w:val="00E95303"/>
    <w:rsid w:val="00E95DEF"/>
    <w:rsid w:val="00E978D0"/>
    <w:rsid w:val="00EA0906"/>
    <w:rsid w:val="00EA139B"/>
    <w:rsid w:val="00EA4613"/>
    <w:rsid w:val="00EA50C6"/>
    <w:rsid w:val="00EA6825"/>
    <w:rsid w:val="00EA6CA4"/>
    <w:rsid w:val="00EA7F91"/>
    <w:rsid w:val="00EB1523"/>
    <w:rsid w:val="00EB39A4"/>
    <w:rsid w:val="00EB61AE"/>
    <w:rsid w:val="00EC0E49"/>
    <w:rsid w:val="00EC101F"/>
    <w:rsid w:val="00EC135F"/>
    <w:rsid w:val="00EC1D9F"/>
    <w:rsid w:val="00EC43E9"/>
    <w:rsid w:val="00EC4FAA"/>
    <w:rsid w:val="00EC51F8"/>
    <w:rsid w:val="00EC554B"/>
    <w:rsid w:val="00EC6093"/>
    <w:rsid w:val="00EC6D7F"/>
    <w:rsid w:val="00ED09D3"/>
    <w:rsid w:val="00ED0F4E"/>
    <w:rsid w:val="00ED43C6"/>
    <w:rsid w:val="00ED742E"/>
    <w:rsid w:val="00EE0131"/>
    <w:rsid w:val="00EE17B0"/>
    <w:rsid w:val="00EE295D"/>
    <w:rsid w:val="00EE41B2"/>
    <w:rsid w:val="00EE5B5F"/>
    <w:rsid w:val="00EE7184"/>
    <w:rsid w:val="00EF06D9"/>
    <w:rsid w:val="00EF2069"/>
    <w:rsid w:val="00EF43B2"/>
    <w:rsid w:val="00EF47BC"/>
    <w:rsid w:val="00EF49DC"/>
    <w:rsid w:val="00F0184E"/>
    <w:rsid w:val="00F05CEA"/>
    <w:rsid w:val="00F16024"/>
    <w:rsid w:val="00F17971"/>
    <w:rsid w:val="00F179D4"/>
    <w:rsid w:val="00F17F6D"/>
    <w:rsid w:val="00F215A5"/>
    <w:rsid w:val="00F231FD"/>
    <w:rsid w:val="00F25CAD"/>
    <w:rsid w:val="00F263A2"/>
    <w:rsid w:val="00F30C64"/>
    <w:rsid w:val="00F32BA2"/>
    <w:rsid w:val="00F32CDB"/>
    <w:rsid w:val="00F32FB4"/>
    <w:rsid w:val="00F346EC"/>
    <w:rsid w:val="00F37E72"/>
    <w:rsid w:val="00F41A15"/>
    <w:rsid w:val="00F47741"/>
    <w:rsid w:val="00F52F5C"/>
    <w:rsid w:val="00F54E7C"/>
    <w:rsid w:val="00F565FE"/>
    <w:rsid w:val="00F63A70"/>
    <w:rsid w:val="00F65522"/>
    <w:rsid w:val="00F7158A"/>
    <w:rsid w:val="00F730B6"/>
    <w:rsid w:val="00F7534E"/>
    <w:rsid w:val="00F840EA"/>
    <w:rsid w:val="00F843BE"/>
    <w:rsid w:val="00F854BD"/>
    <w:rsid w:val="00FA1D94"/>
    <w:rsid w:val="00FA21D0"/>
    <w:rsid w:val="00FA3DD7"/>
    <w:rsid w:val="00FA5F5F"/>
    <w:rsid w:val="00FB37EE"/>
    <w:rsid w:val="00FB6D4C"/>
    <w:rsid w:val="00FB7216"/>
    <w:rsid w:val="00FB730C"/>
    <w:rsid w:val="00FB755D"/>
    <w:rsid w:val="00FC1169"/>
    <w:rsid w:val="00FC1C23"/>
    <w:rsid w:val="00FC2695"/>
    <w:rsid w:val="00FC2D2B"/>
    <w:rsid w:val="00FC30DE"/>
    <w:rsid w:val="00FC3E03"/>
    <w:rsid w:val="00FC3FC1"/>
    <w:rsid w:val="00FC67AB"/>
    <w:rsid w:val="00FD1901"/>
    <w:rsid w:val="00FD3AF5"/>
    <w:rsid w:val="00FD66B2"/>
    <w:rsid w:val="00FE11E6"/>
    <w:rsid w:val="00FE1451"/>
    <w:rsid w:val="00FE61D5"/>
    <w:rsid w:val="00FE73CE"/>
    <w:rsid w:val="00FF1E68"/>
    <w:rsid w:val="00FF31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8C209765-F43F-42C4-BEF4-43CFF67E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F7158A"/>
    <w:rPr>
      <w:color w:val="605E5C"/>
      <w:shd w:val="clear" w:color="auto" w:fill="E1DFDD"/>
    </w:rPr>
  </w:style>
  <w:style w:type="character" w:styleId="PlaceholderText">
    <w:name w:val="Placeholder Text"/>
    <w:basedOn w:val="DefaultParagraphFont"/>
    <w:uiPriority w:val="99"/>
    <w:semiHidden/>
    <w:rsid w:val="0023060A"/>
    <w:rPr>
      <w:color w:val="808080"/>
    </w:rPr>
  </w:style>
  <w:style w:type="paragraph" w:styleId="Revision">
    <w:name w:val="Revision"/>
    <w:hidden/>
    <w:uiPriority w:val="99"/>
    <w:semiHidden/>
    <w:rsid w:val="0003345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3506</Words>
  <Characters>19985</Characters>
  <Application>Microsoft Office Word</Application>
  <DocSecurity>0</DocSecurity>
  <Lines>166</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Federico Ustolin</cp:lastModifiedBy>
  <cp:revision>46</cp:revision>
  <cp:lastPrinted>2015-05-12T18:31:00Z</cp:lastPrinted>
  <dcterms:created xsi:type="dcterms:W3CDTF">2022-01-05T16:40:00Z</dcterms:created>
  <dcterms:modified xsi:type="dcterms:W3CDTF">2022-02-13T18:21:00Z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http://www.zotero.org/styles/american-chemical-society</vt:lpwstr>
  </property>
  <property fmtid="{D5CDD505-2E9C-101B-9397-08002B2CF9AE}" pid="5" name="Mendeley Recent Style Name 0_1">
    <vt:lpwstr>American Chemical Society</vt:lpwstr>
  </property>
  <property fmtid="{D5CDD505-2E9C-101B-9397-08002B2CF9AE}" pid="6" name="Mendeley Recent Style Id 1_1">
    <vt:lpwstr>http://csl.mendeley.com/styles/512602661/american-chemical-society</vt:lpwstr>
  </property>
  <property fmtid="{D5CDD505-2E9C-101B-9397-08002B2CF9AE}" pid="7" name="Mendeley Recent Style Name 1_1">
    <vt:lpwstr>American Chemical Society - Federico Ustolin</vt:lpwstr>
  </property>
  <property fmtid="{D5CDD505-2E9C-101B-9397-08002B2CF9AE}" pid="8" name="Mendeley Recent Style Id 2_1">
    <vt:lpwstr>http://www.zotero.org/styles/american-medical-association</vt:lpwstr>
  </property>
  <property fmtid="{D5CDD505-2E9C-101B-9397-08002B2CF9AE}" pid="9" name="Mendeley Recent Style Name 2_1">
    <vt:lpwstr>American Medical Association</vt:lpwstr>
  </property>
  <property fmtid="{D5CDD505-2E9C-101B-9397-08002B2CF9AE}" pid="10" name="Mendeley Recent Style Id 3_1">
    <vt:lpwstr>https://csl.mendeley.com/styles/512602661/apa-5th-edition</vt:lpwstr>
  </property>
  <property fmtid="{D5CDD505-2E9C-101B-9397-08002B2CF9AE}" pid="11" name="Mendeley Recent Style Name 3_1">
    <vt:lpwstr>American Psychological Association 5th edition - Federico Ustolin, M.Sc.</vt:lpwstr>
  </property>
  <property fmtid="{D5CDD505-2E9C-101B-9397-08002B2CF9AE}" pid="12" name="Mendeley Recent Style Id 4_1">
    <vt:lpwstr>https://csl.mendeley.com/styles/512602661/chicago-fullnote-bibliography</vt:lpwstr>
  </property>
  <property fmtid="{D5CDD505-2E9C-101B-9397-08002B2CF9AE}" pid="13" name="Mendeley Recent Style Name 4_1">
    <vt:lpwstr>Chicago Manual of Style 17th edition (full note) - Federico Ustolin, M.Sc.</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http://www.zotero.org/styles/elsevier-harvard</vt:lpwstr>
  </property>
  <property fmtid="{D5CDD505-2E9C-101B-9397-08002B2CF9AE}" pid="17" name="Mendeley Recent Style Name 6_1">
    <vt:lpwstr>Elsevier - Harvard (with titles)</vt:lpwstr>
  </property>
  <property fmtid="{D5CDD505-2E9C-101B-9397-08002B2CF9AE}" pid="18" name="Mendeley Recent Style Id 7_1">
    <vt:lpwstr>http://csl.mendeley.com/styles/512602661/ieee</vt:lpwstr>
  </property>
  <property fmtid="{D5CDD505-2E9C-101B-9397-08002B2CF9AE}" pid="19" name="Mendeley Recent Style Name 7_1">
    <vt:lpwstr>IEEE - IJHE</vt:lpwstr>
  </property>
  <property fmtid="{D5CDD505-2E9C-101B-9397-08002B2CF9AE}" pid="20" name="Mendeley Recent Style Id 8_1">
    <vt:lpwstr>http://www.zotero.org/styles/process-safety-and-environmental-protection</vt:lpwstr>
  </property>
  <property fmtid="{D5CDD505-2E9C-101B-9397-08002B2CF9AE}" pid="21" name="Mendeley Recent Style Name 8_1">
    <vt:lpwstr>Process Safety and Environmental Protection</vt:lpwstr>
  </property>
  <property fmtid="{D5CDD505-2E9C-101B-9397-08002B2CF9AE}" pid="22" name="Mendeley Recent Style Id 9_1">
    <vt:lpwstr>http://www.zotero.org/styles/safety-science</vt:lpwstr>
  </property>
  <property fmtid="{D5CDD505-2E9C-101B-9397-08002B2CF9AE}" pid="23" name="Mendeley Recent Style Name 9_1">
    <vt:lpwstr>Safety Science</vt:lpwstr>
  </property>
</Properties>
</file>