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A53EE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A53EE1" w:rsidRDefault="000A03B2" w:rsidP="00DE264A">
            <w:pPr>
              <w:tabs>
                <w:tab w:val="left" w:pos="-108"/>
              </w:tabs>
              <w:ind w:left="-108"/>
              <w:jc w:val="left"/>
              <w:rPr>
                <w:rFonts w:cs="Arial"/>
                <w:b/>
                <w:bCs/>
                <w:i/>
                <w:iCs/>
                <w:color w:val="000066"/>
                <w:sz w:val="12"/>
                <w:szCs w:val="12"/>
                <w:lang w:val="en-US" w:eastAsia="it-IT"/>
              </w:rPr>
            </w:pPr>
            <w:r w:rsidRPr="00A53EE1">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53EE1">
              <w:rPr>
                <w:rFonts w:ascii="AdvP6960" w:hAnsi="AdvP6960" w:cs="AdvP6960"/>
                <w:color w:val="241F20"/>
                <w:szCs w:val="18"/>
                <w:lang w:val="en-US" w:eastAsia="it-IT"/>
              </w:rPr>
              <w:t xml:space="preserve"> </w:t>
            </w:r>
            <w:r w:rsidRPr="00A53EE1">
              <w:rPr>
                <w:rFonts w:cs="Arial"/>
                <w:b/>
                <w:bCs/>
                <w:i/>
                <w:iCs/>
                <w:color w:val="000066"/>
                <w:sz w:val="24"/>
                <w:szCs w:val="24"/>
                <w:lang w:val="en-US" w:eastAsia="it-IT"/>
              </w:rPr>
              <w:t>CHEMICAL ENGINEERING</w:t>
            </w:r>
            <w:r w:rsidRPr="00A53EE1">
              <w:rPr>
                <w:rFonts w:cs="Arial"/>
                <w:b/>
                <w:bCs/>
                <w:i/>
                <w:iCs/>
                <w:color w:val="0033FF"/>
                <w:sz w:val="24"/>
                <w:szCs w:val="24"/>
                <w:lang w:val="en-US" w:eastAsia="it-IT"/>
              </w:rPr>
              <w:t xml:space="preserve"> </w:t>
            </w:r>
            <w:r w:rsidRPr="00A53EE1">
              <w:rPr>
                <w:rFonts w:cs="Arial"/>
                <w:b/>
                <w:bCs/>
                <w:i/>
                <w:iCs/>
                <w:color w:val="666666"/>
                <w:sz w:val="24"/>
                <w:szCs w:val="24"/>
                <w:lang w:val="en-US" w:eastAsia="it-IT"/>
              </w:rPr>
              <w:t>TRANSACTIONS</w:t>
            </w:r>
            <w:r w:rsidRPr="00A53EE1">
              <w:rPr>
                <w:color w:val="333333"/>
                <w:sz w:val="24"/>
                <w:szCs w:val="24"/>
                <w:lang w:val="en-US" w:eastAsia="it-IT"/>
              </w:rPr>
              <w:t xml:space="preserve"> </w:t>
            </w:r>
            <w:r w:rsidRPr="00A53EE1">
              <w:rPr>
                <w:rFonts w:cs="Arial"/>
                <w:b/>
                <w:bCs/>
                <w:i/>
                <w:iCs/>
                <w:color w:val="000066"/>
                <w:sz w:val="27"/>
                <w:szCs w:val="27"/>
                <w:lang w:val="en-US" w:eastAsia="it-IT"/>
              </w:rPr>
              <w:br/>
            </w:r>
          </w:p>
          <w:p w14:paraId="4B780582" w14:textId="740002EE" w:rsidR="000A03B2" w:rsidRPr="00A53EE1" w:rsidRDefault="00A76EFC" w:rsidP="00B57E6F">
            <w:pPr>
              <w:tabs>
                <w:tab w:val="left" w:pos="-108"/>
              </w:tabs>
              <w:ind w:left="-108"/>
              <w:rPr>
                <w:rFonts w:cs="Arial"/>
                <w:b/>
                <w:bCs/>
                <w:i/>
                <w:iCs/>
                <w:color w:val="000066"/>
                <w:sz w:val="22"/>
                <w:szCs w:val="22"/>
                <w:lang w:val="en-US" w:eastAsia="it-IT"/>
              </w:rPr>
            </w:pPr>
            <w:r w:rsidRPr="00A53EE1">
              <w:rPr>
                <w:rFonts w:cs="Arial"/>
                <w:b/>
                <w:bCs/>
                <w:i/>
                <w:iCs/>
                <w:color w:val="000066"/>
                <w:sz w:val="22"/>
                <w:szCs w:val="22"/>
                <w:lang w:val="en-US" w:eastAsia="it-IT"/>
              </w:rPr>
              <w:t xml:space="preserve">VOL. </w:t>
            </w:r>
            <w:r w:rsidR="00D46B7E" w:rsidRPr="00A53EE1">
              <w:rPr>
                <w:rFonts w:cs="Arial"/>
                <w:b/>
                <w:bCs/>
                <w:i/>
                <w:iCs/>
                <w:color w:val="000066"/>
                <w:sz w:val="22"/>
                <w:szCs w:val="22"/>
                <w:lang w:val="en-US" w:eastAsia="it-IT"/>
              </w:rPr>
              <w:t>9</w:t>
            </w:r>
            <w:r w:rsidR="00B57E6F" w:rsidRPr="00A53EE1">
              <w:rPr>
                <w:rFonts w:cs="Arial"/>
                <w:b/>
                <w:bCs/>
                <w:i/>
                <w:iCs/>
                <w:color w:val="000066"/>
                <w:sz w:val="22"/>
                <w:szCs w:val="22"/>
                <w:lang w:val="en-US" w:eastAsia="it-IT"/>
              </w:rPr>
              <w:t>1</w:t>
            </w:r>
            <w:r w:rsidR="007B48F9" w:rsidRPr="00A53EE1">
              <w:rPr>
                <w:rFonts w:cs="Arial"/>
                <w:b/>
                <w:bCs/>
                <w:i/>
                <w:iCs/>
                <w:color w:val="000066"/>
                <w:sz w:val="22"/>
                <w:szCs w:val="22"/>
                <w:lang w:val="en-US" w:eastAsia="it-IT"/>
              </w:rPr>
              <w:t>,</w:t>
            </w:r>
            <w:r w:rsidR="00FA5F5F" w:rsidRPr="00A53EE1">
              <w:rPr>
                <w:rFonts w:cs="Arial"/>
                <w:b/>
                <w:bCs/>
                <w:i/>
                <w:iCs/>
                <w:color w:val="000066"/>
                <w:sz w:val="22"/>
                <w:szCs w:val="22"/>
                <w:lang w:val="en-US" w:eastAsia="it-IT"/>
              </w:rPr>
              <w:t xml:space="preserve"> 20</w:t>
            </w:r>
            <w:r w:rsidR="00DF5072" w:rsidRPr="00A53EE1">
              <w:rPr>
                <w:rFonts w:cs="Arial"/>
                <w:b/>
                <w:bCs/>
                <w:i/>
                <w:iCs/>
                <w:color w:val="000066"/>
                <w:sz w:val="22"/>
                <w:szCs w:val="22"/>
                <w:lang w:val="en-US" w:eastAsia="it-IT"/>
              </w:rPr>
              <w:t>2</w:t>
            </w:r>
            <w:r w:rsidR="007B48F9" w:rsidRPr="00A53EE1">
              <w:rPr>
                <w:rFonts w:cs="Arial"/>
                <w:b/>
                <w:bCs/>
                <w:i/>
                <w:iCs/>
                <w:color w:val="000066"/>
                <w:sz w:val="22"/>
                <w:szCs w:val="22"/>
                <w:lang w:val="en-US" w:eastAsia="it-IT"/>
              </w:rPr>
              <w:t>2</w:t>
            </w:r>
          </w:p>
        </w:tc>
        <w:tc>
          <w:tcPr>
            <w:tcW w:w="1843" w:type="dxa"/>
            <w:tcBorders>
              <w:left w:val="single" w:sz="4" w:space="0" w:color="auto"/>
              <w:bottom w:val="nil"/>
              <w:right w:val="single" w:sz="4" w:space="0" w:color="auto"/>
            </w:tcBorders>
          </w:tcPr>
          <w:p w14:paraId="56782132" w14:textId="77777777" w:rsidR="000A03B2" w:rsidRPr="00A53EE1" w:rsidRDefault="000A03B2" w:rsidP="00CD5FE2">
            <w:pPr>
              <w:spacing w:line="140" w:lineRule="atLeast"/>
              <w:jc w:val="right"/>
              <w:rPr>
                <w:rFonts w:cs="Arial"/>
                <w:sz w:val="14"/>
                <w:szCs w:val="14"/>
                <w:lang w:val="en-US"/>
              </w:rPr>
            </w:pPr>
            <w:r w:rsidRPr="00A53EE1">
              <w:rPr>
                <w:rFonts w:cs="Arial"/>
                <w:sz w:val="14"/>
                <w:szCs w:val="14"/>
                <w:lang w:val="en-US"/>
              </w:rPr>
              <w:t>A publication of</w:t>
            </w:r>
          </w:p>
          <w:p w14:paraId="599E5441" w14:textId="77777777" w:rsidR="000A03B2" w:rsidRPr="00A53EE1" w:rsidRDefault="000A03B2" w:rsidP="00CD5FE2">
            <w:pPr>
              <w:jc w:val="right"/>
              <w:rPr>
                <w:lang w:val="en-US"/>
              </w:rPr>
            </w:pPr>
            <w:r w:rsidRPr="00A53EE1">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53EE1" w14:paraId="380FA3CD" w14:textId="77777777" w:rsidTr="00DE264A">
        <w:trPr>
          <w:trHeight w:val="567"/>
          <w:jc w:val="center"/>
        </w:trPr>
        <w:tc>
          <w:tcPr>
            <w:tcW w:w="6946" w:type="dxa"/>
            <w:vMerge/>
            <w:tcBorders>
              <w:right w:val="single" w:sz="4" w:space="0" w:color="auto"/>
            </w:tcBorders>
          </w:tcPr>
          <w:p w14:paraId="39E5E4C1" w14:textId="77777777" w:rsidR="000A03B2" w:rsidRPr="00A53EE1"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A53EE1" w:rsidRDefault="000A03B2" w:rsidP="00CD5FE2">
            <w:pPr>
              <w:spacing w:line="140" w:lineRule="atLeast"/>
              <w:jc w:val="right"/>
              <w:rPr>
                <w:rFonts w:cs="Arial"/>
                <w:sz w:val="14"/>
                <w:szCs w:val="14"/>
                <w:lang w:val="en-US"/>
              </w:rPr>
            </w:pPr>
            <w:r w:rsidRPr="00A53EE1">
              <w:rPr>
                <w:rFonts w:cs="Arial"/>
                <w:sz w:val="14"/>
                <w:szCs w:val="14"/>
                <w:lang w:val="en-US"/>
              </w:rPr>
              <w:t>The Italian Association</w:t>
            </w:r>
          </w:p>
          <w:p w14:paraId="7522B1D2" w14:textId="77777777" w:rsidR="000A03B2" w:rsidRPr="00A53EE1" w:rsidRDefault="000A03B2" w:rsidP="00CD5FE2">
            <w:pPr>
              <w:spacing w:line="140" w:lineRule="atLeast"/>
              <w:jc w:val="right"/>
              <w:rPr>
                <w:rFonts w:cs="Arial"/>
                <w:sz w:val="14"/>
                <w:szCs w:val="14"/>
                <w:lang w:val="en-US"/>
              </w:rPr>
            </w:pPr>
            <w:r w:rsidRPr="00A53EE1">
              <w:rPr>
                <w:rFonts w:cs="Arial"/>
                <w:sz w:val="14"/>
                <w:szCs w:val="14"/>
                <w:lang w:val="en-US"/>
              </w:rPr>
              <w:t>of Chemical Engineering</w:t>
            </w:r>
          </w:p>
          <w:p w14:paraId="4F0CC5DE" w14:textId="47FDB2FC" w:rsidR="000A03B2" w:rsidRPr="00A53EE1" w:rsidRDefault="000D0268" w:rsidP="00CD5FE2">
            <w:pPr>
              <w:spacing w:line="140" w:lineRule="atLeast"/>
              <w:jc w:val="right"/>
              <w:rPr>
                <w:rFonts w:cs="Arial"/>
                <w:sz w:val="13"/>
                <w:szCs w:val="13"/>
                <w:lang w:val="en-US"/>
              </w:rPr>
            </w:pPr>
            <w:r w:rsidRPr="00A53EE1">
              <w:rPr>
                <w:rFonts w:cs="Arial"/>
                <w:sz w:val="13"/>
                <w:szCs w:val="13"/>
                <w:lang w:val="en-US"/>
              </w:rPr>
              <w:t>Online at www.cetjournal.it</w:t>
            </w:r>
          </w:p>
        </w:tc>
      </w:tr>
      <w:tr w:rsidR="000A03B2" w:rsidRPr="00A53EE1" w14:paraId="2D1B7169" w14:textId="77777777" w:rsidTr="00DE264A">
        <w:trPr>
          <w:trHeight w:val="68"/>
          <w:jc w:val="center"/>
        </w:trPr>
        <w:tc>
          <w:tcPr>
            <w:tcW w:w="8789" w:type="dxa"/>
            <w:gridSpan w:val="2"/>
          </w:tcPr>
          <w:p w14:paraId="4B0BB442" w14:textId="4EADF2C2" w:rsidR="00300E56" w:rsidRPr="00A53EE1" w:rsidRDefault="00300E56" w:rsidP="00B57E6F">
            <w:pPr>
              <w:ind w:left="-107"/>
              <w:outlineLvl w:val="2"/>
              <w:rPr>
                <w:rFonts w:ascii="Tahoma" w:hAnsi="Tahoma" w:cs="Tahoma"/>
                <w:bCs/>
                <w:color w:val="000000"/>
                <w:sz w:val="14"/>
                <w:szCs w:val="14"/>
                <w:lang w:val="it-IT" w:eastAsia="it-IT"/>
              </w:rPr>
            </w:pPr>
            <w:r w:rsidRPr="00A53EE1">
              <w:rPr>
                <w:rFonts w:ascii="Tahoma" w:hAnsi="Tahoma" w:cs="Tahoma"/>
                <w:iCs/>
                <w:color w:val="333333"/>
                <w:sz w:val="14"/>
                <w:szCs w:val="14"/>
                <w:lang w:val="it-IT" w:eastAsia="it-IT"/>
              </w:rPr>
              <w:t>Guest Editors:</w:t>
            </w:r>
            <w:r w:rsidR="00904C62" w:rsidRPr="00A53EE1">
              <w:rPr>
                <w:rFonts w:ascii="Tahoma" w:hAnsi="Tahoma" w:cs="Tahoma"/>
                <w:iCs/>
                <w:color w:val="333333"/>
                <w:sz w:val="14"/>
                <w:szCs w:val="14"/>
                <w:lang w:val="it-IT" w:eastAsia="it-IT"/>
              </w:rPr>
              <w:t xml:space="preserve"> </w:t>
            </w:r>
            <w:r w:rsidR="00B57E6F" w:rsidRPr="00A53EE1">
              <w:rPr>
                <w:rFonts w:ascii="Tahoma" w:hAnsi="Tahoma" w:cs="Tahoma"/>
                <w:color w:val="000000"/>
                <w:sz w:val="14"/>
                <w:szCs w:val="14"/>
                <w:shd w:val="clear" w:color="auto" w:fill="FFFFFF"/>
                <w:lang w:val="it-IT"/>
              </w:rPr>
              <w:t xml:space="preserve">Valerio </w:t>
            </w:r>
            <w:proofErr w:type="spellStart"/>
            <w:r w:rsidR="00B57E6F" w:rsidRPr="00A53EE1">
              <w:rPr>
                <w:rFonts w:ascii="Tahoma" w:hAnsi="Tahoma" w:cs="Tahoma"/>
                <w:color w:val="000000"/>
                <w:sz w:val="14"/>
                <w:szCs w:val="14"/>
                <w:shd w:val="clear" w:color="auto" w:fill="FFFFFF"/>
                <w:lang w:val="it-IT"/>
              </w:rPr>
              <w:t>Cozzani</w:t>
            </w:r>
            <w:proofErr w:type="spellEnd"/>
            <w:r w:rsidR="00B57E6F" w:rsidRPr="00A53EE1">
              <w:rPr>
                <w:rFonts w:ascii="Tahoma" w:hAnsi="Tahoma" w:cs="Tahoma"/>
                <w:color w:val="000000"/>
                <w:sz w:val="14"/>
                <w:szCs w:val="14"/>
                <w:shd w:val="clear" w:color="auto" w:fill="FFFFFF"/>
                <w:lang w:val="it-IT"/>
              </w:rPr>
              <w:t xml:space="preserve">, </w:t>
            </w:r>
            <w:r w:rsidR="001331DF" w:rsidRPr="00A53EE1">
              <w:rPr>
                <w:rFonts w:ascii="Tahoma" w:hAnsi="Tahoma" w:cs="Tahoma"/>
                <w:color w:val="000000"/>
                <w:sz w:val="14"/>
                <w:szCs w:val="14"/>
                <w:shd w:val="clear" w:color="auto" w:fill="FFFFFF"/>
                <w:lang w:val="it-IT"/>
              </w:rPr>
              <w:t>Bruno Fabiano</w:t>
            </w:r>
            <w:r w:rsidR="00B57E6F" w:rsidRPr="00A53EE1">
              <w:rPr>
                <w:rFonts w:ascii="Tahoma" w:hAnsi="Tahoma" w:cs="Tahoma"/>
                <w:color w:val="000000"/>
                <w:sz w:val="14"/>
                <w:szCs w:val="14"/>
                <w:shd w:val="clear" w:color="auto" w:fill="FFFFFF"/>
                <w:lang w:val="it-IT"/>
              </w:rPr>
              <w:t xml:space="preserve">, </w:t>
            </w:r>
            <w:proofErr w:type="spellStart"/>
            <w:r w:rsidR="00B57E6F" w:rsidRPr="00A53EE1">
              <w:rPr>
                <w:rFonts w:ascii="Tahoma" w:hAnsi="Tahoma" w:cs="Tahoma"/>
                <w:bCs/>
                <w:color w:val="000000"/>
                <w:sz w:val="14"/>
                <w:szCs w:val="14"/>
                <w:lang w:val="it-IT" w:eastAsia="it-IT"/>
              </w:rPr>
              <w:t>Genserik</w:t>
            </w:r>
            <w:proofErr w:type="spellEnd"/>
            <w:r w:rsidR="00B57E6F" w:rsidRPr="00A53EE1">
              <w:rPr>
                <w:rFonts w:ascii="Tahoma" w:hAnsi="Tahoma" w:cs="Tahoma"/>
                <w:bCs/>
                <w:color w:val="000000"/>
                <w:sz w:val="14"/>
                <w:szCs w:val="14"/>
                <w:lang w:val="it-IT" w:eastAsia="it-IT"/>
              </w:rPr>
              <w:t xml:space="preserve"> Reniers</w:t>
            </w:r>
          </w:p>
          <w:p w14:paraId="1B0F1814" w14:textId="08709475" w:rsidR="000A03B2" w:rsidRPr="00A53EE1" w:rsidRDefault="00FA5F5F" w:rsidP="00B57E6F">
            <w:pPr>
              <w:tabs>
                <w:tab w:val="left" w:pos="-108"/>
              </w:tabs>
              <w:spacing w:line="140" w:lineRule="atLeast"/>
              <w:ind w:left="-107"/>
              <w:jc w:val="left"/>
              <w:rPr>
                <w:lang w:val="en-US"/>
              </w:rPr>
            </w:pPr>
            <w:r w:rsidRPr="00A53EE1">
              <w:rPr>
                <w:rFonts w:ascii="Tahoma" w:hAnsi="Tahoma" w:cs="Tahoma"/>
                <w:iCs/>
                <w:color w:val="333333"/>
                <w:sz w:val="14"/>
                <w:szCs w:val="14"/>
                <w:lang w:val="en-US" w:eastAsia="it-IT"/>
              </w:rPr>
              <w:t>Copyright © 20</w:t>
            </w:r>
            <w:r w:rsidR="00DF5072" w:rsidRPr="00A53EE1">
              <w:rPr>
                <w:rFonts w:ascii="Tahoma" w:hAnsi="Tahoma" w:cs="Tahoma"/>
                <w:iCs/>
                <w:color w:val="333333"/>
                <w:sz w:val="14"/>
                <w:szCs w:val="14"/>
                <w:lang w:val="en-US" w:eastAsia="it-IT"/>
              </w:rPr>
              <w:t>2</w:t>
            </w:r>
            <w:r w:rsidR="00E72EAD" w:rsidRPr="00A53EE1">
              <w:rPr>
                <w:rFonts w:ascii="Tahoma" w:hAnsi="Tahoma" w:cs="Tahoma"/>
                <w:iCs/>
                <w:color w:val="333333"/>
                <w:sz w:val="14"/>
                <w:szCs w:val="14"/>
                <w:lang w:val="en-US" w:eastAsia="it-IT"/>
              </w:rPr>
              <w:t>2</w:t>
            </w:r>
            <w:r w:rsidR="00904C62" w:rsidRPr="00A53EE1">
              <w:rPr>
                <w:rFonts w:ascii="Tahoma" w:hAnsi="Tahoma" w:cs="Tahoma"/>
                <w:iCs/>
                <w:color w:val="333333"/>
                <w:sz w:val="14"/>
                <w:szCs w:val="14"/>
                <w:lang w:val="en-US" w:eastAsia="it-IT"/>
              </w:rPr>
              <w:t xml:space="preserve">, AIDIC </w:t>
            </w:r>
            <w:proofErr w:type="spellStart"/>
            <w:r w:rsidR="00904C62" w:rsidRPr="00A53EE1">
              <w:rPr>
                <w:rFonts w:ascii="Tahoma" w:hAnsi="Tahoma" w:cs="Tahoma"/>
                <w:iCs/>
                <w:color w:val="333333"/>
                <w:sz w:val="14"/>
                <w:szCs w:val="14"/>
                <w:lang w:val="en-US" w:eastAsia="it-IT"/>
              </w:rPr>
              <w:t>Servizi</w:t>
            </w:r>
            <w:proofErr w:type="spellEnd"/>
            <w:r w:rsidR="00904C62" w:rsidRPr="00A53EE1">
              <w:rPr>
                <w:rFonts w:ascii="Tahoma" w:hAnsi="Tahoma" w:cs="Tahoma"/>
                <w:iCs/>
                <w:color w:val="333333"/>
                <w:sz w:val="14"/>
                <w:szCs w:val="14"/>
                <w:lang w:val="en-US" w:eastAsia="it-IT"/>
              </w:rPr>
              <w:t xml:space="preserve"> </w:t>
            </w:r>
            <w:proofErr w:type="spellStart"/>
            <w:r w:rsidR="00904C62" w:rsidRPr="00A53EE1">
              <w:rPr>
                <w:rFonts w:ascii="Tahoma" w:hAnsi="Tahoma" w:cs="Tahoma"/>
                <w:iCs/>
                <w:color w:val="333333"/>
                <w:sz w:val="14"/>
                <w:szCs w:val="14"/>
                <w:lang w:val="en-US" w:eastAsia="it-IT"/>
              </w:rPr>
              <w:t>S.r.l</w:t>
            </w:r>
            <w:proofErr w:type="spellEnd"/>
            <w:r w:rsidR="00904C62" w:rsidRPr="00A53EE1">
              <w:rPr>
                <w:rFonts w:ascii="Tahoma" w:hAnsi="Tahoma" w:cs="Tahoma"/>
                <w:iCs/>
                <w:color w:val="333333"/>
                <w:sz w:val="14"/>
                <w:szCs w:val="14"/>
                <w:lang w:val="en-US" w:eastAsia="it-IT"/>
              </w:rPr>
              <w:t>.</w:t>
            </w:r>
            <w:r w:rsidR="00300E56" w:rsidRPr="00A53EE1">
              <w:rPr>
                <w:rFonts w:ascii="Tahoma" w:hAnsi="Tahoma" w:cs="Tahoma"/>
                <w:iCs/>
                <w:color w:val="333333"/>
                <w:sz w:val="14"/>
                <w:szCs w:val="14"/>
                <w:lang w:val="en-US" w:eastAsia="it-IT"/>
              </w:rPr>
              <w:br/>
            </w:r>
            <w:r w:rsidR="00300E56" w:rsidRPr="00A53EE1">
              <w:rPr>
                <w:rFonts w:ascii="Tahoma" w:hAnsi="Tahoma" w:cs="Tahoma"/>
                <w:b/>
                <w:iCs/>
                <w:color w:val="000000"/>
                <w:sz w:val="14"/>
                <w:szCs w:val="14"/>
                <w:lang w:val="en-US" w:eastAsia="it-IT"/>
              </w:rPr>
              <w:t>ISBN</w:t>
            </w:r>
            <w:r w:rsidR="00300E56" w:rsidRPr="00A53EE1">
              <w:rPr>
                <w:rFonts w:ascii="Tahoma" w:hAnsi="Tahoma" w:cs="Tahoma"/>
                <w:iCs/>
                <w:color w:val="000000"/>
                <w:sz w:val="14"/>
                <w:szCs w:val="14"/>
                <w:lang w:val="en-US" w:eastAsia="it-IT"/>
              </w:rPr>
              <w:t xml:space="preserve"> </w:t>
            </w:r>
            <w:r w:rsidR="008D32B9" w:rsidRPr="00A53EE1">
              <w:rPr>
                <w:rFonts w:ascii="Tahoma" w:hAnsi="Tahoma" w:cs="Tahoma"/>
                <w:sz w:val="14"/>
                <w:szCs w:val="14"/>
                <w:lang w:val="en-US"/>
              </w:rPr>
              <w:t>978-88-95608</w:t>
            </w:r>
            <w:r w:rsidR="00D46B7E" w:rsidRPr="00A53EE1">
              <w:rPr>
                <w:rFonts w:ascii="Tahoma" w:hAnsi="Tahoma" w:cs="Tahoma"/>
                <w:sz w:val="14"/>
                <w:szCs w:val="14"/>
                <w:lang w:val="en-US"/>
              </w:rPr>
              <w:t>-8</w:t>
            </w:r>
            <w:r w:rsidR="00B57E6F" w:rsidRPr="00A53EE1">
              <w:rPr>
                <w:rFonts w:ascii="Tahoma" w:hAnsi="Tahoma" w:cs="Tahoma"/>
                <w:sz w:val="14"/>
                <w:szCs w:val="14"/>
                <w:lang w:val="en-US"/>
              </w:rPr>
              <w:t>9</w:t>
            </w:r>
            <w:r w:rsidR="00D46B7E" w:rsidRPr="00A53EE1">
              <w:rPr>
                <w:rFonts w:ascii="Tahoma" w:hAnsi="Tahoma" w:cs="Tahoma"/>
                <w:sz w:val="14"/>
                <w:szCs w:val="14"/>
                <w:lang w:val="en-US"/>
              </w:rPr>
              <w:t>-</w:t>
            </w:r>
            <w:r w:rsidR="00B57E6F" w:rsidRPr="00A53EE1">
              <w:rPr>
                <w:rFonts w:ascii="Tahoma" w:hAnsi="Tahoma" w:cs="Tahoma"/>
                <w:sz w:val="14"/>
                <w:szCs w:val="14"/>
                <w:lang w:val="en-US"/>
              </w:rPr>
              <w:t>1</w:t>
            </w:r>
            <w:r w:rsidR="007B48F9" w:rsidRPr="00A53EE1">
              <w:rPr>
                <w:rFonts w:ascii="Tahoma" w:hAnsi="Tahoma" w:cs="Tahoma"/>
                <w:iCs/>
                <w:color w:val="333333"/>
                <w:sz w:val="14"/>
                <w:szCs w:val="14"/>
                <w:lang w:val="en-US" w:eastAsia="it-IT"/>
              </w:rPr>
              <w:t>;</w:t>
            </w:r>
            <w:r w:rsidR="00300E56" w:rsidRPr="00A53EE1">
              <w:rPr>
                <w:rFonts w:ascii="Tahoma" w:hAnsi="Tahoma" w:cs="Tahoma"/>
                <w:iCs/>
                <w:color w:val="333333"/>
                <w:sz w:val="14"/>
                <w:szCs w:val="14"/>
                <w:lang w:val="en-US" w:eastAsia="it-IT"/>
              </w:rPr>
              <w:t xml:space="preserve"> </w:t>
            </w:r>
            <w:r w:rsidR="00300E56" w:rsidRPr="00A53EE1">
              <w:rPr>
                <w:rFonts w:ascii="Tahoma" w:hAnsi="Tahoma" w:cs="Tahoma"/>
                <w:b/>
                <w:iCs/>
                <w:color w:val="333333"/>
                <w:sz w:val="14"/>
                <w:szCs w:val="14"/>
                <w:lang w:val="en-US" w:eastAsia="it-IT"/>
              </w:rPr>
              <w:t>ISSN</w:t>
            </w:r>
            <w:r w:rsidR="00300E56" w:rsidRPr="00A53EE1">
              <w:rPr>
                <w:rFonts w:ascii="Tahoma" w:hAnsi="Tahoma" w:cs="Tahoma"/>
                <w:iCs/>
                <w:color w:val="333333"/>
                <w:sz w:val="14"/>
                <w:szCs w:val="14"/>
                <w:lang w:val="en-US" w:eastAsia="it-IT"/>
              </w:rPr>
              <w:t xml:space="preserve"> 2283-9216</w:t>
            </w:r>
          </w:p>
        </w:tc>
      </w:tr>
    </w:tbl>
    <w:p w14:paraId="10DAA130" w14:textId="77777777" w:rsidR="000A03B2" w:rsidRPr="00A53EE1" w:rsidRDefault="000A03B2" w:rsidP="000A03B2">
      <w:pPr>
        <w:pStyle w:val="CETAuthors"/>
        <w:rPr>
          <w:lang w:val="en-US"/>
        </w:rPr>
        <w:sectPr w:rsidR="000A03B2" w:rsidRPr="00A53EE1" w:rsidSect="00CD5FE2">
          <w:type w:val="continuous"/>
          <w:pgSz w:w="11906" w:h="16838" w:code="9"/>
          <w:pgMar w:top="1701" w:right="1418" w:bottom="1701" w:left="1701" w:header="1701" w:footer="0" w:gutter="0"/>
          <w:cols w:space="708"/>
          <w:titlePg/>
          <w:docGrid w:linePitch="360"/>
        </w:sectPr>
      </w:pPr>
    </w:p>
    <w:p w14:paraId="2E667253" w14:textId="0D92CE06" w:rsidR="00E978D0" w:rsidRPr="00A53EE1" w:rsidRDefault="00687E63" w:rsidP="00E978D0">
      <w:pPr>
        <w:pStyle w:val="CETTitle"/>
        <w:rPr>
          <w:lang w:val="en-US"/>
        </w:rPr>
      </w:pPr>
      <w:r w:rsidRPr="00A53EE1">
        <w:rPr>
          <w:lang w:val="en-US"/>
        </w:rPr>
        <w:t xml:space="preserve">A Machine Learning </w:t>
      </w:r>
      <w:r w:rsidR="00783F10">
        <w:rPr>
          <w:lang w:val="en-US"/>
        </w:rPr>
        <w:t>A</w:t>
      </w:r>
      <w:r w:rsidRPr="00A53EE1">
        <w:rPr>
          <w:lang w:val="en-US"/>
        </w:rPr>
        <w:t xml:space="preserve">pproach to </w:t>
      </w:r>
      <w:r w:rsidR="00783F10">
        <w:rPr>
          <w:lang w:val="en-US"/>
        </w:rPr>
        <w:t>A</w:t>
      </w:r>
      <w:r w:rsidRPr="00A53EE1">
        <w:rPr>
          <w:lang w:val="en-US"/>
        </w:rPr>
        <w:t xml:space="preserve">nalyze </w:t>
      </w:r>
      <w:r w:rsidR="00783F10">
        <w:rPr>
          <w:lang w:val="en-US"/>
        </w:rPr>
        <w:t>N</w:t>
      </w:r>
      <w:r w:rsidRPr="00A53EE1">
        <w:rPr>
          <w:lang w:val="en-US"/>
        </w:rPr>
        <w:t xml:space="preserve">atural </w:t>
      </w:r>
      <w:r w:rsidR="00783F10">
        <w:rPr>
          <w:lang w:val="en-US"/>
        </w:rPr>
        <w:t>H</w:t>
      </w:r>
      <w:r w:rsidRPr="00A53EE1">
        <w:rPr>
          <w:lang w:val="en-US"/>
        </w:rPr>
        <w:t xml:space="preserve">azards </w:t>
      </w:r>
      <w:r w:rsidR="00783F10">
        <w:rPr>
          <w:lang w:val="en-US"/>
        </w:rPr>
        <w:t>A</w:t>
      </w:r>
      <w:r w:rsidRPr="00A53EE1">
        <w:rPr>
          <w:lang w:val="en-US"/>
        </w:rPr>
        <w:t xml:space="preserve">ccidents </w:t>
      </w:r>
      <w:r w:rsidR="00783F10">
        <w:rPr>
          <w:lang w:val="en-US"/>
        </w:rPr>
        <w:t>S</w:t>
      </w:r>
      <w:r w:rsidRPr="00A53EE1">
        <w:rPr>
          <w:lang w:val="en-US"/>
        </w:rPr>
        <w:t>cenarios</w:t>
      </w:r>
    </w:p>
    <w:p w14:paraId="0488FED2" w14:textId="5315DB24" w:rsidR="00B57E6F" w:rsidRPr="00A53EE1" w:rsidRDefault="00687E63" w:rsidP="00687E63">
      <w:pPr>
        <w:pStyle w:val="CETAuthors"/>
        <w:rPr>
          <w:lang w:val="en-US"/>
        </w:rPr>
      </w:pPr>
      <w:r w:rsidRPr="00A53EE1">
        <w:rPr>
          <w:lang w:val="en-US"/>
        </w:rPr>
        <w:t>Nakhal A., A. J.*</w:t>
      </w:r>
      <w:r w:rsidRPr="00A53EE1">
        <w:rPr>
          <w:vertAlign w:val="superscript"/>
          <w:lang w:val="en-US"/>
        </w:rPr>
        <w:t>a</w:t>
      </w:r>
      <w:r w:rsidRPr="00A53EE1">
        <w:rPr>
          <w:lang w:val="en-US"/>
        </w:rPr>
        <w:t>, Hovstad, J. S.</w:t>
      </w:r>
      <w:r w:rsidRPr="00A53EE1">
        <w:rPr>
          <w:vertAlign w:val="superscript"/>
          <w:lang w:val="en-US"/>
        </w:rPr>
        <w:t>b</w:t>
      </w:r>
      <w:r w:rsidR="00B57E6F" w:rsidRPr="00A53EE1">
        <w:rPr>
          <w:lang w:val="en-US"/>
        </w:rPr>
        <w:t>,</w:t>
      </w:r>
      <w:r w:rsidRPr="00A53EE1">
        <w:rPr>
          <w:lang w:val="en-US"/>
        </w:rPr>
        <w:t>Ruth, M. S.</w:t>
      </w:r>
      <w:r w:rsidR="00B57E6F" w:rsidRPr="00A53EE1">
        <w:rPr>
          <w:vertAlign w:val="superscript"/>
          <w:lang w:val="en-US"/>
        </w:rPr>
        <w:t>b</w:t>
      </w:r>
      <w:r w:rsidR="00B57E6F" w:rsidRPr="00A53EE1">
        <w:rPr>
          <w:lang w:val="en-US"/>
        </w:rPr>
        <w:t xml:space="preserve">, </w:t>
      </w:r>
      <w:r w:rsidRPr="00A53EE1">
        <w:rPr>
          <w:lang w:val="en-US"/>
        </w:rPr>
        <w:t>Parmeggiani, S.</w:t>
      </w:r>
      <w:r w:rsidRPr="00A53EE1">
        <w:rPr>
          <w:vertAlign w:val="superscript"/>
          <w:lang w:val="en-US"/>
        </w:rPr>
        <w:t>c</w:t>
      </w:r>
      <w:r w:rsidRPr="00A53EE1">
        <w:rPr>
          <w:lang w:val="en-US"/>
        </w:rPr>
        <w:t>, Patriarca, R.</w:t>
      </w:r>
      <w:r w:rsidRPr="00A53EE1">
        <w:rPr>
          <w:vertAlign w:val="superscript"/>
          <w:lang w:val="en-US"/>
        </w:rPr>
        <w:t>a</w:t>
      </w:r>
      <w:r w:rsidRPr="00A53EE1">
        <w:rPr>
          <w:lang w:val="en-US"/>
        </w:rPr>
        <w:t>, Paltrinieri, N.</w:t>
      </w:r>
      <w:r w:rsidRPr="00A53EE1">
        <w:rPr>
          <w:vertAlign w:val="superscript"/>
          <w:lang w:val="en-US"/>
        </w:rPr>
        <w:t>b</w:t>
      </w:r>
    </w:p>
    <w:p w14:paraId="6B2D21B3" w14:textId="71C2FEEE" w:rsidR="00B57E6F" w:rsidRPr="00A53EE1" w:rsidRDefault="00B57E6F" w:rsidP="00B57E6F">
      <w:pPr>
        <w:pStyle w:val="CETAddress"/>
        <w:rPr>
          <w:lang w:val="en-US"/>
        </w:rPr>
      </w:pPr>
      <w:r w:rsidRPr="00A53EE1">
        <w:rPr>
          <w:vertAlign w:val="superscript"/>
          <w:lang w:val="en-US"/>
        </w:rPr>
        <w:t>a</w:t>
      </w:r>
      <w:r w:rsidR="00687E63" w:rsidRPr="00A53EE1">
        <w:rPr>
          <w:lang w:val="en-US"/>
        </w:rPr>
        <w:t xml:space="preserve"> Department of Mechanical and Aerospace Engineering, Sapienza University, Rome (ITALY)</w:t>
      </w:r>
      <w:r w:rsidRPr="00A53EE1">
        <w:rPr>
          <w:lang w:val="en-US"/>
        </w:rPr>
        <w:t xml:space="preserve"> </w:t>
      </w:r>
    </w:p>
    <w:p w14:paraId="1EEF9728" w14:textId="00FB15B5" w:rsidR="00687E63" w:rsidRPr="00A53EE1" w:rsidRDefault="00B57E6F" w:rsidP="00687E63">
      <w:pPr>
        <w:pStyle w:val="CETAddress"/>
        <w:rPr>
          <w:lang w:val="en-US"/>
        </w:rPr>
      </w:pPr>
      <w:r w:rsidRPr="00A53EE1">
        <w:rPr>
          <w:vertAlign w:val="superscript"/>
          <w:lang w:val="en-US"/>
        </w:rPr>
        <w:t>b</w:t>
      </w:r>
      <w:r w:rsidR="00687E63" w:rsidRPr="00A53EE1">
        <w:rPr>
          <w:vertAlign w:val="superscript"/>
          <w:lang w:val="en-US"/>
        </w:rPr>
        <w:t xml:space="preserve"> </w:t>
      </w:r>
      <w:r w:rsidR="00687E63" w:rsidRPr="00A53EE1">
        <w:rPr>
          <w:lang w:val="en-US"/>
        </w:rPr>
        <w:t>Department of Mechanical and Industrial Engineering, Norwegian University of Science and Technology, Trondheim (NORWAY)</w:t>
      </w:r>
    </w:p>
    <w:p w14:paraId="732018F6" w14:textId="3056E94E" w:rsidR="00687E63" w:rsidRPr="00A53EE1" w:rsidRDefault="00687E63" w:rsidP="00687E63">
      <w:pPr>
        <w:pStyle w:val="CETAddress"/>
        <w:rPr>
          <w:lang w:val="it-IT"/>
        </w:rPr>
      </w:pPr>
      <w:r w:rsidRPr="00A53EE1">
        <w:rPr>
          <w:vertAlign w:val="superscript"/>
          <w:lang w:val="it-IT"/>
        </w:rPr>
        <w:t xml:space="preserve">c </w:t>
      </w:r>
      <w:r w:rsidRPr="00A53EE1">
        <w:rPr>
          <w:lang w:val="it-IT"/>
        </w:rPr>
        <w:t xml:space="preserve">ISPIRA ETS, Rimini (ITALY) </w:t>
      </w:r>
    </w:p>
    <w:p w14:paraId="48AE7AE8" w14:textId="77777777" w:rsidR="00687E63" w:rsidRPr="00A53EE1" w:rsidRDefault="00687E63" w:rsidP="00687E63">
      <w:pPr>
        <w:pStyle w:val="CETAddress"/>
        <w:rPr>
          <w:lang w:val="it-IT"/>
        </w:rPr>
      </w:pPr>
    </w:p>
    <w:p w14:paraId="73F1267A" w14:textId="1B8A2D11" w:rsidR="00B57E6F" w:rsidRPr="00A53EE1" w:rsidRDefault="00687E63" w:rsidP="00B57E6F">
      <w:pPr>
        <w:pStyle w:val="CETemail"/>
        <w:rPr>
          <w:lang w:val="en-US"/>
        </w:rPr>
      </w:pPr>
      <w:r w:rsidRPr="00A53EE1">
        <w:rPr>
          <w:lang w:val="en-US"/>
        </w:rPr>
        <w:t>antonio.nakhal@uniroma1.it</w:t>
      </w:r>
    </w:p>
    <w:p w14:paraId="7BD2ABAA" w14:textId="357B6FCE" w:rsidR="00275B16" w:rsidRPr="00A53EE1" w:rsidRDefault="00275B16" w:rsidP="00275B16">
      <w:pPr>
        <w:pStyle w:val="CETBodytext"/>
      </w:pPr>
      <w:r w:rsidRPr="00A53EE1">
        <w:t xml:space="preserve">Climate change has contributed to an increasing frequency and severity of natural hazards </w:t>
      </w:r>
      <w:r w:rsidR="00EF09ED" w:rsidRPr="00A53EE1">
        <w:t xml:space="preserve">accidents </w:t>
      </w:r>
      <w:r w:rsidR="00263B9C" w:rsidRPr="00A53EE1">
        <w:t xml:space="preserve">over </w:t>
      </w:r>
      <w:r w:rsidRPr="00A53EE1">
        <w:t>recent years, and the increasing trend is expected to continue and escalate. Globally, demographics are changing and urbanization, population growth and increasing coastal populations make societies more exposed and vulnerable to extreme</w:t>
      </w:r>
      <w:r w:rsidR="00263B9C" w:rsidRPr="00A53EE1">
        <w:t xml:space="preserve"> weather events</w:t>
      </w:r>
      <w:r w:rsidRPr="00A53EE1">
        <w:t xml:space="preserve">. As a consequence, attention towards natural disasters is increasing along </w:t>
      </w:r>
      <w:r w:rsidR="00263B9C" w:rsidRPr="00A53EE1">
        <w:t xml:space="preserve">with </w:t>
      </w:r>
      <w:r w:rsidRPr="00A53EE1">
        <w:t xml:space="preserve">the </w:t>
      </w:r>
      <w:r w:rsidR="008E13B8" w:rsidRPr="00A53EE1">
        <w:t>interest in</w:t>
      </w:r>
      <w:r w:rsidRPr="00A53EE1">
        <w:t xml:space="preserve"> approaches to manage emerging risks. Some industries have been experiencing major losses to hazards, while others might be hit harder in the future. </w:t>
      </w:r>
    </w:p>
    <w:p w14:paraId="3382A93B" w14:textId="3211DB97" w:rsidR="00275B16" w:rsidRPr="00A53EE1" w:rsidRDefault="00275B16" w:rsidP="00275B16">
      <w:pPr>
        <w:pStyle w:val="CETBodytext"/>
      </w:pPr>
      <w:r w:rsidRPr="00A53EE1">
        <w:t>Current research shows that there is a need to further investigate underlying reasons for variations in disaster timing, impacts</w:t>
      </w:r>
      <w:r w:rsidR="009A5E1D">
        <w:t>,</w:t>
      </w:r>
      <w:r w:rsidRPr="00A53EE1">
        <w:t xml:space="preserve"> and outcomes, as well as mitigation strategies. The purpose of this research is to enhance the understanding of natural disaster mortality and unravel underlying causes and influential factors that can inform decision-making and be relevant for risk reduction efforts. This is achieved by analyzing natural </w:t>
      </w:r>
      <w:r w:rsidR="00EF09ED" w:rsidRPr="00A53EE1">
        <w:t xml:space="preserve">hazards accidents </w:t>
      </w:r>
      <w:r w:rsidRPr="00A53EE1">
        <w:t xml:space="preserve">data and using data science techniques to </w:t>
      </w:r>
      <w:r w:rsidR="000F175E" w:rsidRPr="00A53EE1">
        <w:t xml:space="preserve">define data clusters and delve into the related </w:t>
      </w:r>
      <w:r w:rsidRPr="00A53EE1">
        <w:t>factors affect</w:t>
      </w:r>
      <w:r w:rsidR="000F175E" w:rsidRPr="00A53EE1">
        <w:t xml:space="preserve">ing </w:t>
      </w:r>
      <w:r w:rsidRPr="00A53EE1">
        <w:t xml:space="preserve">mortality. </w:t>
      </w:r>
      <w:r w:rsidR="001B7B1E" w:rsidRPr="00A53EE1">
        <w:t xml:space="preserve">The climate-driven, natural disaster events from the International Disaster (EM-DAT) database have been thoroughly explored and visualized to obtain an overview of the current natural disaster situation. </w:t>
      </w:r>
      <w:r w:rsidR="000F175E" w:rsidRPr="00A53EE1">
        <w:t>More specifically, t</w:t>
      </w:r>
      <w:r w:rsidRPr="00A53EE1">
        <w:t xml:space="preserve">his </w:t>
      </w:r>
      <w:r w:rsidR="000F175E" w:rsidRPr="00A53EE1">
        <w:t xml:space="preserve">manuscript </w:t>
      </w:r>
      <w:r w:rsidRPr="00A53EE1">
        <w:t xml:space="preserve">concerns the development of </w:t>
      </w:r>
      <w:r w:rsidR="001B7B1E" w:rsidRPr="00A53EE1">
        <w:t xml:space="preserve">clustering </w:t>
      </w:r>
      <w:r w:rsidR="009A5E1D">
        <w:t>algorithms</w:t>
      </w:r>
      <w:r w:rsidR="009A5E1D" w:rsidRPr="00A53EE1">
        <w:t xml:space="preserve"> </w:t>
      </w:r>
      <w:r w:rsidR="001B7B1E" w:rsidRPr="00A53EE1">
        <w:t>and analytics</w:t>
      </w:r>
      <w:r w:rsidR="001A11D5" w:rsidRPr="00A53EE1">
        <w:t xml:space="preserve"> to map </w:t>
      </w:r>
      <w:r w:rsidRPr="00A53EE1">
        <w:t xml:space="preserve">fatalities </w:t>
      </w:r>
      <w:r w:rsidR="00EF09ED" w:rsidRPr="00A53EE1">
        <w:t>and economic damage</w:t>
      </w:r>
      <w:r w:rsidRPr="00A53EE1">
        <w:t xml:space="preserve">. The results of the analysis showed the extent to which climate change </w:t>
      </w:r>
      <w:r w:rsidR="009A5E1D">
        <w:t>has</w:t>
      </w:r>
      <w:r w:rsidR="009A5E1D" w:rsidRPr="00A53EE1">
        <w:t xml:space="preserve"> </w:t>
      </w:r>
      <w:r w:rsidRPr="00A53EE1">
        <w:t>a significant effect on resulting fatalities</w:t>
      </w:r>
      <w:r w:rsidR="00EF09ED" w:rsidRPr="00A53EE1">
        <w:t xml:space="preserve"> and economic losses</w:t>
      </w:r>
      <w:r w:rsidRPr="00A53EE1">
        <w:t xml:space="preserve"> from natural hazards accident scenarios. Besides the achieved results of this work, it is acknowledged how further studies should try to dynamically represent vulnerability as well as improve the quality and selection of integrated features to improve the representation of industrial aspects.</w:t>
      </w:r>
    </w:p>
    <w:p w14:paraId="476B2F2E" w14:textId="47C77DCF" w:rsidR="00600535" w:rsidRPr="00A53EE1" w:rsidRDefault="00600535" w:rsidP="00600535">
      <w:pPr>
        <w:pStyle w:val="CETHeading1"/>
      </w:pPr>
      <w:r w:rsidRPr="00A53EE1">
        <w:t>Introduction</w:t>
      </w:r>
    </w:p>
    <w:p w14:paraId="57F3C828" w14:textId="1CAA3C8F" w:rsidR="005577AC" w:rsidRPr="00A53EE1" w:rsidRDefault="00E079AA" w:rsidP="00E079AA">
      <w:pPr>
        <w:pStyle w:val="CETBodytext"/>
      </w:pPr>
      <w:r w:rsidRPr="00A53EE1">
        <w:t xml:space="preserve">Data analysis of natural </w:t>
      </w:r>
      <w:r w:rsidR="008E13B8" w:rsidRPr="00A53EE1">
        <w:t>hazards accidents</w:t>
      </w:r>
      <w:r w:rsidRPr="00A53EE1">
        <w:t xml:space="preserve"> can aid risk </w:t>
      </w:r>
      <w:r w:rsidR="00EC13C5" w:rsidRPr="00A53EE1">
        <w:t xml:space="preserve">management </w:t>
      </w:r>
      <w:r w:rsidRPr="00A53EE1">
        <w:t>by shedding light on disaster characteristics, challenges, differences amongst regions, and similar events.</w:t>
      </w:r>
      <w:r w:rsidR="00EC13C5" w:rsidRPr="00A53EE1">
        <w:t xml:space="preserve"> </w:t>
      </w:r>
      <w:r w:rsidRPr="00A53EE1">
        <w:t xml:space="preserve">Natural hazard management denotes the systematic actions focused on reducing the negative effects of </w:t>
      </w:r>
      <w:r w:rsidR="00757FFE" w:rsidRPr="00A53EE1">
        <w:t>disasters</w:t>
      </w:r>
      <w:r w:rsidRPr="00A53EE1">
        <w:t xml:space="preserve"> </w:t>
      </w:r>
      <w:r w:rsidR="00AF2674" w:rsidRPr="00A53EE1">
        <w:fldChar w:fldCharType="begin" w:fldLock="1"/>
      </w:r>
      <w:r w:rsidR="007D0DC0">
        <w:instrText>ADDIN CSL_CITATION {"citationItems":[{"id":"ITEM-1","itemData":{"URL":"https://www.oas.org/dsd/publications/Unit/oea66e/ch02.htm#chapter 2   natural hazard risk reduction in project formulation and evaluation","accessed":{"date-parts":[["2021","12","13"]]},"author":[{"dropping-particle":"","family":"Department of Regional Development and Environment Executive Secretariat for Economic and Social Affairs","given":"OAS","non-dropping-particle":"","parse-names":false,"suffix":""}],"id":"ITEM-1","issued":{"date-parts":[["1991"]]},"publisher":"Office of Foreign Disaster Assistance United States Agency for International Development","publisher-place":"Washington","title":"Chapter 2 - Natural Hazard Risk Reduction in roject Formaulation and Evaluation","type":"webpage"},"uris":["http://www.mendeley.com/documents/?uuid=f2fd818d-beb3-4926-8682-0762f3098855"]}],"mendeley":{"formattedCitation":"(Department of Regional Development and Environment Executive Secretariat for Economic and Social Affairs, 1991)","plainTextFormattedCitation":"(Department of Regional Development and Environment Executive Secretariat for Economic and Social Affairs, 1991)","previouslyFormattedCitation":"(Department of Regional Development and Environment Executive Secretariat for Economic and Social Affairs, 1991)"},"properties":{"noteIndex":0},"schema":"https://github.com/citation-style-language/schema/raw/master/csl-citation.json"}</w:instrText>
      </w:r>
      <w:r w:rsidR="00AF2674" w:rsidRPr="00A53EE1">
        <w:fldChar w:fldCharType="separate"/>
      </w:r>
      <w:r w:rsidR="00F57190" w:rsidRPr="00F57190">
        <w:rPr>
          <w:noProof/>
        </w:rPr>
        <w:t>(Department of Regional Development and Environment Executive Secretariat for Economic and Social Affairs, 1991)</w:t>
      </w:r>
      <w:r w:rsidR="00AF2674" w:rsidRPr="00A53EE1">
        <w:fldChar w:fldCharType="end"/>
      </w:r>
      <w:r w:rsidRPr="00A53EE1">
        <w:t xml:space="preserve">. Mitigation measures contribute to natural hazard management by minimizing, monitoring, and reducing the probability of severe consequences, </w:t>
      </w:r>
      <w:r w:rsidR="00FA7002" w:rsidRPr="00A53EE1">
        <w:t xml:space="preserve">the corresponding </w:t>
      </w:r>
      <w:r w:rsidRPr="00A53EE1">
        <w:t xml:space="preserve">avoidable impacts, and </w:t>
      </w:r>
      <w:r w:rsidR="002625FD" w:rsidRPr="00A53EE1">
        <w:t xml:space="preserve">the </w:t>
      </w:r>
      <w:r w:rsidRPr="00A53EE1">
        <w:t>unfortunate outcomes of natural hazards</w:t>
      </w:r>
      <w:r w:rsidR="002625FD" w:rsidRPr="00A53EE1">
        <w:t xml:space="preserve"> </w:t>
      </w:r>
      <w:r w:rsidR="004541A7" w:rsidRPr="00A53EE1">
        <w:fldChar w:fldCharType="begin" w:fldLock="1"/>
      </w:r>
      <w:r w:rsidR="00F404D0" w:rsidRPr="00A53EE1">
        <w:instrText>ADDIN CSL_CITATION {"citationItems":[{"id":"ITEM-1","itemData":{"DOI":"10.1016/j.ssci.2020.104900","abstract":"The present study reviews the publications that examine the application of machine learning (ML) approaches in occupational accident analysis. The review process includes four phases of analysis, namely bibliometric search, descriptive analysis, scientometric analysis, and citation network analysis (CNA). In the bibliometric search, a total of 232 articles are systematically screened out from 1995 to 2019 (up to May). Then, descriptive analysis and scientometric analysis are carried out to find the influences of journals, authors, authors’ keywords, articles/ documents, and countries/regions in developing the domain. Thereafter, CNA is carried out to classify the publications according to the research themes and methods used. From this extensive review, several key findings are obtained in the application of ML approaches in occupational accident analysis. USA, China, and Taiwan are the leading countries/regions in publishing articles. The four major research domains are (i) prediction of incident outcomes, (ii) extraction of rule based patterns, (iii) prediction of injury risk, and (iv) prediction of injury severity. Then, a taxonomy of the ML algorithms used is developed. Finally, research gaps and safety issues are highlighted and the scope for future is discussed.","author":[{"dropping-particle":"","family":"Sarkar","given":"Sobhan","non-dropping-particle":"","parse-names":false,"suffix":""},{"dropping-particle":"","family":"Maiti","given":"J","non-dropping-particle":"","parse-names":false,"suffix":""}],"container-title":"Safety Science","id":"ITEM-1","issued":{"date-parts":[["2020"]]},"page":"104900","title":"Machine learning in occupational accident analysis: A review using science mapping approach with citation network analysis","type":"article-journal","volume":"131"},"uris":["http://www.mendeley.com/documents/?uuid=b0e35549-77d7-41fe-bd58-d135bf9fcba8"]}],"mendeley":{"formattedCitation":"(Sarkar and Maiti, 2020)","plainTextFormattedCitation":"(Sarkar and Maiti, 2020)","previouslyFormattedCitation":"(Sarkar and Maiti, 2020)"},"properties":{"noteIndex":0},"schema":"https://github.com/citation-style-language/schema/raw/master/csl-citation.json"}</w:instrText>
      </w:r>
      <w:r w:rsidR="004541A7" w:rsidRPr="00A53EE1">
        <w:fldChar w:fldCharType="separate"/>
      </w:r>
      <w:r w:rsidR="004541A7" w:rsidRPr="00A53EE1">
        <w:rPr>
          <w:noProof/>
        </w:rPr>
        <w:t>(Sarkar and Maiti, 2020)</w:t>
      </w:r>
      <w:r w:rsidR="004541A7" w:rsidRPr="00A53EE1">
        <w:fldChar w:fldCharType="end"/>
      </w:r>
      <w:r w:rsidRPr="00A53EE1">
        <w:t xml:space="preserve">. The risk </w:t>
      </w:r>
      <w:r w:rsidR="00495445" w:rsidRPr="00A53EE1">
        <w:t xml:space="preserve">for </w:t>
      </w:r>
      <w:r w:rsidRPr="00A53EE1">
        <w:t>individuals inflicted by natural</w:t>
      </w:r>
      <w:r w:rsidR="008E13B8" w:rsidRPr="00A53EE1">
        <w:t xml:space="preserve"> hazard</w:t>
      </w:r>
      <w:r w:rsidRPr="00A53EE1">
        <w:t xml:space="preserve"> disasters differ</w:t>
      </w:r>
      <w:r w:rsidR="00495445" w:rsidRPr="00A53EE1">
        <w:t xml:space="preserve">s </w:t>
      </w:r>
      <w:r w:rsidRPr="00A53EE1">
        <w:t xml:space="preserve">based on </w:t>
      </w:r>
      <w:r w:rsidR="00495445" w:rsidRPr="00A53EE1">
        <w:t xml:space="preserve">societal </w:t>
      </w:r>
      <w:r w:rsidRPr="00A53EE1">
        <w:t>vulnerability</w:t>
      </w:r>
      <w:r w:rsidR="000A582C" w:rsidRPr="00A53EE1">
        <w:t xml:space="preserve"> and exposure</w:t>
      </w:r>
      <w:r w:rsidR="005577AC" w:rsidRPr="00A53EE1">
        <w:t>, and environmental conditions</w:t>
      </w:r>
      <w:r w:rsidR="006A71B6" w:rsidRPr="00A53EE1">
        <w:t xml:space="preserve"> (ISDR, 2009)</w:t>
      </w:r>
      <w:r w:rsidRPr="00A53EE1">
        <w:t xml:space="preserve">. </w:t>
      </w:r>
      <w:r w:rsidR="005577AC" w:rsidRPr="00A53EE1">
        <w:t xml:space="preserve">Climate change has forced more than 20 million people to move from their homes each year </w:t>
      </w:r>
      <w:r w:rsidR="00AE2E90" w:rsidRPr="00A53EE1">
        <w:fldChar w:fldCharType="begin" w:fldLock="1"/>
      </w:r>
      <w:r w:rsidR="00AE2E90" w:rsidRPr="00A53EE1">
        <w:instrText>ADDIN CSL_CITATION {"citationItems":[{"id":"ITEM-1","itemData":{"ISBN":"9781856232753","author":[{"dropping-particle":"","family":"Masika","given":"Rachel","non-dropping-particle":"","parse-names":false,"suffix":""}],"id":"ITEM-1","issue":"2008","issued":{"date-parts":[["2013"]]},"number-of-pages":"351-368","publisher":"Oxfam GB","publisher-place":"Oxford","title":"Gender, Development and Climate Change","type":"book"},"uris":["http://www.mendeley.com/documents/?uuid=c851e9a7-bf13-4ca9-92ba-68ca23f24233"]}],"mendeley":{"formattedCitation":"(Masika, 2013)","plainTextFormattedCitation":"(Masika, 2013)","previouslyFormattedCitation":"(Masika, 2013)"},"properties":{"noteIndex":0},"schema":"https://github.com/citation-style-language/schema/raw/master/csl-citation.json"}</w:instrText>
      </w:r>
      <w:r w:rsidR="00AE2E90" w:rsidRPr="00A53EE1">
        <w:fldChar w:fldCharType="separate"/>
      </w:r>
      <w:r w:rsidR="00AE2E90" w:rsidRPr="00A53EE1">
        <w:rPr>
          <w:noProof/>
        </w:rPr>
        <w:t>(Masika, 2013)</w:t>
      </w:r>
      <w:r w:rsidR="00AE2E90" w:rsidRPr="00A53EE1">
        <w:fldChar w:fldCharType="end"/>
      </w:r>
      <w:r w:rsidR="005577AC" w:rsidRPr="00A53EE1">
        <w:t xml:space="preserve">. The development level of a country might affect the consequences of a natural disaster. </w:t>
      </w:r>
      <w:r w:rsidR="00B2286C" w:rsidRPr="00A53EE1">
        <w:t>It is often remarked how</w:t>
      </w:r>
      <w:r w:rsidR="005577AC" w:rsidRPr="00A53EE1">
        <w:t xml:space="preserve"> those living in poverty are hardest hit despite being the least responsible for climate change.</w:t>
      </w:r>
    </w:p>
    <w:p w14:paraId="771BBD7A" w14:textId="135D86FA" w:rsidR="008E13B8" w:rsidRPr="00A53EE1" w:rsidRDefault="000A582C" w:rsidP="00E079AA">
      <w:pPr>
        <w:pStyle w:val="CETBodytext"/>
      </w:pPr>
      <w:r w:rsidRPr="00A53EE1">
        <w:lastRenderedPageBreak/>
        <w:t xml:space="preserve">The </w:t>
      </w:r>
      <w:r w:rsidR="00E079AA" w:rsidRPr="00A53EE1">
        <w:t xml:space="preserve">increasing frequency of natural hazards led to greater </w:t>
      </w:r>
      <w:r w:rsidRPr="00A53EE1">
        <w:t xml:space="preserve">attention worldwide devoted to mapping and </w:t>
      </w:r>
      <w:r w:rsidR="00E079AA" w:rsidRPr="00A53EE1">
        <w:t xml:space="preserve">reducing </w:t>
      </w:r>
      <w:r w:rsidRPr="00A53EE1">
        <w:t xml:space="preserve">natural </w:t>
      </w:r>
      <w:r w:rsidR="00E079AA" w:rsidRPr="00A53EE1">
        <w:t xml:space="preserve">risks </w:t>
      </w:r>
      <w:r w:rsidR="00F404D0" w:rsidRPr="00A53EE1">
        <w:fldChar w:fldCharType="begin" w:fldLock="1"/>
      </w:r>
      <w:r w:rsidR="00DD45D5">
        <w:instrText>ADDIN CSL_CITATION {"citationItems":[{"id":"ITEM-1","itemData":{"DOI":"10.1080/13669870600717657","ISSN":"13669877","abstract":"There is growing concern about the potential effects of natural disaster-triggered technological (natech) disasters. The chlorine releases in the Czech Republic following the floods that swept across Europe in the summer of 2002 and the multiple hazardous materials releases triggered by the Turkey earthquake of August 1999 were examples which showed the potential danger of a natech disaster occurring near populated areas. However, there is scarce information available on the actual risk of natech disasters and on what communities are doing to prevent or prepare for these types of events in Europe. This paper provides a careful look at how selected countries in Europe are currently addressing natech risk and describes recent natech incidences. Initiatives taken at the European Community (EC) level to address natech risk are also discussed. The paper includes the results of a workshop on natechs held at the Joint Research Center in Ispra, Italy in 2003. The workshop aimed to create awareness of the natech problem, and through guided exercises assess natech hazards and vulnerability to natechs in participating countries. The workshop sessions facilitated the identification of a set of five consensus key strategies for natech risk reduction including emergency planning specific to natechs, education and awareness campaigns, public participation in risk reduction planning, natech planning at industrial facilities, and the use of land use restrictions as a regulatory tool to limit the siting of industrial facilities. The paper concludes with recommendations by the authors, including suggested directions for further research to support natech risk reduction.","author":[{"dropping-particle":"","family":"Cruz","given":"Ana Maria","non-dropping-particle":"","parse-names":false,"suffix":""},{"dropping-particle":"","family":"Steinberg","given":"Laura J.","non-dropping-particle":"","parse-names":false,"suffix":""},{"dropping-particle":"","family":"Vetere-Arellano","given":"Ana Lisa","non-dropping-particle":"","parse-names":false,"suffix":""}],"container-title":"Journal of Risk Research","id":"ITEM-1","issue":"5","issued":{"date-parts":[["2006","7","1"]]},"page":"483-501","title":"Emerging issues for natech disaster risk management in Europe","type":"article-journal","volume":"9"},"uris":["http://www.mendeley.com/documents/?uuid=727deaf3-1d2b-3bc7-991c-507f59cf2feb"]}],"mendeley":{"formattedCitation":"(Cruz et al., 2006)","plainTextFormattedCitation":"(Cruz et al., 2006)","previouslyFormattedCitation":"(Cruz et al., 2006)"},"properties":{"noteIndex":0},"schema":"https://github.com/citation-style-language/schema/raw/master/csl-citation.json"}</w:instrText>
      </w:r>
      <w:r w:rsidR="00F404D0" w:rsidRPr="00A53EE1">
        <w:fldChar w:fldCharType="separate"/>
      </w:r>
      <w:r w:rsidR="007D0DC0" w:rsidRPr="007D0DC0">
        <w:rPr>
          <w:noProof/>
        </w:rPr>
        <w:t>(Cruz et al., 2006)</w:t>
      </w:r>
      <w:r w:rsidR="00F404D0" w:rsidRPr="00A53EE1">
        <w:fldChar w:fldCharType="end"/>
      </w:r>
      <w:r w:rsidR="00223FA1" w:rsidRPr="00A53EE1">
        <w:t xml:space="preserve">, </w:t>
      </w:r>
      <w:r w:rsidR="00E079AA" w:rsidRPr="00A53EE1">
        <w:t>unravel</w:t>
      </w:r>
      <w:r w:rsidR="00223FA1" w:rsidRPr="00A53EE1">
        <w:t xml:space="preserve">ing </w:t>
      </w:r>
      <w:r w:rsidR="00E079AA" w:rsidRPr="00A53EE1">
        <w:t>and explain</w:t>
      </w:r>
      <w:r w:rsidR="00223FA1" w:rsidRPr="00A53EE1">
        <w:t>ing potential impacts on societies</w:t>
      </w:r>
      <w:r w:rsidR="00E079AA" w:rsidRPr="00A53EE1">
        <w:t xml:space="preserve">. </w:t>
      </w:r>
      <w:r w:rsidR="00167788" w:rsidRPr="00A53EE1">
        <w:t>V</w:t>
      </w:r>
      <w:r w:rsidR="00E079AA" w:rsidRPr="00A53EE1">
        <w:t xml:space="preserve">ulnerability </w:t>
      </w:r>
      <w:r w:rsidR="00167788" w:rsidRPr="00A53EE1">
        <w:t xml:space="preserve">in this context </w:t>
      </w:r>
      <w:r w:rsidR="00E079AA" w:rsidRPr="00A53EE1">
        <w:t>can be a risk factor, but also an outcome</w:t>
      </w:r>
      <w:r w:rsidR="00167788" w:rsidRPr="00A53EE1">
        <w:t>: d</w:t>
      </w:r>
      <w:r w:rsidR="00E079AA" w:rsidRPr="00A53EE1">
        <w:t xml:space="preserve">isaster exposure </w:t>
      </w:r>
      <w:r w:rsidR="00167788" w:rsidRPr="00A53EE1">
        <w:t xml:space="preserve">may </w:t>
      </w:r>
      <w:r w:rsidR="00E079AA" w:rsidRPr="00A53EE1">
        <w:t xml:space="preserve">lead to poverty causing damage to assets and livelihoods </w:t>
      </w:r>
      <w:r w:rsidR="00F404D0" w:rsidRPr="00A53EE1">
        <w:fldChar w:fldCharType="begin" w:fldLock="1"/>
      </w:r>
      <w:r w:rsidR="007C4687" w:rsidRPr="00A53EE1">
        <w:instrText>ADDIN CSL_CITATION {"citationItems":[{"id":"ITEM-1","itemData":{"DOI":"10.1016/J.JLP.2021.104615","ISSN":"09504230","abstract":"An increasing trend in the number of reported natural hazard-triggered technological accidents (Natechs) worldwide has led to the development of contributions in Natech risk assessment and management, risk reduction and emergency response strategies, risk communication, risk perception, and risk governance. Yet, although some studies have underscored the need for resilient industries, only recently researchers have called for an area-wide perspective, where a paradigm shift in Natech risk management fosters a holistic systems approach. That approach should contemplate the facilities and their surrounding environment, and encourage multi-stakeholder interaction to advocate for more resilient societies. However, there are currently no methodologies for evaluating, rating, and certifying industrial facilities' level of preparedness to Natech risk; nor are there any tools available to inform the governments and the public, on industry's Natech risk management practices. In response to this need, we propose Natech RateME, a comprehensive, area-wide risk management, and rating system framework. The proposed framework is premised on a probabilistic risk assessment methodology, that can support industrial facilities' management of onsite and offsite risk from complex events and that rates their performance in terms of minimum life losses. By evaluating their safety performance, their engagement to develop cooperation mechanisms with local authorities and neighboring communities, and their commitment to disclose risk information, among other aspects, the framework, and the rating system, seek to contribute to overall territorial resilience. To do so, Natech RateME considers the interaction between infrastructure systems present at industrial parks, the technical and organizational systems, governance, risk communication, and community participation, constituting the first approach to support the strengthening of prevention and mitigation measures by enhancing facilities' and governments' abilities to manage Natech risk comprehensively.","author":[{"dropping-particle":"","family":"Suarez-Paba","given":"Maria Camila","non-dropping-particle":"","parse-names":false,"suffix":""},{"dropping-particle":"","family":"Cruz","given":"Ana Maria","non-dropping-particle":"","parse-names":false,"suffix":""}],"container-title":"Journal of Loss Prevention in the Process Industries","id":"ITEM-1","issued":{"date-parts":[["2022","1","1"]]},"publisher":"Elsevier Ltd","title":"A paradigm shift in Natech risk management: Development of a rating system framework for evaluating the performance of industry","type":"article-journal","volume":"74"},"uris":["http://www.mendeley.com/documents/?uuid=8f5c92cb-7374-37fd-9e64-52129f6608e5"]}],"mendeley":{"formattedCitation":"(Suarez-Paba and Cruz, 2022)","plainTextFormattedCitation":"(Suarez-Paba and Cruz, 2022)","previouslyFormattedCitation":"(Suarez-Paba and Cruz, 2022)"},"properties":{"noteIndex":0},"schema":"https://github.com/citation-style-language/schema/raw/master/csl-citation.json"}</w:instrText>
      </w:r>
      <w:r w:rsidR="00F404D0" w:rsidRPr="00A53EE1">
        <w:fldChar w:fldCharType="separate"/>
      </w:r>
      <w:r w:rsidR="007C4687" w:rsidRPr="00A53EE1">
        <w:rPr>
          <w:noProof/>
        </w:rPr>
        <w:t>(Suarez-Paba and Cruz, 2022)</w:t>
      </w:r>
      <w:r w:rsidR="00F404D0" w:rsidRPr="00A53EE1">
        <w:fldChar w:fldCharType="end"/>
      </w:r>
      <w:r w:rsidR="00E079AA" w:rsidRPr="00A53EE1">
        <w:t>.</w:t>
      </w:r>
      <w:r w:rsidR="00167788" w:rsidRPr="00A53EE1">
        <w:t xml:space="preserve"> </w:t>
      </w:r>
      <w:r w:rsidR="008E13B8" w:rsidRPr="00A53EE1">
        <w:t xml:space="preserve">Besides, </w:t>
      </w:r>
      <w:r w:rsidR="00A21069" w:rsidRPr="00A53EE1">
        <w:t xml:space="preserve">larger </w:t>
      </w:r>
      <w:r w:rsidR="008E13B8" w:rsidRPr="00A53EE1">
        <w:t xml:space="preserve">natural disasters often cause extensive </w:t>
      </w:r>
      <w:r w:rsidR="00A21069" w:rsidRPr="00A53EE1">
        <w:t xml:space="preserve">property </w:t>
      </w:r>
      <w:r w:rsidR="008E13B8" w:rsidRPr="00A53EE1">
        <w:t xml:space="preserve">damages and </w:t>
      </w:r>
      <w:r w:rsidR="009A5E1D">
        <w:t xml:space="preserve">a </w:t>
      </w:r>
      <w:r w:rsidR="008E13B8" w:rsidRPr="00A53EE1">
        <w:t>high number of fatalities. Research has shown that natural disaster-related damages and mortality have increased in the past decades</w:t>
      </w:r>
      <w:r w:rsidR="00F404D0" w:rsidRPr="00A53EE1">
        <w:t xml:space="preserve"> </w:t>
      </w:r>
      <w:r w:rsidR="00F404D0" w:rsidRPr="00A53EE1">
        <w:fldChar w:fldCharType="begin" w:fldLock="1"/>
      </w:r>
      <w:r w:rsidR="00DD45D5">
        <w:instrText>ADDIN CSL_CITATION {"citationItems":[{"id":"ITEM-1","itemData":{"DOI":"10.1016/j.jlp.2008.12.009","ISSN":"09504230","abstract":"This paper presents a method designed to identify underlying causes leading to industrial accidents. The method developed intends to facilitate the learning process from accidents by identifying possible causes related to the accidents that were not directly stated in an accident report, but that can be deduced following the description of the event, in particular with regard to the quality of the safety management systems in place at the industrial establishment at the time of the accident. The method has been prepared following a sequential approach, although a combination of the philosophy behind other existing accident models has been taken into consideration. The starting point to develop the model is the causes for accidents included in the MARS database of the European Commission. These causes have been extended by considering typical operational or organisational failures that are normally related to the original reported cause. The extension of causes has been performed by adding three follow-on levels of possible underlying causes. The first level could be considered as a direct cause of the accident and, the last level being more applicable to the foundation of establishing safety: \"Safety Management System or the Safety Culture\". In order to check the applicability of the method developed, it has been validated by a group of experts of the European Federation of Chemical Engineering, in order to reinforce the strategy adopted by the authors. Moreover, the method has been used to analyse the total set of accidents reported to the MARS database. The objective is to determine the efficiency of the method in identifying underlying causes, and to establish a link between the results obtained and the actual causes stated in the reports. In this way, it is possible to establish a system to go deeper into the analysis of past accidents, in order to obtain lessons learned, and to avoid recurrence of similar accidental scenarios in the future, as well as to give directions for a better reporting system of industrial accidents. © 2009 Elsevier Ltd. All rights reserved.","author":[{"dropping-particle":"","family":"Jacobsson","given":"Anders","non-dropping-particle":"","parse-names":false,"suffix":""},{"dropping-particle":"","family":"Sales","given":"Jaime","non-dropping-particle":"","parse-names":false,"suffix":""},{"dropping-particle":"","family":"Mushtaq","given":"Fesil","non-dropping-particle":"","parse-names":false,"suffix":""}],"container-title":"Journal of Loss Prevention in the Process Industries","id":"ITEM-1","issue":"2","issued":{"date-parts":[["2009","3"]]},"page":"197-203","title":"A sequential method to identify underlying causes from industrial accidents reported to the MARS database","type":"article-journal","volume":"22"},"uris":["http://www.mendeley.com/documents/?uuid=450911fa-18fd-3c95-b05e-97249fda6d25"]},{"id":"ITEM-2","itemData":{"ISBN":"9781856232753","author":[{"dropping-particle":"","family":"Masika","given":"Rachel","non-dropping-particle":"","parse-names":false,"suffix":""}],"id":"ITEM-2","issue":"2008","issued":{"date-parts":[["2013"]]},"number-of-pages":"351-368","publisher":"Oxfam GB","publisher-place":"Oxford","title":"Gender, Development and Climate Change","type":"book"},"uris":["http://www.mendeley.com/documents/?uuid=c851e9a7-bf13-4ca9-92ba-68ca23f24233"]}],"mendeley":{"formattedCitation":"(Jacobsson et al., 2009; Masika, 2013)","plainTextFormattedCitation":"(Jacobsson et al., 2009; Masika, 2013)","previouslyFormattedCitation":"(Jacobsson et al., 2009; Masika, 2013)"},"properties":{"noteIndex":0},"schema":"https://github.com/citation-style-language/schema/raw/master/csl-citation.json"}</w:instrText>
      </w:r>
      <w:r w:rsidR="00F404D0" w:rsidRPr="00A53EE1">
        <w:fldChar w:fldCharType="separate"/>
      </w:r>
      <w:r w:rsidR="007D0DC0" w:rsidRPr="007D0DC0">
        <w:rPr>
          <w:noProof/>
        </w:rPr>
        <w:t>(Jacobsson et al., 2009; Masika, 2013)</w:t>
      </w:r>
      <w:r w:rsidR="00F404D0" w:rsidRPr="00A53EE1">
        <w:fldChar w:fldCharType="end"/>
      </w:r>
      <w:r w:rsidR="008E13B8" w:rsidRPr="00A53EE1">
        <w:t>.</w:t>
      </w:r>
    </w:p>
    <w:p w14:paraId="4924E888" w14:textId="1C74DBCD" w:rsidR="00B0211E" w:rsidRPr="00A53EE1" w:rsidRDefault="002618D6" w:rsidP="00E079AA">
      <w:pPr>
        <w:pStyle w:val="CETBodytext"/>
      </w:pPr>
      <w:r w:rsidRPr="00A53EE1">
        <w:t xml:space="preserve">Research is needed to </w:t>
      </w:r>
      <w:r w:rsidR="00B61526" w:rsidRPr="00A53EE1">
        <w:t xml:space="preserve">develop systematic approaches on disaster causes and impacts to improve responses, and anticipation capacity and design risk prevention and mitigating interventions </w:t>
      </w:r>
      <w:r w:rsidR="007D0DC0" w:rsidRPr="00A53EE1">
        <w:t>prior to</w:t>
      </w:r>
      <w:r w:rsidR="009A5E1D">
        <w:t>,</w:t>
      </w:r>
      <w:r w:rsidR="007D0DC0" w:rsidRPr="00A53EE1">
        <w:t xml:space="preserve"> or</w:t>
      </w:r>
      <w:r w:rsidR="00B61526" w:rsidRPr="00A53EE1">
        <w:t xml:space="preserve"> following major natural </w:t>
      </w:r>
      <w:r w:rsidR="002727AB" w:rsidRPr="00A53EE1">
        <w:t>hazards</w:t>
      </w:r>
      <w:r w:rsidR="004773EE" w:rsidRPr="00A53EE1">
        <w:t xml:space="preserve"> verification</w:t>
      </w:r>
      <w:r w:rsidRPr="00A53EE1">
        <w:t xml:space="preserve">. </w:t>
      </w:r>
      <w:r w:rsidR="00E079AA" w:rsidRPr="00A53EE1">
        <w:t xml:space="preserve">The International Disaster </w:t>
      </w:r>
      <w:r w:rsidR="009A5E1D">
        <w:t>Database</w:t>
      </w:r>
      <w:r w:rsidR="009A5E1D" w:rsidRPr="00A53EE1">
        <w:t xml:space="preserve"> </w:t>
      </w:r>
      <w:r w:rsidR="00E079AA" w:rsidRPr="00A53EE1">
        <w:t xml:space="preserve">(EM-DAT) </w:t>
      </w:r>
      <w:r w:rsidR="004773EE" w:rsidRPr="00A53EE1">
        <w:t xml:space="preserve">developed by </w:t>
      </w:r>
      <w:r w:rsidR="0087431A" w:rsidRPr="00A53EE1">
        <w:t xml:space="preserve">the Centre for Research on the Epidemiology of Disasters (CRED) </w:t>
      </w:r>
      <w:r w:rsidR="004F183E" w:rsidRPr="00A53EE1">
        <w:t xml:space="preserve">gathers data on natural disasters and </w:t>
      </w:r>
      <w:r w:rsidR="009A5E1D">
        <w:t>maps</w:t>
      </w:r>
      <w:r w:rsidR="009A5E1D" w:rsidRPr="00A53EE1">
        <w:t xml:space="preserve"> </w:t>
      </w:r>
      <w:r w:rsidR="004F183E" w:rsidRPr="00A53EE1">
        <w:t xml:space="preserve">them </w:t>
      </w:r>
      <w:r w:rsidR="009A5E1D">
        <w:t>into</w:t>
      </w:r>
      <w:r w:rsidR="009A5E1D" w:rsidRPr="00A53EE1">
        <w:t xml:space="preserve"> </w:t>
      </w:r>
      <w:r w:rsidR="00E079AA" w:rsidRPr="00A53EE1">
        <w:t>different classification categories</w:t>
      </w:r>
      <w:r w:rsidR="007E1BC5" w:rsidRPr="00A53EE1">
        <w:t xml:space="preserve">, impacts, and </w:t>
      </w:r>
      <w:r w:rsidR="00B0211E" w:rsidRPr="00A53EE1">
        <w:t>causes</w:t>
      </w:r>
      <w:r w:rsidR="00E079AA" w:rsidRPr="00A53EE1">
        <w:t xml:space="preserve">. </w:t>
      </w:r>
      <w:r w:rsidR="009A5E1D">
        <w:t>This paper aims</w:t>
      </w:r>
      <w:r w:rsidR="00661E3C" w:rsidRPr="00A53EE1">
        <w:t xml:space="preserve"> to</w:t>
      </w:r>
      <w:r w:rsidR="00542683" w:rsidRPr="00A53EE1">
        <w:t xml:space="preserve"> </w:t>
      </w:r>
      <w:r w:rsidR="00993060" w:rsidRPr="00A53EE1">
        <w:t>study</w:t>
      </w:r>
      <w:r w:rsidR="001721F8" w:rsidRPr="00A53EE1">
        <w:t xml:space="preserve"> these</w:t>
      </w:r>
      <w:r w:rsidR="00993060" w:rsidRPr="00A53EE1">
        <w:t xml:space="preserve"> climate-driven accidents </w:t>
      </w:r>
      <w:r w:rsidR="003A3049" w:rsidRPr="00A53EE1">
        <w:t xml:space="preserve">in terms of </w:t>
      </w:r>
      <w:r w:rsidR="00973FBB" w:rsidRPr="00A53EE1">
        <w:t xml:space="preserve">societal impact, both on </w:t>
      </w:r>
      <w:r w:rsidR="00D7568E" w:rsidRPr="00A53EE1">
        <w:t>populations</w:t>
      </w:r>
      <w:r w:rsidR="00973FBB" w:rsidRPr="00A53EE1">
        <w:t xml:space="preserve"> and propert</w:t>
      </w:r>
      <w:r w:rsidR="00D7568E" w:rsidRPr="00A53EE1">
        <w:t xml:space="preserve">ies, as they can be of relevance for industrial systems as well. </w:t>
      </w:r>
      <w:r w:rsidR="00993060" w:rsidRPr="00A53EE1">
        <w:t xml:space="preserve">The </w:t>
      </w:r>
      <w:r w:rsidR="00413654" w:rsidRPr="00A53EE1">
        <w:t xml:space="preserve">manuscript </w:t>
      </w:r>
      <w:r w:rsidR="00C07A27" w:rsidRPr="00A53EE1">
        <w:t xml:space="preserve">fully </w:t>
      </w:r>
      <w:r w:rsidR="00413654" w:rsidRPr="00A53EE1">
        <w:t xml:space="preserve">relies on EM-DAT </w:t>
      </w:r>
      <w:r w:rsidR="00E91591" w:rsidRPr="00A53EE1">
        <w:t xml:space="preserve">and </w:t>
      </w:r>
      <w:r w:rsidR="00C07A27" w:rsidRPr="00A53EE1">
        <w:t xml:space="preserve">proposes </w:t>
      </w:r>
      <w:r w:rsidR="00E91591" w:rsidRPr="00A53EE1">
        <w:t xml:space="preserve">a </w:t>
      </w:r>
      <w:r w:rsidR="00542683" w:rsidRPr="00A53EE1">
        <w:t xml:space="preserve">Machine Learning (ML) </w:t>
      </w:r>
      <w:r w:rsidR="00E91591" w:rsidRPr="00A53EE1">
        <w:t xml:space="preserve">algorithm </w:t>
      </w:r>
      <w:r w:rsidR="00542683" w:rsidRPr="00A53EE1">
        <w:t xml:space="preserve">to investigate </w:t>
      </w:r>
      <w:r w:rsidR="00AB2EA9" w:rsidRPr="00A53EE1">
        <w:t>potential</w:t>
      </w:r>
      <w:r w:rsidR="00542683" w:rsidRPr="00A53EE1">
        <w:t xml:space="preserve"> cluster</w:t>
      </w:r>
      <w:r w:rsidR="00C07A27" w:rsidRPr="00A53EE1">
        <w:t>s</w:t>
      </w:r>
      <w:r w:rsidR="00542683" w:rsidRPr="00A53EE1">
        <w:t xml:space="preserve"> of countries</w:t>
      </w:r>
      <w:r w:rsidR="00AB2EA9" w:rsidRPr="00A53EE1">
        <w:t xml:space="preserve"> </w:t>
      </w:r>
      <w:r w:rsidR="009A5E1D">
        <w:t>that</w:t>
      </w:r>
      <w:r w:rsidR="009A5E1D" w:rsidRPr="00A53EE1">
        <w:t xml:space="preserve"> </w:t>
      </w:r>
      <w:r w:rsidR="00C07A27" w:rsidRPr="00A53EE1">
        <w:t xml:space="preserve">show </w:t>
      </w:r>
      <w:r w:rsidR="00E91591" w:rsidRPr="00A53EE1">
        <w:t>commo</w:t>
      </w:r>
      <w:r w:rsidR="001721F8" w:rsidRPr="00A53EE1">
        <w:t>nalities</w:t>
      </w:r>
      <w:r w:rsidR="00C07A27" w:rsidRPr="00A53EE1">
        <w:t xml:space="preserve"> and subsequently can drive to common natural risk management </w:t>
      </w:r>
      <w:r w:rsidR="00FF68C1" w:rsidRPr="00A53EE1">
        <w:t>mitigations</w:t>
      </w:r>
      <w:r w:rsidR="00706382" w:rsidRPr="00A53EE1">
        <w:t xml:space="preserve">. </w:t>
      </w:r>
      <w:r w:rsidR="000663D4" w:rsidRPr="00A53EE1">
        <w:t xml:space="preserve">The focus of this </w:t>
      </w:r>
      <w:r w:rsidR="00B0211E" w:rsidRPr="00A53EE1">
        <w:t xml:space="preserve">manuscript </w:t>
      </w:r>
      <w:r w:rsidR="000663D4" w:rsidRPr="00A53EE1">
        <w:t xml:space="preserve">spans from </w:t>
      </w:r>
      <w:r w:rsidR="00B0211E" w:rsidRPr="00A53EE1">
        <w:t xml:space="preserve">natural hazards accidents </w:t>
      </w:r>
      <w:r w:rsidR="000663D4" w:rsidRPr="00A53EE1">
        <w:t xml:space="preserve">to </w:t>
      </w:r>
      <w:r w:rsidR="00983BC6" w:rsidRPr="00A53EE1">
        <w:t>technological accidents</w:t>
      </w:r>
      <w:r w:rsidR="000663D4" w:rsidRPr="00A53EE1">
        <w:t xml:space="preserve"> in order to ensure a wider perspective on all societal impacts.</w:t>
      </w:r>
    </w:p>
    <w:p w14:paraId="6F8BAE0D" w14:textId="01DDE072" w:rsidR="000F45D3" w:rsidRPr="00A53EE1" w:rsidRDefault="000F45D3" w:rsidP="000F45D3">
      <w:pPr>
        <w:pStyle w:val="CETHeading1"/>
      </w:pPr>
      <w:r w:rsidRPr="00A53EE1">
        <w:t>Materials and Methods</w:t>
      </w:r>
    </w:p>
    <w:p w14:paraId="37F81915" w14:textId="05B16B51" w:rsidR="000F45D3" w:rsidRPr="00A53EE1" w:rsidRDefault="000F45D3" w:rsidP="000F45D3">
      <w:pPr>
        <w:pStyle w:val="CETheadingx"/>
      </w:pPr>
      <w:r w:rsidRPr="00A53EE1">
        <w:t>Exploring the database</w:t>
      </w:r>
    </w:p>
    <w:p w14:paraId="4A4FB72D" w14:textId="4BD81C6B" w:rsidR="00571048" w:rsidRPr="00A53EE1" w:rsidRDefault="00A53373" w:rsidP="00CB1FC9">
      <w:pPr>
        <w:pStyle w:val="CETBodytext"/>
      </w:pPr>
      <w:r w:rsidRPr="00A53EE1">
        <w:t>The EM-DAT database was created following the 1980's investigation by the Centre for Research on the Epidemiology of Disasters (CRED). The study was carried out to serve the purposes of humanitarian action at national and international levels. The initiative aim</w:t>
      </w:r>
      <w:r w:rsidR="00500BCE" w:rsidRPr="00A53EE1">
        <w:t xml:space="preserve">ed </w:t>
      </w:r>
      <w:r w:rsidRPr="00A53EE1">
        <w:t>to rationalize decision</w:t>
      </w:r>
      <w:r w:rsidR="00147AE7" w:rsidRPr="00A53EE1">
        <w:t>-</w:t>
      </w:r>
      <w:r w:rsidRPr="00A53EE1">
        <w:t>making</w:t>
      </w:r>
      <w:r w:rsidR="00147AE7" w:rsidRPr="00A53EE1">
        <w:t xml:space="preserve"> </w:t>
      </w:r>
      <w:r w:rsidRPr="00A53EE1">
        <w:t xml:space="preserve">for disaster preparedness, as well as provide an objective base </w:t>
      </w:r>
      <w:r w:rsidR="00147AE7" w:rsidRPr="00A53EE1">
        <w:t xml:space="preserve">to assess </w:t>
      </w:r>
      <w:r w:rsidRPr="00A53EE1">
        <w:t xml:space="preserve">vulnerability and </w:t>
      </w:r>
      <w:r w:rsidR="00147AE7" w:rsidRPr="00A53EE1">
        <w:t xml:space="preserve">set </w:t>
      </w:r>
      <w:r w:rsidRPr="00A53EE1">
        <w:t>priorit</w:t>
      </w:r>
      <w:r w:rsidR="00147AE7" w:rsidRPr="00A53EE1">
        <w:t>ies</w:t>
      </w:r>
      <w:r w:rsidRPr="00A53EE1">
        <w:t>. The database is compiled from various sources, including U</w:t>
      </w:r>
      <w:r w:rsidR="00571048" w:rsidRPr="00A53EE1">
        <w:t>nited Nations</w:t>
      </w:r>
      <w:r w:rsidRPr="00A53EE1">
        <w:t xml:space="preserve"> agencies, non-governmental organizations, insurance companies, research institutes</w:t>
      </w:r>
      <w:r w:rsidR="009A5E1D">
        <w:t>,</w:t>
      </w:r>
      <w:r w:rsidRPr="00A53EE1">
        <w:t xml:space="preserve"> and press agencies</w:t>
      </w:r>
      <w:r w:rsidR="00574F22" w:rsidRPr="00A53EE1">
        <w:t xml:space="preserve"> </w:t>
      </w:r>
      <w:r w:rsidR="003B26C7" w:rsidRPr="00A53EE1">
        <w:t>(</w:t>
      </w:r>
      <w:r w:rsidR="00571048" w:rsidRPr="00A53EE1">
        <w:t>e.g.</w:t>
      </w:r>
      <w:r w:rsidR="003B26C7" w:rsidRPr="00A53EE1">
        <w:t>)</w:t>
      </w:r>
      <w:r w:rsidR="00571048" w:rsidRPr="00A53EE1">
        <w:t xml:space="preserve">, </w:t>
      </w:r>
      <w:r w:rsidR="00574F22" w:rsidRPr="00A53EE1">
        <w:t>United Nations Department of Humanitarian Affairs (UN-DHA), European Union Humanitarian Office (ECHO), International Federation of the Red Cross and Red Crescent, the Office of Foreign Disaster Assistance (OFDA-USAID), International Committee of the Red Cross and Red Croissant (ICRCRC, Switzerland), International Decade for Natural Disaster Reduction (IDNDR)</w:t>
      </w:r>
      <w:r w:rsidR="00571048" w:rsidRPr="00A53EE1">
        <w:t xml:space="preserve"> </w:t>
      </w:r>
      <w:r w:rsidR="00571048" w:rsidRPr="00A53EE1">
        <w:fldChar w:fldCharType="begin" w:fldLock="1"/>
      </w:r>
      <w:r w:rsidR="007D0DC0">
        <w:instrText>ADDIN CSL_CITATION {"citationItems":[{"id":"ITEM-1","itemData":{"URL":"https://www.emdat.be/","accessed":{"date-parts":[["2021","12","2"]]},"author":[{"dropping-particle":"","family":"Center for research on the Epidemiology of Disasters","given":"CRED","non-dropping-particle":"","parse-names":false,"suffix":""}],"id":"ITEM-1","issued":{"date-parts":[["2021"]]},"title":"The international Disaster Database","type":"webpage"},"uris":["http://www.mendeley.com/documents/?uuid=b5761d0f-9d7d-43ea-aa6a-6ffa94762c0a"]}],"mendeley":{"formattedCitation":"(Center for research on the Epidemiology of Disasters, 2021)","plainTextFormattedCitation":"(Center for research on the Epidemiology of Disasters, 2021)","previouslyFormattedCitation":"(Center for research on the Epidemiology of Disasters, 2021)"},"properties":{"noteIndex":0},"schema":"https://github.com/citation-style-language/schema/raw/master/csl-citation.json"}</w:instrText>
      </w:r>
      <w:r w:rsidR="00571048" w:rsidRPr="00A53EE1">
        <w:fldChar w:fldCharType="separate"/>
      </w:r>
      <w:r w:rsidR="00F57190" w:rsidRPr="00F57190">
        <w:rPr>
          <w:noProof/>
        </w:rPr>
        <w:t>(Center for research on the Epidemiology of Disasters, 2021)</w:t>
      </w:r>
      <w:r w:rsidR="00571048" w:rsidRPr="00A53EE1">
        <w:fldChar w:fldCharType="end"/>
      </w:r>
      <w:r w:rsidR="00574F22" w:rsidRPr="00A53EE1">
        <w:t>.</w:t>
      </w:r>
      <w:r w:rsidR="00AD62F3" w:rsidRPr="00A53EE1">
        <w:t xml:space="preserve"> </w:t>
      </w:r>
      <w:r w:rsidR="003B26C7" w:rsidRPr="00A53EE1">
        <w:t xml:space="preserve">Currently, </w:t>
      </w:r>
      <w:r w:rsidR="00CB1FC9" w:rsidRPr="00A53EE1">
        <w:t>EM-DAT</w:t>
      </w:r>
      <w:r w:rsidR="003F72FB" w:rsidRPr="00A53EE1">
        <w:t xml:space="preserve"> </w:t>
      </w:r>
      <w:r w:rsidR="00CB1FC9" w:rsidRPr="00A53EE1">
        <w:t xml:space="preserve">collects more than </w:t>
      </w:r>
      <w:r w:rsidR="003F72FB" w:rsidRPr="00A53EE1">
        <w:t>2</w:t>
      </w:r>
      <w:r w:rsidR="00AD62F3" w:rsidRPr="00A53EE1">
        <w:t>5</w:t>
      </w:r>
      <w:r w:rsidR="00CB1FC9" w:rsidRPr="00A53EE1">
        <w:t xml:space="preserve">000 disasters </w:t>
      </w:r>
      <w:r w:rsidR="00122C2B" w:rsidRPr="00A53EE1">
        <w:t xml:space="preserve">between </w:t>
      </w:r>
      <w:r w:rsidR="00CB1FC9" w:rsidRPr="00A53EE1">
        <w:t>1900</w:t>
      </w:r>
      <w:r w:rsidR="00571048" w:rsidRPr="00A53EE1">
        <w:t xml:space="preserve"> </w:t>
      </w:r>
      <w:r w:rsidR="00CB1FC9" w:rsidRPr="00A53EE1">
        <w:t>-</w:t>
      </w:r>
      <w:r w:rsidR="00571048" w:rsidRPr="00A53EE1">
        <w:t xml:space="preserve"> </w:t>
      </w:r>
      <w:r w:rsidR="00CB1FC9" w:rsidRPr="00A53EE1">
        <w:t>202</w:t>
      </w:r>
      <w:r w:rsidR="00122C2B" w:rsidRPr="00A53EE1">
        <w:t>0</w:t>
      </w:r>
      <w:r w:rsidR="00CB1FC9" w:rsidRPr="00A53EE1">
        <w:t>. All the events in the EM-DAT database fulfill one or more of these entry criteria</w:t>
      </w:r>
      <w:r w:rsidR="00E549E6" w:rsidRPr="00A53EE1">
        <w:t xml:space="preserve"> </w:t>
      </w:r>
      <w:r w:rsidR="00E549E6" w:rsidRPr="00A53EE1">
        <w:fldChar w:fldCharType="begin" w:fldLock="1"/>
      </w:r>
      <w:r w:rsidR="007D0DC0">
        <w:instrText>ADDIN CSL_CITATION {"citationItems":[{"id":"ITEM-1","itemData":{"URL":"https://www.emdat.be/","accessed":{"date-parts":[["2021","12","2"]]},"author":[{"dropping-particle":"","family":"Center for research on the Epidemiology of Disasters","given":"CRED","non-dropping-particle":"","parse-names":false,"suffix":""}],"id":"ITEM-1","issued":{"date-parts":[["2021"]]},"title":"The international Disaster Database","type":"webpage"},"uris":["http://www.mendeley.com/documents/?uuid=b5761d0f-9d7d-43ea-aa6a-6ffa94762c0a"]}],"mendeley":{"formattedCitation":"(Center for research on the Epidemiology of Disasters, 2021)","plainTextFormattedCitation":"(Center for research on the Epidemiology of Disasters, 2021)","previouslyFormattedCitation":"(Center for research on the Epidemiology of Disasters, 2021)"},"properties":{"noteIndex":0},"schema":"https://github.com/citation-style-language/schema/raw/master/csl-citation.json"}</w:instrText>
      </w:r>
      <w:r w:rsidR="00E549E6" w:rsidRPr="00A53EE1">
        <w:fldChar w:fldCharType="separate"/>
      </w:r>
      <w:r w:rsidR="00F57190" w:rsidRPr="00F57190">
        <w:rPr>
          <w:noProof/>
        </w:rPr>
        <w:t>(Center for research on the Epidemiology of Disasters, 2021)</w:t>
      </w:r>
      <w:r w:rsidR="00E549E6" w:rsidRPr="00A53EE1">
        <w:fldChar w:fldCharType="end"/>
      </w:r>
      <w:r w:rsidR="00CB1FC9" w:rsidRPr="00A53EE1">
        <w:t xml:space="preserve">: </w:t>
      </w:r>
    </w:p>
    <w:p w14:paraId="33F0495A" w14:textId="31A2C0B9" w:rsidR="00571048" w:rsidRPr="00A53EE1" w:rsidRDefault="00CB1FC9" w:rsidP="00571048">
      <w:pPr>
        <w:pStyle w:val="CETBodytext"/>
        <w:numPr>
          <w:ilvl w:val="0"/>
          <w:numId w:val="25"/>
        </w:numPr>
      </w:pPr>
      <w:r w:rsidRPr="00A53EE1">
        <w:t>Kill</w:t>
      </w:r>
      <w:r w:rsidR="003F72FB" w:rsidRPr="00A53EE1">
        <w:t xml:space="preserve"> (10 or more deaths)</w:t>
      </w:r>
    </w:p>
    <w:p w14:paraId="7D1115F6" w14:textId="3502A460" w:rsidR="00571048" w:rsidRPr="00A53EE1" w:rsidRDefault="00CB1FC9" w:rsidP="00571048">
      <w:pPr>
        <w:pStyle w:val="CETBodytext"/>
        <w:numPr>
          <w:ilvl w:val="0"/>
          <w:numId w:val="25"/>
        </w:numPr>
      </w:pPr>
      <w:r w:rsidRPr="00A53EE1">
        <w:t>Affect</w:t>
      </w:r>
      <w:r w:rsidR="003F72FB" w:rsidRPr="00A53EE1">
        <w:t xml:space="preserve"> (100 or more people affected, injuries or homeless</w:t>
      </w:r>
      <w:r w:rsidR="00472A5B" w:rsidRPr="00A53EE1">
        <w:t>)</w:t>
      </w:r>
    </w:p>
    <w:p w14:paraId="1295CEA7" w14:textId="6C3E781C" w:rsidR="00571048" w:rsidRPr="00A53EE1" w:rsidRDefault="00CB1FC9" w:rsidP="00571048">
      <w:pPr>
        <w:pStyle w:val="CETBodytext"/>
        <w:numPr>
          <w:ilvl w:val="0"/>
          <w:numId w:val="25"/>
        </w:numPr>
      </w:pPr>
      <w:r w:rsidRPr="00A53EE1">
        <w:t>Declaration/Appeal</w:t>
      </w:r>
      <w:r w:rsidR="003F72FB" w:rsidRPr="00A53EE1">
        <w:t xml:space="preserve"> (declaration by the country of a state of emergency and/o</w:t>
      </w:r>
      <w:r w:rsidR="00E15E0D" w:rsidRPr="00A53EE1">
        <w:t>r</w:t>
      </w:r>
      <w:r w:rsidR="003F72FB" w:rsidRPr="00A53EE1">
        <w:t xml:space="preserve"> appeal for international assistance)</w:t>
      </w:r>
    </w:p>
    <w:p w14:paraId="6C7CC731" w14:textId="77777777" w:rsidR="000663D4" w:rsidRPr="00A53EE1" w:rsidRDefault="003C036E" w:rsidP="00CB1FC9">
      <w:pPr>
        <w:pStyle w:val="CETBodytext"/>
      </w:pPr>
      <w:r w:rsidRPr="00A53EE1">
        <w:t xml:space="preserve">The </w:t>
      </w:r>
      <w:r w:rsidR="003E66C0" w:rsidRPr="00A53EE1">
        <w:t xml:space="preserve">25000 incidents worldwide </w:t>
      </w:r>
      <w:r w:rsidRPr="00A53EE1">
        <w:t xml:space="preserve">involve </w:t>
      </w:r>
      <w:r w:rsidR="003E66C0" w:rsidRPr="00A53EE1">
        <w:t>189 countries</w:t>
      </w:r>
      <w:r w:rsidR="00B7796E" w:rsidRPr="00A53EE1">
        <w:t xml:space="preserve">, </w:t>
      </w:r>
      <w:r w:rsidR="00B724E4" w:rsidRPr="00A53EE1">
        <w:t xml:space="preserve">distributed as </w:t>
      </w:r>
      <w:r w:rsidR="003E66C0" w:rsidRPr="00A53EE1">
        <w:t>follow</w:t>
      </w:r>
      <w:r w:rsidR="00B724E4" w:rsidRPr="00A53EE1">
        <w:t>s</w:t>
      </w:r>
      <w:r w:rsidR="003E66C0" w:rsidRPr="00A53EE1">
        <w:t>:</w:t>
      </w:r>
      <w:r w:rsidR="00455FA8" w:rsidRPr="00A53EE1">
        <w:t xml:space="preserve"> </w:t>
      </w:r>
    </w:p>
    <w:p w14:paraId="515AA78E" w14:textId="2598CC05" w:rsidR="000663D4" w:rsidRPr="00A53EE1" w:rsidRDefault="000663D4" w:rsidP="000663D4">
      <w:pPr>
        <w:pStyle w:val="CETBodytext"/>
        <w:numPr>
          <w:ilvl w:val="0"/>
          <w:numId w:val="25"/>
        </w:numPr>
      </w:pPr>
      <w:r w:rsidRPr="00A53EE1">
        <w:t xml:space="preserve">About </w:t>
      </w:r>
      <w:r w:rsidR="00455FA8" w:rsidRPr="00A53EE1">
        <w:t xml:space="preserve">15000 accidents </w:t>
      </w:r>
      <w:r w:rsidRPr="00A53EE1">
        <w:t xml:space="preserve">are </w:t>
      </w:r>
      <w:r w:rsidR="00455FA8" w:rsidRPr="00A53EE1">
        <w:t xml:space="preserve">related </w:t>
      </w:r>
      <w:r w:rsidR="00B724E4" w:rsidRPr="00A53EE1">
        <w:t xml:space="preserve">to </w:t>
      </w:r>
      <w:r w:rsidR="00455FA8" w:rsidRPr="00A53EE1">
        <w:t xml:space="preserve">natural impacts (e.g., </w:t>
      </w:r>
      <w:r w:rsidRPr="00A53EE1">
        <w:t>dr</w:t>
      </w:r>
      <w:r w:rsidR="00455FA8" w:rsidRPr="00A53EE1">
        <w:t xml:space="preserve">ought, </w:t>
      </w:r>
      <w:r w:rsidRPr="00A53EE1">
        <w:t>e</w:t>
      </w:r>
      <w:r w:rsidR="00455FA8" w:rsidRPr="00A53EE1">
        <w:t>xtreme temperature,</w:t>
      </w:r>
      <w:r w:rsidR="003E66C0" w:rsidRPr="00A53EE1">
        <w:t xml:space="preserve"> </w:t>
      </w:r>
      <w:r w:rsidRPr="00A53EE1">
        <w:t>f</w:t>
      </w:r>
      <w:r w:rsidR="00455FA8" w:rsidRPr="00A53EE1">
        <w:t xml:space="preserve">lood, </w:t>
      </w:r>
      <w:r w:rsidRPr="00A53EE1">
        <w:t>l</w:t>
      </w:r>
      <w:r w:rsidR="00455FA8" w:rsidRPr="00A53EE1">
        <w:t xml:space="preserve">andslide, </w:t>
      </w:r>
      <w:r w:rsidRPr="00A53EE1">
        <w:t>s</w:t>
      </w:r>
      <w:r w:rsidR="00455FA8" w:rsidRPr="00A53EE1">
        <w:t xml:space="preserve">torm, </w:t>
      </w:r>
      <w:r w:rsidRPr="00A53EE1">
        <w:t>w</w:t>
      </w:r>
      <w:r w:rsidR="00455FA8" w:rsidRPr="00A53EE1">
        <w:t>ildfire, etc.)</w:t>
      </w:r>
      <w:r w:rsidR="003E66C0" w:rsidRPr="00A53EE1">
        <w:t xml:space="preserve">, </w:t>
      </w:r>
    </w:p>
    <w:p w14:paraId="20F8F409" w14:textId="77777777" w:rsidR="000663D4" w:rsidRPr="00A53EE1" w:rsidRDefault="000663D4" w:rsidP="000663D4">
      <w:pPr>
        <w:pStyle w:val="CETBodytext"/>
        <w:numPr>
          <w:ilvl w:val="0"/>
          <w:numId w:val="25"/>
        </w:numPr>
      </w:pPr>
      <w:r w:rsidRPr="00A53EE1">
        <w:t xml:space="preserve">About </w:t>
      </w:r>
      <w:r w:rsidR="007B5D8C" w:rsidRPr="00A53EE1">
        <w:t xml:space="preserve">10000 </w:t>
      </w:r>
      <w:r w:rsidRPr="00A53EE1">
        <w:t xml:space="preserve">accidents </w:t>
      </w:r>
      <w:r w:rsidR="00455FA8" w:rsidRPr="00A53EE1">
        <w:t>refer to technological impacts</w:t>
      </w:r>
      <w:r w:rsidRPr="00A53EE1">
        <w:t xml:space="preserve"> (</w:t>
      </w:r>
      <w:r w:rsidR="00455FA8" w:rsidRPr="00A53EE1">
        <w:t xml:space="preserve">i.e., industrial, </w:t>
      </w:r>
      <w:r w:rsidR="007B5D8C" w:rsidRPr="00A53EE1">
        <w:t>transport</w:t>
      </w:r>
      <w:r w:rsidR="00250410" w:rsidRPr="00A53EE1">
        <w:t xml:space="preserve">, and miscellaneous </w:t>
      </w:r>
      <w:r w:rsidR="007B5D8C" w:rsidRPr="00A53EE1">
        <w:t>impacts</w:t>
      </w:r>
      <w:r w:rsidRPr="00A53EE1">
        <w:t>)</w:t>
      </w:r>
      <w:r w:rsidR="007B5D8C" w:rsidRPr="00A53EE1">
        <w:t>.</w:t>
      </w:r>
      <w:r w:rsidR="003E66C0" w:rsidRPr="00A53EE1">
        <w:t xml:space="preserve"> </w:t>
      </w:r>
    </w:p>
    <w:p w14:paraId="40B64FC6" w14:textId="0023975B" w:rsidR="00BA5A8C" w:rsidRPr="00A53EE1" w:rsidRDefault="003E66C0" w:rsidP="000663D4">
      <w:pPr>
        <w:pStyle w:val="CETBodytext"/>
      </w:pPr>
      <w:r w:rsidRPr="00A53EE1">
        <w:t>The database</w:t>
      </w:r>
      <w:r w:rsidR="00B7796E" w:rsidRPr="00A53EE1">
        <w:t xml:space="preserve"> </w:t>
      </w:r>
      <w:r w:rsidR="009A5E1D">
        <w:t>incorporates</w:t>
      </w:r>
      <w:r w:rsidR="009A5E1D" w:rsidRPr="00A53EE1">
        <w:t xml:space="preserve"> </w:t>
      </w:r>
      <w:r w:rsidR="00B7796E" w:rsidRPr="00A53EE1">
        <w:t xml:space="preserve">43 parameters (e.g., </w:t>
      </w:r>
      <w:r w:rsidR="000663D4" w:rsidRPr="00A53EE1">
        <w:t>l</w:t>
      </w:r>
      <w:r w:rsidR="00B7796E" w:rsidRPr="00A53EE1">
        <w:t xml:space="preserve">ocation, </w:t>
      </w:r>
      <w:r w:rsidR="000663D4" w:rsidRPr="00A53EE1">
        <w:t>date, damage, fatalities, disaster type, origin, reconstruction cost, insured damage, appeal, impacts</w:t>
      </w:r>
      <w:r w:rsidR="00B7796E" w:rsidRPr="00A53EE1">
        <w:t>)</w:t>
      </w:r>
      <w:r w:rsidRPr="00A53EE1">
        <w:t xml:space="preserve"> </w:t>
      </w:r>
      <w:r w:rsidR="00B7796E" w:rsidRPr="00A53EE1">
        <w:t xml:space="preserve">to </w:t>
      </w:r>
      <w:r w:rsidR="00264962" w:rsidRPr="00A53EE1">
        <w:t xml:space="preserve">fully details </w:t>
      </w:r>
      <w:r w:rsidR="009A5E1D">
        <w:t>the characteristics of the accident</w:t>
      </w:r>
      <w:r w:rsidR="00264962" w:rsidRPr="00A53EE1">
        <w:t xml:space="preserve"> and allow the accident identification and analysis</w:t>
      </w:r>
      <w:r w:rsidR="001A30AC" w:rsidRPr="00A53EE1">
        <w:t xml:space="preserve"> </w:t>
      </w:r>
      <w:r w:rsidR="00E549E6" w:rsidRPr="00A53EE1">
        <w:fldChar w:fldCharType="begin" w:fldLock="1"/>
      </w:r>
      <w:r w:rsidR="007D0DC0">
        <w:instrText>ADDIN CSL_CITATION {"citationItems":[{"id":"ITEM-1","itemData":{"URL":"https://www.emdat.be/","accessed":{"date-parts":[["2021","12","2"]]},"author":[{"dropping-particle":"","family":"Center for research on the Epidemiology of Disasters","given":"CRED","non-dropping-particle":"","parse-names":false,"suffix":""}],"id":"ITEM-1","issued":{"date-parts":[["2021"]]},"title":"The international Disaster Database","type":"webpage"},"uris":["http://www.mendeley.com/documents/?uuid=b5761d0f-9d7d-43ea-aa6a-6ffa94762c0a"]}],"mendeley":{"formattedCitation":"(Center for research on the Epidemiology of Disasters, 2021)","plainTextFormattedCitation":"(Center for research on the Epidemiology of Disasters, 2021)","previouslyFormattedCitation":"(Center for research on the Epidemiology of Disasters, 2021)"},"properties":{"noteIndex":0},"schema":"https://github.com/citation-style-language/schema/raw/master/csl-citation.json"}</w:instrText>
      </w:r>
      <w:r w:rsidR="00E549E6" w:rsidRPr="00A53EE1">
        <w:fldChar w:fldCharType="separate"/>
      </w:r>
      <w:r w:rsidR="00F57190" w:rsidRPr="00F57190">
        <w:rPr>
          <w:noProof/>
        </w:rPr>
        <w:t>(Center for research on the Epidemiology of Disasters, 2021)</w:t>
      </w:r>
      <w:r w:rsidR="00E549E6" w:rsidRPr="00A53EE1">
        <w:fldChar w:fldCharType="end"/>
      </w:r>
      <w:r w:rsidR="00CB1FC9" w:rsidRPr="00A53EE1">
        <w:t>.</w:t>
      </w:r>
      <w:r w:rsidR="00B7796E" w:rsidRPr="00A53EE1">
        <w:t xml:space="preserve"> </w:t>
      </w:r>
    </w:p>
    <w:p w14:paraId="78415887" w14:textId="019DD34E" w:rsidR="00E05FA5" w:rsidRPr="00A53EE1" w:rsidRDefault="009A7AF4" w:rsidP="00E05FA5">
      <w:pPr>
        <w:pStyle w:val="CETheadingx"/>
      </w:pPr>
      <w:r w:rsidRPr="00A53EE1">
        <w:t>Data clustering through Machine Learning</w:t>
      </w:r>
    </w:p>
    <w:p w14:paraId="20AD7A90" w14:textId="70CF40EB" w:rsidR="00E05FA5" w:rsidRPr="00A53EE1" w:rsidRDefault="00E05FA5" w:rsidP="00E05FA5">
      <w:pPr>
        <w:pStyle w:val="CETBodytext"/>
      </w:pPr>
      <w:r w:rsidRPr="00A53EE1">
        <w:t xml:space="preserve">Machine learning (ML) is known for providing meaning to raw data and solving practical problems in a reliable and efficient way. These problems </w:t>
      </w:r>
      <w:r w:rsidR="00E30675" w:rsidRPr="00A53EE1">
        <w:t>require machine assistance</w:t>
      </w:r>
      <w:r w:rsidRPr="00A53EE1">
        <w:t xml:space="preserve"> since the amount of data and the complexity of the statistical patterns imply that humans would not be able to solve them </w:t>
      </w:r>
      <w:r w:rsidR="00644E15" w:rsidRPr="00A53EE1">
        <w:t xml:space="preserve">via traditional techniques </w:t>
      </w:r>
      <w:r w:rsidR="00E549E6" w:rsidRPr="00A53EE1">
        <w:fldChar w:fldCharType="begin" w:fldLock="1"/>
      </w:r>
      <w:r w:rsidR="00E549E6" w:rsidRPr="00A53EE1">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meningkat.","author":[{"dropping-particle":"","family":"Burkov","given":"Andriy","non-dropping-particle":"","parse-names":false,"suffix":""}],"container-title":"ISSN 2502-3632 (Online) ISSN 2356-0304 (Paper) Jurnal Online Internasional &amp; Nasional Vol. 7 No.1, Januari – Juni 2019 Universitas 17 Agustus 1945 Jakarta","id":"ITEM-1","issue":"9","issued":{"date-parts":[["2019"]]},"page":"1689-1699","title":"Machine Learning Engineering","type":"article-journal","volume":"53"},"uris":["http://www.mendeley.com/documents/?uuid=f06c83fd-3709-4c01-8de4-5d59245ee819"]}],"mendeley":{"formattedCitation":"(Burkov, 2019)","plainTextFormattedCitation":"(Burkov, 2019)","previouslyFormattedCitation":"(Burkov, 2019)"},"properties":{"noteIndex":0},"schema":"https://github.com/citation-style-language/schema/raw/master/csl-citation.json"}</w:instrText>
      </w:r>
      <w:r w:rsidR="00E549E6" w:rsidRPr="00A53EE1">
        <w:fldChar w:fldCharType="separate"/>
      </w:r>
      <w:r w:rsidR="00E549E6" w:rsidRPr="00A53EE1">
        <w:rPr>
          <w:noProof/>
        </w:rPr>
        <w:t>(Burkov, 2019)</w:t>
      </w:r>
      <w:r w:rsidR="00E549E6" w:rsidRPr="00A53EE1">
        <w:fldChar w:fldCharType="end"/>
      </w:r>
      <w:r w:rsidRPr="00A53EE1">
        <w:t xml:space="preserve">. ML algorithms learn from examples and are thereby trained to find patterns </w:t>
      </w:r>
      <w:r w:rsidR="00644E15" w:rsidRPr="00A53EE1">
        <w:t xml:space="preserve">that </w:t>
      </w:r>
      <w:r w:rsidRPr="00A53EE1">
        <w:t xml:space="preserve">can help </w:t>
      </w:r>
      <w:r w:rsidR="009A5E1D">
        <w:t>make</w:t>
      </w:r>
      <w:r w:rsidR="009A5E1D" w:rsidRPr="00A53EE1">
        <w:t xml:space="preserve"> </w:t>
      </w:r>
      <w:r w:rsidRPr="00A53EE1">
        <w:t xml:space="preserve">decisions and predictions based on new, unseen </w:t>
      </w:r>
      <w:r w:rsidR="00CE3C9B" w:rsidRPr="00A53EE1">
        <w:t xml:space="preserve">information </w:t>
      </w:r>
      <w:r w:rsidR="00E549E6" w:rsidRPr="00A53EE1">
        <w:fldChar w:fldCharType="begin" w:fldLock="1"/>
      </w:r>
      <w:r w:rsidR="00DD45D5">
        <w:instrText>ADDIN CSL_CITATION {"citationItems":[{"id":"ITEM-1","itemData":{"ISBN":"978-0-13-519201-6","abstract":"\"The purpose of this book is to introduce the reader to these technologies that are generally called analytics but have been known by other names. The core technology consists of DSS, BI, and various decision-making techniques. We use these terms interchangeably\"--","author":[{"dropping-particle":"","family":"Sharda","given":"Ramesh","non-dropping-particle":"","parse-names":false,"suffix":""},{"dropping-particle":"","family":"Delen","given":"Dursun","non-dropping-particle":"","parse-names":false,"suffix":""},{"dropping-particle":"","family":"Efraim","given":"Turban","non-dropping-particle":"","parse-names":false,"suffix":""}],"edition":"Eleventh e","id":"ITEM-1","issued":{"date-parts":[["2019"]]},"number-of-pages":"795","publisher":"Pearson","publisher-place":"Hoboken, NJ","title":"Analytics, Data Science, &amp; Artificial Intelligence: Systems for Decision Support","type":"book"},"uris":["http://www.mendeley.com/documents/?uuid=b9717e6d-fb48-4b43-ad87-e38e2ede7bd4"]}],"mendeley":{"formattedCitation":"(Sharda et al., 2019)","plainTextFormattedCitation":"(Sharda et al., 2019)","previouslyFormattedCitation":"(Sharda et al., 2019)"},"properties":{"noteIndex":0},"schema":"https://github.com/citation-style-language/schema/raw/master/csl-citation.json"}</w:instrText>
      </w:r>
      <w:r w:rsidR="00E549E6" w:rsidRPr="00A53EE1">
        <w:fldChar w:fldCharType="separate"/>
      </w:r>
      <w:r w:rsidR="007D0DC0" w:rsidRPr="007D0DC0">
        <w:rPr>
          <w:noProof/>
        </w:rPr>
        <w:t>(Sharda et al., 2019)</w:t>
      </w:r>
      <w:r w:rsidR="00E549E6" w:rsidRPr="00A53EE1">
        <w:fldChar w:fldCharType="end"/>
      </w:r>
      <w:r w:rsidRPr="00A53EE1">
        <w:t xml:space="preserve">. </w:t>
      </w:r>
      <w:r w:rsidR="00B25CE7" w:rsidRPr="00A53EE1">
        <w:t xml:space="preserve">A </w:t>
      </w:r>
      <w:r w:rsidRPr="00A53EE1">
        <w:t xml:space="preserve">ML </w:t>
      </w:r>
      <w:r w:rsidR="00B25CE7" w:rsidRPr="00A53EE1">
        <w:t xml:space="preserve">pipeline </w:t>
      </w:r>
      <w:r w:rsidRPr="00A53EE1">
        <w:t xml:space="preserve">includes training, test, and validation processes. </w:t>
      </w:r>
      <w:r w:rsidR="00361BF7" w:rsidRPr="00A53EE1">
        <w:t xml:space="preserve">One example of ML refers to </w:t>
      </w:r>
      <w:r w:rsidR="00C8451D" w:rsidRPr="00A53EE1">
        <w:t>c</w:t>
      </w:r>
      <w:r w:rsidRPr="00A53EE1">
        <w:t>lustering</w:t>
      </w:r>
      <w:r w:rsidR="00361BF7" w:rsidRPr="00A53EE1">
        <w:t xml:space="preserve">. This latter </w:t>
      </w:r>
      <w:r w:rsidRPr="00A53EE1">
        <w:t xml:space="preserve">is </w:t>
      </w:r>
      <w:r w:rsidR="00C8451D" w:rsidRPr="00A53EE1">
        <w:t xml:space="preserve">used </w:t>
      </w:r>
      <w:r w:rsidR="002A781E" w:rsidRPr="00A53EE1">
        <w:t>to</w:t>
      </w:r>
      <w:r w:rsidRPr="00A53EE1">
        <w:t xml:space="preserve"> </w:t>
      </w:r>
      <w:r w:rsidR="000F5CAF" w:rsidRPr="00A53EE1">
        <w:t>uncover meaningful</w:t>
      </w:r>
      <w:r w:rsidRPr="00A53EE1">
        <w:t xml:space="preserve"> groups </w:t>
      </w:r>
      <w:r w:rsidR="00C8451D" w:rsidRPr="00A53EE1">
        <w:t xml:space="preserve">within a dataset </w:t>
      </w:r>
      <w:r w:rsidR="00361BF7" w:rsidRPr="00A53EE1">
        <w:t>based on underlying patterns or structure</w:t>
      </w:r>
      <w:r w:rsidR="00441F75" w:rsidRPr="00A53EE1">
        <w:t>s</w:t>
      </w:r>
      <w:r w:rsidR="00C8451D" w:rsidRPr="00A53EE1">
        <w:t xml:space="preserve">. </w:t>
      </w:r>
      <w:r w:rsidR="00F0150F" w:rsidRPr="00A53EE1">
        <w:t xml:space="preserve">Clustering is commonly used for dimensionality reduction and the most common methods are density-based, hierarchical, partition-based, and grid-based methods. </w:t>
      </w:r>
      <w:r w:rsidR="00361BF7" w:rsidRPr="00A53EE1">
        <w:t xml:space="preserve">This </w:t>
      </w:r>
      <w:r w:rsidRPr="00A53EE1">
        <w:t>descriptive data mining technique is unsupervised since there are no target values to predict</w:t>
      </w:r>
      <w:r w:rsidR="00441F75" w:rsidRPr="00A53EE1">
        <w:t xml:space="preserve"> </w:t>
      </w:r>
      <w:r w:rsidR="00E549E6" w:rsidRPr="00A53EE1">
        <w:fldChar w:fldCharType="begin" w:fldLock="1"/>
      </w:r>
      <w:r w:rsidR="00E549E6" w:rsidRPr="00A53EE1">
        <w:instrText>ADDIN CSL_CITATION {"citationItems":[{"id":"ITEM-1","itemData":{"DOI":"10.1002/widm.53","author":[{"dropping-particle":"","family":"Murtagh","given":"Fionn","non-dropping-particle":"","parse-names":false,"suffix":""},{"dropping-particle":"","family":"Contreras","given":"Pedro","non-dropping-particle":"","parse-names":false,"suffix":""}],"container-title":"WIREs Data Mining and Knowledge Discovery","id":"ITEM-1","issue":"1","issued":{"date-parts":[["2012"]]},"page":"86-97","title":"Algorithms for hierarchical clustering: an overview","type":"article-journal","volume":"2"},"uris":["http://www.mendeley.com/documents/?uuid=4f262375-7d15-4d07-aebf-e969107ec78c"]}],"mendeley":{"formattedCitation":"(Murtagh and Contreras, 2012)","plainTextFormattedCitation":"(Murtagh and Contreras, 2012)","previouslyFormattedCitation":"(Murtagh and Contreras, 2012)"},"properties":{"noteIndex":0},"schema":"https://github.com/citation-style-language/schema/raw/master/csl-citation.json"}</w:instrText>
      </w:r>
      <w:r w:rsidR="00E549E6" w:rsidRPr="00A53EE1">
        <w:fldChar w:fldCharType="separate"/>
      </w:r>
      <w:r w:rsidR="00E549E6" w:rsidRPr="00A53EE1">
        <w:rPr>
          <w:noProof/>
        </w:rPr>
        <w:t>(Murtagh and Contreras, 2012)</w:t>
      </w:r>
      <w:r w:rsidR="00E549E6" w:rsidRPr="00A53EE1">
        <w:fldChar w:fldCharType="end"/>
      </w:r>
      <w:r w:rsidRPr="00A53EE1">
        <w:t xml:space="preserve">. The </w:t>
      </w:r>
      <w:r w:rsidR="00441F75" w:rsidRPr="00A53EE1">
        <w:t xml:space="preserve">clustering </w:t>
      </w:r>
      <w:r w:rsidRPr="00A53EE1">
        <w:t xml:space="preserve">algorithm relies on a distance matrix that is created by computing the distance between every pair of data points. For this reason, </w:t>
      </w:r>
      <w:r w:rsidR="00441F75" w:rsidRPr="00A53EE1">
        <w:t>a clustering</w:t>
      </w:r>
      <w:r w:rsidRPr="00A53EE1">
        <w:t xml:space="preserve"> algorithm</w:t>
      </w:r>
      <w:r w:rsidR="00441F75" w:rsidRPr="00A53EE1">
        <w:t xml:space="preserve"> </w:t>
      </w:r>
      <w:r w:rsidRPr="00A53EE1">
        <w:t>require</w:t>
      </w:r>
      <w:r w:rsidR="00441F75" w:rsidRPr="00A53EE1">
        <w:t xml:space="preserve">s </w:t>
      </w:r>
      <w:r w:rsidRPr="00A53EE1">
        <w:t xml:space="preserve">standardized, numerical input. </w:t>
      </w:r>
    </w:p>
    <w:p w14:paraId="3A43A926" w14:textId="77777777" w:rsidR="00E05FA5" w:rsidRPr="00A53EE1" w:rsidRDefault="00E05FA5" w:rsidP="00E05FA5">
      <w:pPr>
        <w:pStyle w:val="CETHeadingxx"/>
      </w:pPr>
      <w:r w:rsidRPr="00A53EE1">
        <w:lastRenderedPageBreak/>
        <w:t>K-Means Clustering</w:t>
      </w:r>
    </w:p>
    <w:p w14:paraId="31075CAD" w14:textId="027379C5" w:rsidR="00E05FA5" w:rsidRPr="00A53EE1" w:rsidRDefault="00E05FA5" w:rsidP="00E05FA5">
      <w:pPr>
        <w:pStyle w:val="CETBodytext"/>
      </w:pPr>
      <w:r w:rsidRPr="00A53EE1">
        <w:t xml:space="preserve">K-Means </w:t>
      </w:r>
      <w:r w:rsidR="00136B4F" w:rsidRPr="00A53EE1">
        <w:t xml:space="preserve">is </w:t>
      </w:r>
      <w:r w:rsidR="0098349D" w:rsidRPr="00A53EE1">
        <w:t xml:space="preserve">one of the most frequently used and effective </w:t>
      </w:r>
      <w:r w:rsidRPr="00A53EE1">
        <w:t xml:space="preserve">clustering </w:t>
      </w:r>
      <w:r w:rsidR="0098349D" w:rsidRPr="00A53EE1">
        <w:t>algorithms, as proved by results obtained in several diverse application contexts</w:t>
      </w:r>
      <w:r w:rsidR="003922B2" w:rsidRPr="00A53EE1">
        <w:t xml:space="preserve"> </w:t>
      </w:r>
      <w:r w:rsidR="003922B2" w:rsidRPr="00A53EE1">
        <w:fldChar w:fldCharType="begin" w:fldLock="1"/>
      </w:r>
      <w:r w:rsidR="00DD45D5">
        <w:instrText>ADDIN CSL_CITATION {"citationItems":[{"id":"ITEM-1","itemData":{"DOI":"10.1016/j.ins.2017.05.024","ISSN":"00200255","abstract":"Determining the number of clusters is one of the research questions attracting considerable interests in recent years. Majority of the existing methods require parametric assumptions and substantiated computations. In this paper we propose a simple yet powerful method for determining the number of clusters based on curvature. Our technique is computationally efficient and straightforward to implement. We compare our method with 6 other approaches on a wide range of simulated and real-world datasets. Theoretical motivation underlying the proposed method is also presented.","author":[{"dropping-particle":"","family":"Zhang","given":"Yaqian","non-dropping-particle":"","parse-names":false,"suffix":""},{"dropping-particle":"","family":"Mańdziuk","given":"Jacek","non-dropping-particle":"","parse-names":false,"suffix":""},{"dropping-particle":"","family":"Quek","given":"Chai Hiok","non-dropping-particle":"","parse-names":false,"suffix":""},{"dropping-particle":"","family":"Goh","given":"Boon Wooi","non-dropping-particle":"","parse-names":false,"suffix":""}],"container-title":"Information Sciences","id":"ITEM-1","issued":{"date-parts":[["2017"]]},"page":"414-428","title":"Curvature-based method for determining the number of clusters","type":"article-journal","volume":"415-416"},"uris":["http://www.mendeley.com/documents/?uuid=14b3ea21-7ef5-41d7-89bb-6513738c7b4b"]}],"mendeley":{"formattedCitation":"(Zhang et al., 2017)","plainTextFormattedCitation":"(Zhang et al., 2017)","previouslyFormattedCitation":"(Zhang et al., 2017)"},"properties":{"noteIndex":0},"schema":"https://github.com/citation-style-language/schema/raw/master/csl-citation.json"}</w:instrText>
      </w:r>
      <w:r w:rsidR="003922B2" w:rsidRPr="00A53EE1">
        <w:fldChar w:fldCharType="separate"/>
      </w:r>
      <w:r w:rsidR="003922B2" w:rsidRPr="007D0DC0">
        <w:rPr>
          <w:noProof/>
        </w:rPr>
        <w:t>(Zhang et al., 2017)</w:t>
      </w:r>
      <w:r w:rsidR="003922B2" w:rsidRPr="00A53EE1">
        <w:fldChar w:fldCharType="end"/>
      </w:r>
      <w:r w:rsidRPr="00A53EE1">
        <w:t>. K-Means is a general-purpose clustering metho</w:t>
      </w:r>
      <w:r w:rsidR="007367C5">
        <w:t xml:space="preserve">d </w:t>
      </w:r>
      <w:r w:rsidRPr="00A53EE1">
        <w:t xml:space="preserve"> preferred for data where a flat geometry. The algorithm tries to group data by minimizing the within-cluster-sum-of-squares which represents the distance between each data point and the cluster centroid </w:t>
      </w:r>
      <w:r w:rsidR="00E549E6" w:rsidRPr="00A53EE1">
        <w:fldChar w:fldCharType="begin" w:fldLock="1"/>
      </w:r>
      <w:r w:rsidR="00DD45D5">
        <w:instrText>ADDIN CSL_CITATION {"citationItems":[{"id":"ITEM-1","itemData":{"DOI":"10.1109/ispacs.2005.1595432","ISBN":"0780392663","abstract":"Among the microarray data analysis clustering methods, K-means and hierarchical clustering are researchers' favorable tools today. However, each of these traditional clustering methods has its limitations. In this study, we introduce a new method, hierarchical K-means regulating divisive or agglomerative approach. The hierarchical K-means firstly employs K-means' algorithm in each cluster to determine K cluster while operating and then employs it on hierarchical clustering technique to shorten merging clusters time while generating a tree-like dendrogram. We apply this method in two original microarray datasets. The result indicates divisive hierarchical K-means is superior to hierarchical clustering on cluster quality and is superior to K-means clustering on computational speed. Our conclusion is that divisive hierarchical K-means establishes a better clustering algorithm satisfying researchers' demand. © 2005 IEEE.","author":[{"dropping-particle":"","family":"Chen","given":"Tung Shou","non-dropping-particle":"","parse-names":false,"suffix":""},{"dropping-particle":"","family":"Tsai","given":"Tzu Hsin","non-dropping-particle":"","parse-names":false,"suffix":""},{"dropping-particle":"","family":"Chen","given":"Yi Tzu","non-dropping-particle":"","parse-names":false,"suffix":""},{"dropping-particle":"","family":"Lin","given":"Chin Chiang","non-dropping-particle":"","parse-names":false,"suffix":""},{"dropping-particle":"","family":"Chen","given":"Rong Chang","non-dropping-particle":"","parse-names":false,"suffix":""},{"dropping-particle":"","family":"Li","given":"Shuan Yow","non-dropping-particle":"","parse-names":false,"suffix":""},{"dropping-particle":"","family":"Chen","given":"Hsin Yi","non-dropping-particle":"","parse-names":false,"suffix":""}],"container-title":"Proceedings of 2005 International Symposium on Intelligent Signal Processing and Communication Systems, ISPACS 2005","id":"ITEM-1","issued":{"date-parts":[["2005"]]},"page":"405-408","title":"A combined K-means and hierarchical clustering method for improving the clustering efficiency of microarray","type":"article-journal","volume":"2005"},"uris":["http://www.mendeley.com/documents/?uuid=5b8f0c6f-8b38-4e84-ad91-50e083c5864b"]}],"mendeley":{"formattedCitation":"(Chen et al., 2005)","plainTextFormattedCitation":"(Chen et al., 2005)","previouslyFormattedCitation":"(Chen et al., 2005)"},"properties":{"noteIndex":0},"schema":"https://github.com/citation-style-language/schema/raw/master/csl-citation.json"}</w:instrText>
      </w:r>
      <w:r w:rsidR="00E549E6" w:rsidRPr="00A53EE1">
        <w:fldChar w:fldCharType="separate"/>
      </w:r>
      <w:r w:rsidR="00E549E6" w:rsidRPr="007D0DC0">
        <w:rPr>
          <w:noProof/>
        </w:rPr>
        <w:t>(Chen et al., 2005)</w:t>
      </w:r>
      <w:r w:rsidR="00E549E6" w:rsidRPr="00A53EE1">
        <w:fldChar w:fldCharType="end"/>
      </w:r>
      <w:r w:rsidRPr="00A53EE1">
        <w:t xml:space="preserve">. The </w:t>
      </w:r>
      <w:r w:rsidR="007345BF" w:rsidRPr="00A53EE1">
        <w:t xml:space="preserve">most common metric </w:t>
      </w:r>
      <w:r w:rsidR="000F4D1B" w:rsidRPr="00A53EE1">
        <w:t xml:space="preserve">to compute distances in </w:t>
      </w:r>
      <w:r w:rsidRPr="00A53EE1">
        <w:t xml:space="preserve">K-Means is </w:t>
      </w:r>
      <w:r w:rsidR="000F4D1B" w:rsidRPr="00A53EE1">
        <w:t xml:space="preserve">the </w:t>
      </w:r>
      <w:r w:rsidRPr="00A53EE1">
        <w:t>Euclidean distance</w:t>
      </w:r>
      <w:r w:rsidR="000F4D1B" w:rsidRPr="00A53EE1">
        <w:t xml:space="preserve">, </w:t>
      </w:r>
      <w:r w:rsidR="00F05B0D" w:rsidRPr="00A53EE1">
        <w:t xml:space="preserve">as it </w:t>
      </w:r>
      <w:r w:rsidR="000F4D1B" w:rsidRPr="00A53EE1">
        <w:t xml:space="preserve">is </w:t>
      </w:r>
      <w:r w:rsidR="00F05B0D" w:rsidRPr="00A53EE1">
        <w:t xml:space="preserve">flexible </w:t>
      </w:r>
      <w:r w:rsidR="000F4D1B" w:rsidRPr="00A53EE1">
        <w:t xml:space="preserve">to accommodate different </w:t>
      </w:r>
      <w:r w:rsidR="00912776" w:rsidRPr="00A53EE1">
        <w:t>operational situations</w:t>
      </w:r>
      <w:r w:rsidRPr="00A53EE1">
        <w:t xml:space="preserve">. Another characteristic of the algorithm is that it requires an explicit specification of the resulting number of clusters. The algorithm will always converge, but it is vulnerable to local minima. This will depend on how centroids are initialized. By running the algorithm with a specified number of clusters </w:t>
      </w:r>
      <w:r w:rsidRPr="00A53EE1">
        <w:rPr>
          <w:rFonts w:ascii="Cambria Math" w:hAnsi="Cambria Math" w:cs="Cambria Math"/>
        </w:rPr>
        <w:t>𝑘</w:t>
      </w:r>
      <w:r w:rsidRPr="00A53EE1">
        <w:t xml:space="preserve">, </w:t>
      </w:r>
      <w:r w:rsidRPr="00A53EE1">
        <w:rPr>
          <w:rFonts w:ascii="Cambria Math" w:hAnsi="Cambria Math" w:cs="Cambria Math"/>
        </w:rPr>
        <w:t>𝑘</w:t>
      </w:r>
      <w:r w:rsidRPr="00A53EE1">
        <w:t xml:space="preserve"> random samples from the dataset are allocated as cluster centroids. The main steps of the </w:t>
      </w:r>
      <w:r w:rsidR="006E286B" w:rsidRPr="00A53EE1">
        <w:t xml:space="preserve">K-Means clustering </w:t>
      </w:r>
      <w:r w:rsidRPr="00A53EE1">
        <w:t>algorithm are:</w:t>
      </w:r>
    </w:p>
    <w:p w14:paraId="027B231B" w14:textId="35D0FE28" w:rsidR="00E05FA5" w:rsidRPr="00A53EE1" w:rsidRDefault="00E05FA5" w:rsidP="00D74CB5">
      <w:pPr>
        <w:pStyle w:val="CETBodytext"/>
        <w:numPr>
          <w:ilvl w:val="0"/>
          <w:numId w:val="25"/>
        </w:numPr>
      </w:pPr>
      <w:r w:rsidRPr="00A53EE1">
        <w:t xml:space="preserve">Initialization: </w:t>
      </w:r>
      <w:r w:rsidR="00912776" w:rsidRPr="00A53EE1">
        <w:t>the step to c</w:t>
      </w:r>
      <w:r w:rsidRPr="00A53EE1">
        <w:t>hoose k initial centroids</w:t>
      </w:r>
    </w:p>
    <w:p w14:paraId="65153FCE" w14:textId="3F233E37" w:rsidR="00E05FA5" w:rsidRPr="00A53EE1" w:rsidRDefault="00E05FA5" w:rsidP="00D74CB5">
      <w:pPr>
        <w:pStyle w:val="CETBodytext"/>
        <w:numPr>
          <w:ilvl w:val="0"/>
          <w:numId w:val="25"/>
        </w:numPr>
      </w:pPr>
      <w:r w:rsidRPr="00A53EE1">
        <w:t>Loop</w:t>
      </w:r>
      <w:r w:rsidR="00912776" w:rsidRPr="00A53EE1">
        <w:t>ing: t</w:t>
      </w:r>
      <w:r w:rsidR="00090D1D" w:rsidRPr="00A53EE1">
        <w:t xml:space="preserve">he iterative step to stabilize </w:t>
      </w:r>
      <w:r w:rsidRPr="00A53EE1">
        <w:t>centroids</w:t>
      </w:r>
      <w:r w:rsidR="00D74CB5" w:rsidRPr="00A53EE1">
        <w:t>, until a certain threshold is reached, or a certain number of iterations has been run. This loop requires two sub-steps:</w:t>
      </w:r>
    </w:p>
    <w:p w14:paraId="7B3DA5DD" w14:textId="735C9420" w:rsidR="00E05FA5" w:rsidRPr="00A53EE1" w:rsidRDefault="00E05FA5" w:rsidP="00E05FA5">
      <w:pPr>
        <w:pStyle w:val="CETBodytext"/>
        <w:numPr>
          <w:ilvl w:val="1"/>
          <w:numId w:val="23"/>
        </w:numPr>
      </w:pPr>
      <w:r w:rsidRPr="00A53EE1">
        <w:t>Assigning samples to their nearest centroid based on a selected distance measure.</w:t>
      </w:r>
    </w:p>
    <w:p w14:paraId="01A8151E" w14:textId="0CF9B56D" w:rsidR="00E05FA5" w:rsidRPr="00A53EE1" w:rsidRDefault="00E05FA5" w:rsidP="00E05FA5">
      <w:pPr>
        <w:pStyle w:val="CETBodytext"/>
        <w:numPr>
          <w:ilvl w:val="1"/>
          <w:numId w:val="23"/>
        </w:numPr>
      </w:pPr>
      <w:r w:rsidRPr="00A53EE1">
        <w:t>Compute the mean of the assigned samples and create a new centroid.</w:t>
      </w:r>
    </w:p>
    <w:p w14:paraId="68B12F18" w14:textId="6C9C909E" w:rsidR="00D74CB5" w:rsidRPr="00A53EE1" w:rsidRDefault="00D74CB5" w:rsidP="00D74CB5">
      <w:pPr>
        <w:pStyle w:val="CETBodytext"/>
      </w:pPr>
      <w:r w:rsidRPr="00A53EE1">
        <w:t xml:space="preserve">K-Means with Euclidean distance </w:t>
      </w:r>
      <w:r w:rsidR="009A5E1D">
        <w:t>ha</w:t>
      </w:r>
      <w:r w:rsidR="00B92767">
        <w:t>s</w:t>
      </w:r>
      <w:r w:rsidR="009A5E1D" w:rsidRPr="00A53EE1">
        <w:t xml:space="preserve"> </w:t>
      </w:r>
      <w:r w:rsidRPr="00A53EE1">
        <w:t xml:space="preserve">been used to map </w:t>
      </w:r>
      <w:r w:rsidR="009A5E1D">
        <w:t>countries’</w:t>
      </w:r>
      <w:r w:rsidR="009A5E1D" w:rsidRPr="00A53EE1">
        <w:t xml:space="preserve"> </w:t>
      </w:r>
      <w:r w:rsidR="00F04B4C" w:rsidRPr="00A53EE1">
        <w:t>clusters as they appear in the EM-DAT database.</w:t>
      </w:r>
    </w:p>
    <w:p w14:paraId="2256F7DD" w14:textId="7C8E4B6A" w:rsidR="0018501D" w:rsidRPr="00A53EE1" w:rsidRDefault="00D949BF" w:rsidP="0018501D">
      <w:pPr>
        <w:pStyle w:val="CETHeading1"/>
      </w:pPr>
      <w:r w:rsidRPr="00A53EE1">
        <w:t>Results</w:t>
      </w:r>
    </w:p>
    <w:p w14:paraId="0FC182BF" w14:textId="629DFE35" w:rsidR="002904C6" w:rsidRPr="00A53EE1" w:rsidRDefault="000F5CAF" w:rsidP="003F15A3">
      <w:pPr>
        <w:pStyle w:val="CETBodytext"/>
      </w:pPr>
      <w:r w:rsidRPr="00A53EE1">
        <w:t xml:space="preserve">The clustering algorithm allowed </w:t>
      </w:r>
      <w:r w:rsidR="009B6F81" w:rsidRPr="00A53EE1">
        <w:t>split</w:t>
      </w:r>
      <w:r w:rsidR="00F04B4C" w:rsidRPr="00A53EE1">
        <w:t xml:space="preserve">ting the </w:t>
      </w:r>
      <w:r w:rsidRPr="00A53EE1">
        <w:t xml:space="preserve">189 countries involved in natural hazard accidents into 40 clusters of </w:t>
      </w:r>
      <w:r w:rsidR="00F04B4C" w:rsidRPr="00A53EE1">
        <w:t xml:space="preserve">varied </w:t>
      </w:r>
      <w:r w:rsidRPr="00A53EE1">
        <w:t>sizes</w:t>
      </w:r>
      <w:r w:rsidR="00780F5E" w:rsidRPr="00A53EE1">
        <w:t>. The algorithm run</w:t>
      </w:r>
      <w:r w:rsidR="004C2B99" w:rsidRPr="00A53EE1">
        <w:t>s</w:t>
      </w:r>
      <w:r w:rsidR="00780F5E" w:rsidRPr="00A53EE1">
        <w:t xml:space="preserve"> on a set of </w:t>
      </w:r>
      <w:r w:rsidRPr="00A53EE1">
        <w:t xml:space="preserve">selected features </w:t>
      </w:r>
      <w:r w:rsidR="00780F5E" w:rsidRPr="00A53EE1">
        <w:t xml:space="preserve">presented </w:t>
      </w:r>
      <w:r w:rsidR="004C2B99" w:rsidRPr="00A53EE1">
        <w:t>considered relevant for the scope of the analysis</w:t>
      </w:r>
      <w:r w:rsidR="002904C6" w:rsidRPr="00A53EE1">
        <w:t>:</w:t>
      </w:r>
      <w:r w:rsidR="003F15A3" w:rsidRPr="00A53EE1">
        <w:t xml:space="preserve"> </w:t>
      </w:r>
      <w:r w:rsidR="002904C6" w:rsidRPr="00A53EE1">
        <w:t>Disaster ID</w:t>
      </w:r>
      <w:r w:rsidR="003F15A3" w:rsidRPr="00A53EE1">
        <w:t xml:space="preserve">; </w:t>
      </w:r>
      <w:r w:rsidR="00C969B3" w:rsidRPr="00A53EE1">
        <w:t>Country</w:t>
      </w:r>
      <w:r w:rsidR="003F15A3" w:rsidRPr="00A53EE1">
        <w:t xml:space="preserve">; </w:t>
      </w:r>
      <w:r w:rsidR="00C969B3" w:rsidRPr="00A53EE1">
        <w:t>Location</w:t>
      </w:r>
      <w:r w:rsidR="003F15A3" w:rsidRPr="00A53EE1">
        <w:t xml:space="preserve">; </w:t>
      </w:r>
      <w:r w:rsidR="002904C6" w:rsidRPr="00A53EE1">
        <w:t>Year</w:t>
      </w:r>
      <w:r w:rsidR="003F15A3" w:rsidRPr="00A53EE1">
        <w:t xml:space="preserve">; </w:t>
      </w:r>
      <w:r w:rsidR="002904C6" w:rsidRPr="00A53EE1">
        <w:t>Disaster group</w:t>
      </w:r>
      <w:r w:rsidR="003F15A3" w:rsidRPr="00A53EE1">
        <w:t xml:space="preserve">; </w:t>
      </w:r>
      <w:r w:rsidR="002904C6" w:rsidRPr="00A53EE1">
        <w:t>Disaster subgroup</w:t>
      </w:r>
      <w:r w:rsidR="003F15A3" w:rsidRPr="00A53EE1">
        <w:t xml:space="preserve">; </w:t>
      </w:r>
      <w:r w:rsidR="002904C6" w:rsidRPr="00A53EE1">
        <w:t>Disaster type</w:t>
      </w:r>
      <w:r w:rsidR="003F15A3" w:rsidRPr="00A53EE1">
        <w:t xml:space="preserve">; </w:t>
      </w:r>
      <w:r w:rsidR="002904C6" w:rsidRPr="00A53EE1">
        <w:t>Event name</w:t>
      </w:r>
      <w:r w:rsidR="003F15A3" w:rsidRPr="00A53EE1">
        <w:t>; T</w:t>
      </w:r>
      <w:r w:rsidR="002904C6" w:rsidRPr="00A53EE1">
        <w:t>otal death</w:t>
      </w:r>
      <w:r w:rsidR="003F15A3" w:rsidRPr="00A53EE1">
        <w:t xml:space="preserve">; </w:t>
      </w:r>
      <w:r w:rsidR="002904C6" w:rsidRPr="00A53EE1">
        <w:t>Total damages</w:t>
      </w:r>
      <w:r w:rsidR="003F15A3" w:rsidRPr="00A53EE1">
        <w:t>.</w:t>
      </w:r>
      <w:r w:rsidR="009425F7" w:rsidRPr="00A53EE1">
        <w:t xml:space="preserve"> The </w:t>
      </w:r>
      <w:r w:rsidR="00BB593F" w:rsidRPr="00A53EE1">
        <w:t xml:space="preserve">chosen </w:t>
      </w:r>
      <w:r w:rsidR="009425F7" w:rsidRPr="00A53EE1">
        <w:t xml:space="preserve">algorithm </w:t>
      </w:r>
      <w:r w:rsidR="00BB593F" w:rsidRPr="00A53EE1">
        <w:t xml:space="preserve">relies </w:t>
      </w:r>
      <w:r w:rsidR="009425F7" w:rsidRPr="00A53EE1">
        <w:t>on a distance matrix created computing the distance between every pair of data points. The algorithm has been performed to group data minimizing the within-cluster</w:t>
      </w:r>
      <w:r w:rsidR="00BB593F" w:rsidRPr="00A53EE1">
        <w:t xml:space="preserve"> </w:t>
      </w:r>
      <w:r w:rsidR="009425F7" w:rsidRPr="00A53EE1">
        <w:t>sum</w:t>
      </w:r>
      <w:r w:rsidR="00BB593F" w:rsidRPr="00A53EE1">
        <w:t xml:space="preserve"> </w:t>
      </w:r>
      <w:r w:rsidR="009425F7" w:rsidRPr="00A53EE1">
        <w:t>of</w:t>
      </w:r>
      <w:r w:rsidR="00BB593F" w:rsidRPr="00A53EE1">
        <w:t xml:space="preserve"> </w:t>
      </w:r>
      <w:r w:rsidR="009425F7" w:rsidRPr="00A53EE1">
        <w:t>squares</w:t>
      </w:r>
      <w:r w:rsidR="00BB593F" w:rsidRPr="00A53EE1">
        <w:t xml:space="preserve">, </w:t>
      </w:r>
      <w:r w:rsidR="009425F7" w:rsidRPr="00A53EE1">
        <w:t xml:space="preserve">which represents the distance between each data point and the cluster centroid. </w:t>
      </w:r>
    </w:p>
    <w:p w14:paraId="32EFC0F9" w14:textId="13F7047E" w:rsidR="00914C5B" w:rsidRPr="00A53EE1" w:rsidRDefault="00C969B3" w:rsidP="00C61E4B">
      <w:pPr>
        <w:pStyle w:val="CETBodytext"/>
      </w:pPr>
      <w:r w:rsidRPr="00A53EE1">
        <w:t>C</w:t>
      </w:r>
      <w:r w:rsidR="002904C6" w:rsidRPr="00A53EE1">
        <w:t>lusters must be validated to check the logical cohesion between the clustered items and to compare the separation among them. A useful metric for validating the significance of clusters is the silhouette, whose scores represent the distance from one sample to the samples in the neighboring clusters</w:t>
      </w:r>
      <w:r w:rsidR="00AE2E90" w:rsidRPr="00A53EE1">
        <w:t xml:space="preserve"> </w:t>
      </w:r>
      <w:r w:rsidR="00AE2E90" w:rsidRPr="00A53EE1">
        <w:fldChar w:fldCharType="begin" w:fldLock="1"/>
      </w:r>
      <w:r w:rsidR="00DD45D5">
        <w:instrText>ADDIN CSL_CITATION {"citationItems":[{"id":"ITEM-1","itemData":{"DOI":"10.5430/air.v7n1p15","ISSN":"1927-6974","abstract":"It is an important and challenging problem in unsupervised learning to estimate the number of clusters in a dataset. Knowing the number of clusters is a prerequisite for many commonly used clustering algorithms such as \\textit{k}-means. In this paper, we propose a novel diversity based approach to this problem. Specifically, we show that the difference between the global diversity of clusters and the sum of each cluster’s local diversity of their members can be used as an effective indicator of the optimality of the number of clusters, where the diversity is measured by Rao’s quadratic entropy. A notable advantage of our proposed method is that it encourages balanced clustering by taking into account both the sizes of clusters and the distances between clusters. In other words, it is less prone to very small “outlier” clusters than existing methods. Our extensive experiments on both synthetic and real-world datasets (with known ground-truth clustering) have demonstrated that our proposed method is robust for clusters of different sizes, variances, and shapes, and it is more accurate than existing methods (including elbow, Caliński-Harabasz, silhouette, and gap-statistic) in terms of finding out the optimal number of clusters.","author":[{"dropping-particle":"","family":"Kingrani","given":"Suneel Kumar","non-dropping-particle":"","parse-names":false,"suffix":""},{"dropping-particle":"","family":"Levene","given":"Mark","non-dropping-particle":"","parse-names":false,"suffix":""},{"dropping-particle":"","family":"Zhang","given":"Dell","non-dropping-particle":"","parse-names":false,"suffix":""}],"container-title":"Artificial Intelligence Research","id":"ITEM-1","issue":"1","issued":{"date-parts":[["2017"]]},"page":"15","title":"Estimating the number of clusters using diversity","type":"article-journal","volume":"7"},"uris":["http://www.mendeley.com/documents/?uuid=a3104388-5732-489b-a8b3-8c65d3684bb9"]}],"mendeley":{"formattedCitation":"(Kingrani et al., 2017)","plainTextFormattedCitation":"(Kingrani et al., 2017)","previouslyFormattedCitation":"(Kingrani et al., 2017)"},"properties":{"noteIndex":0},"schema":"https://github.com/citation-style-language/schema/raw/master/csl-citation.json"}</w:instrText>
      </w:r>
      <w:r w:rsidR="00AE2E90" w:rsidRPr="00A53EE1">
        <w:fldChar w:fldCharType="separate"/>
      </w:r>
      <w:r w:rsidR="007D0DC0" w:rsidRPr="007D0DC0">
        <w:rPr>
          <w:noProof/>
        </w:rPr>
        <w:t>(Kingrani et al., 2017)</w:t>
      </w:r>
      <w:r w:rsidR="00AE2E90" w:rsidRPr="00A53EE1">
        <w:fldChar w:fldCharType="end"/>
      </w:r>
      <w:r w:rsidR="00AE2E90" w:rsidRPr="00A53EE1">
        <w:t>.</w:t>
      </w:r>
      <w:r w:rsidR="002904C6" w:rsidRPr="00A53EE1">
        <w:t xml:space="preserve"> Silhouette coefficients range between -1 and 1 where values close to 1 indicate high compactness within the cluster, which in turn implies longer distances among the sample and the neighboring clusters. Silhouette scores close to 0 indicate overlapping clusters, while negative values indicate a possible misplacement of the sample</w:t>
      </w:r>
      <w:r w:rsidR="00AE2E90" w:rsidRPr="00A53EE1">
        <w:t xml:space="preserve"> </w:t>
      </w:r>
      <w:r w:rsidR="00AE2E90" w:rsidRPr="00A53EE1">
        <w:fldChar w:fldCharType="begin" w:fldLock="1"/>
      </w:r>
      <w:r w:rsidR="00A53EE1" w:rsidRPr="00A53EE1">
        <w:instrText>ADDIN CSL_CITATION {"citationItems":[{"id":"ITEM-1","itemData":{"DOI":"10.1007/BF02294245","ISSN":"00333123","abstract":"A Monte Carlo evaluation of 30 procedures for determining the number of clusters was conducted on artificial data sets which contained either 2, 3, 4, or 5 distinct nonoverlapping clusters. To provide a variety of clustering solutions, the data sets were analyzed by four hierarchical clustering methods. External criterion measures indicated excellent recovery of the true cluster structure by the methods at the correct hierarchy level. Thus, the clustering present in the data was quite strong. The simulation results for the stopping rules revealed a wide range in their ability to determine the correct number of clusters in the data. Several procedures worked fairly well, whereas others performed rather poorly. Thus, the latter group of rules would appear to have little validity, particularly for data sets containing distinct clusters. Applied researchers are urged to select one or more of the better criteria. However, users are cautioned that the performance of some of the criteria may be data dependent. © 1985 The Psychometric Society.","author":[{"dropping-particle":"","family":"Milligan","given":"Glenn W.","non-dropping-particle":"","parse-names":false,"suffix":""},{"dropping-particle":"","family":"Cooper","given":"Martha C.","non-dropping-particle":"","parse-names":false,"suffix":""}],"container-title":"Psychometrika","id":"ITEM-1","issue":"2","issued":{"date-parts":[["1985"]]},"page":"159-179","title":"An examination of procedures for determining the number of clusters in a data set","type":"article-journal","volume":"50"},"uris":["http://www.mendeley.com/documents/?uuid=8711810d-a056-4d6a-9130-0a292d520ff3"]}],"mendeley":{"formattedCitation":"(Milligan and Cooper, 1985)","plainTextFormattedCitation":"(Milligan and Cooper, 1985)","previouslyFormattedCitation":"(Milligan and Cooper, 1985)"},"properties":{"noteIndex":0},"schema":"https://github.com/citation-style-language/schema/raw/master/csl-citation.json"}</w:instrText>
      </w:r>
      <w:r w:rsidR="00AE2E90" w:rsidRPr="00A53EE1">
        <w:fldChar w:fldCharType="separate"/>
      </w:r>
      <w:r w:rsidR="00AE2E90" w:rsidRPr="00A53EE1">
        <w:rPr>
          <w:noProof/>
        </w:rPr>
        <w:t>(Milligan and Cooper, 1985)</w:t>
      </w:r>
      <w:r w:rsidR="00AE2E90" w:rsidRPr="00A53EE1">
        <w:fldChar w:fldCharType="end"/>
      </w:r>
      <w:r w:rsidR="00AE2E90" w:rsidRPr="00A53EE1">
        <w:t>.</w:t>
      </w:r>
      <w:r w:rsidR="002904C6" w:rsidRPr="00A53EE1">
        <w:t xml:space="preserve"> When examining the </w:t>
      </w:r>
      <w:r w:rsidRPr="00A53EE1">
        <w:t xml:space="preserve">obtained </w:t>
      </w:r>
      <w:r w:rsidR="002904C6" w:rsidRPr="00A53EE1">
        <w:t xml:space="preserve">results, </w:t>
      </w:r>
      <w:r w:rsidRPr="00A53EE1">
        <w:t>for demonstration purposes</w:t>
      </w:r>
      <w:r w:rsidR="004C3156" w:rsidRPr="00A53EE1">
        <w:t xml:space="preserve">, </w:t>
      </w:r>
      <w:r w:rsidRPr="00A53EE1">
        <w:t>this manuscript</w:t>
      </w:r>
      <w:r w:rsidR="004C3156" w:rsidRPr="00A53EE1">
        <w:t xml:space="preserve"> details only </w:t>
      </w:r>
      <w:r w:rsidRPr="00A53EE1">
        <w:t xml:space="preserve">the </w:t>
      </w:r>
      <w:r w:rsidR="004C3156" w:rsidRPr="00A53EE1">
        <w:t xml:space="preserve">two </w:t>
      </w:r>
      <w:r w:rsidRPr="00A53EE1">
        <w:t>cluster</w:t>
      </w:r>
      <w:r w:rsidR="008D5289" w:rsidRPr="00A53EE1">
        <w:t>s</w:t>
      </w:r>
      <w:r w:rsidRPr="00A53EE1">
        <w:t xml:space="preserve"> </w:t>
      </w:r>
      <w:r w:rsidR="002904C6" w:rsidRPr="00A53EE1">
        <w:t>present</w:t>
      </w:r>
      <w:r w:rsidRPr="00A53EE1">
        <w:t xml:space="preserve">ing the higher </w:t>
      </w:r>
      <w:r w:rsidR="008D5289" w:rsidRPr="00A53EE1">
        <w:t xml:space="preserve">cumulative </w:t>
      </w:r>
      <w:r w:rsidRPr="00A53EE1">
        <w:t xml:space="preserve">number of </w:t>
      </w:r>
      <w:r w:rsidR="002904C6" w:rsidRPr="00A53EE1">
        <w:t>fatalities</w:t>
      </w:r>
      <w:r w:rsidR="00BF091C" w:rsidRPr="00A53EE1">
        <w:t>. On this bas</w:t>
      </w:r>
      <w:r w:rsidR="00570EF1" w:rsidRPr="00A53EE1">
        <w:t>is</w:t>
      </w:r>
      <w:r w:rsidR="00BF091C" w:rsidRPr="00A53EE1">
        <w:t xml:space="preserve">, </w:t>
      </w:r>
      <w:r w:rsidR="009B6F81" w:rsidRPr="00A53EE1">
        <w:t>cluster 12</w:t>
      </w:r>
      <w:r w:rsidR="00EC2D27" w:rsidRPr="00A53EE1">
        <w:t xml:space="preserve"> </w:t>
      </w:r>
      <w:r w:rsidR="009B6F81" w:rsidRPr="00A53EE1">
        <w:t xml:space="preserve">(Poland, Germany, Japan, Vietnam, Bangladesh, </w:t>
      </w:r>
      <w:r w:rsidR="00F22A68" w:rsidRPr="00A53EE1">
        <w:t xml:space="preserve">and </w:t>
      </w:r>
      <w:r w:rsidR="009B6F81" w:rsidRPr="00A53EE1">
        <w:t xml:space="preserve">South </w:t>
      </w:r>
      <w:r w:rsidR="00F22A68" w:rsidRPr="00A53EE1">
        <w:t>K</w:t>
      </w:r>
      <w:r w:rsidR="009B6F81" w:rsidRPr="00A53EE1">
        <w:t>orea</w:t>
      </w:r>
      <w:r w:rsidR="00F22A68" w:rsidRPr="00A53EE1">
        <w:t>)</w:t>
      </w:r>
      <w:r w:rsidR="009B6F81" w:rsidRPr="00A53EE1">
        <w:t xml:space="preserve"> and cluster 32</w:t>
      </w:r>
      <w:r w:rsidR="00F22A68" w:rsidRPr="00A53EE1">
        <w:t xml:space="preserve"> (Pakistan, Afghanistan, Iran, Nepal, Sri Lanka, Turkey, Romania, Algeria, and Yemen)</w:t>
      </w:r>
      <w:r w:rsidR="009B6F81" w:rsidRPr="00A53EE1">
        <w:t xml:space="preserve"> </w:t>
      </w:r>
      <w:r w:rsidR="00BF091C" w:rsidRPr="00A53EE1">
        <w:t xml:space="preserve">being identified </w:t>
      </w:r>
      <w:r w:rsidR="009A5E1D">
        <w:t>have</w:t>
      </w:r>
      <w:r w:rsidR="009A5E1D" w:rsidRPr="00A53EE1">
        <w:t xml:space="preserve"> </w:t>
      </w:r>
      <w:r w:rsidR="00BF091C" w:rsidRPr="00A53EE1">
        <w:t>been selected for further explorative statistics. T</w:t>
      </w:r>
      <w:r w:rsidR="009B6F81" w:rsidRPr="00A53EE1">
        <w:t>he</w:t>
      </w:r>
      <w:r w:rsidR="00BF091C" w:rsidRPr="00A53EE1">
        <w:t xml:space="preserve">ir </w:t>
      </w:r>
      <w:r w:rsidR="00FB441F" w:rsidRPr="00A53EE1">
        <w:t xml:space="preserve">average silhouette score </w:t>
      </w:r>
      <w:r w:rsidR="009A5E1D">
        <w:t>was</w:t>
      </w:r>
      <w:r w:rsidR="009A5E1D" w:rsidRPr="00A53EE1">
        <w:t xml:space="preserve"> </w:t>
      </w:r>
      <w:r w:rsidR="00BF091C" w:rsidRPr="00A53EE1">
        <w:t xml:space="preserve">respectively </w:t>
      </w:r>
      <w:r w:rsidR="00FB441F" w:rsidRPr="00A53EE1">
        <w:t>0</w:t>
      </w:r>
      <w:r w:rsidR="00B35CD1">
        <w:t>,</w:t>
      </w:r>
      <w:r w:rsidR="00FB441F" w:rsidRPr="00A53EE1">
        <w:t>2</w:t>
      </w:r>
      <w:r w:rsidR="005C4DC0" w:rsidRPr="00A53EE1">
        <w:t>1</w:t>
      </w:r>
      <w:r w:rsidR="00F22A68" w:rsidRPr="00A53EE1">
        <w:t xml:space="preserve"> </w:t>
      </w:r>
      <w:r w:rsidR="00BF091C" w:rsidRPr="00A53EE1">
        <w:t xml:space="preserve">and </w:t>
      </w:r>
      <w:r w:rsidR="009B6F81" w:rsidRPr="00A53EE1">
        <w:t>0</w:t>
      </w:r>
      <w:r w:rsidR="00B35CD1">
        <w:t>,</w:t>
      </w:r>
      <w:r w:rsidR="009B6F81" w:rsidRPr="00A53EE1">
        <w:t>3</w:t>
      </w:r>
      <w:r w:rsidR="005C4DC0" w:rsidRPr="00A53EE1">
        <w:t>1</w:t>
      </w:r>
      <w:r w:rsidR="00B329CA" w:rsidRPr="00A53EE1">
        <w:t xml:space="preserve">. Only one element in cluster 12 showed </w:t>
      </w:r>
      <w:r w:rsidR="009A5E1D">
        <w:t xml:space="preserve">a </w:t>
      </w:r>
      <w:r w:rsidR="00B329CA" w:rsidRPr="00A53EE1">
        <w:t xml:space="preserve">negative silhouette score (i.e., </w:t>
      </w:r>
      <w:r w:rsidR="00F22A68" w:rsidRPr="00A53EE1">
        <w:t>Poland</w:t>
      </w:r>
      <w:r w:rsidR="00B329CA" w:rsidRPr="00A53EE1">
        <w:t>, -0</w:t>
      </w:r>
      <w:r w:rsidR="00B92767">
        <w:t>,</w:t>
      </w:r>
      <w:r w:rsidR="00B329CA" w:rsidRPr="00A53EE1">
        <w:t xml:space="preserve">04), and it has been </w:t>
      </w:r>
      <w:r w:rsidR="00AE30A0" w:rsidRPr="00A53EE1">
        <w:t>manually removed from the following analysis.</w:t>
      </w:r>
      <w:r w:rsidR="00B329CA" w:rsidRPr="00A53EE1">
        <w:t xml:space="preserve"> Details on individual </w:t>
      </w:r>
      <w:r w:rsidR="00AE30A0" w:rsidRPr="00A53EE1">
        <w:t xml:space="preserve">silhouette </w:t>
      </w:r>
      <w:r w:rsidR="00B329CA" w:rsidRPr="00A53EE1">
        <w:t xml:space="preserve">scores </w:t>
      </w:r>
      <w:r w:rsidR="00AE30A0" w:rsidRPr="00A53EE1">
        <w:t xml:space="preserve">can be </w:t>
      </w:r>
      <w:r w:rsidR="00B329CA" w:rsidRPr="00A53EE1">
        <w:t xml:space="preserve">retrieved </w:t>
      </w:r>
      <w:r w:rsidR="00AE30A0" w:rsidRPr="00A53EE1">
        <w:t xml:space="preserve">in </w:t>
      </w:r>
      <w:r w:rsidR="00AE30A0" w:rsidRPr="00A53EE1">
        <w:fldChar w:fldCharType="begin"/>
      </w:r>
      <w:r w:rsidR="00AE30A0" w:rsidRPr="00A53EE1">
        <w:instrText xml:space="preserve"> REF _Ref90390479 \h </w:instrText>
      </w:r>
      <w:r w:rsidR="009840CA" w:rsidRPr="00A53EE1">
        <w:instrText xml:space="preserve"> \* MERGEFORMAT </w:instrText>
      </w:r>
      <w:r w:rsidR="00AE30A0" w:rsidRPr="00A53EE1">
        <w:fldChar w:fldCharType="separate"/>
      </w:r>
      <w:r w:rsidR="00B329CA" w:rsidRPr="00A53EE1">
        <w:t xml:space="preserve">Table </w:t>
      </w:r>
      <w:r w:rsidR="00B329CA" w:rsidRPr="00A53EE1">
        <w:rPr>
          <w:noProof/>
        </w:rPr>
        <w:t>1</w:t>
      </w:r>
      <w:r w:rsidR="00AE30A0" w:rsidRPr="00A53EE1">
        <w:fldChar w:fldCharType="end"/>
      </w:r>
      <w:r w:rsidR="008D5289" w:rsidRPr="00A53EE1">
        <w:t>.</w:t>
      </w:r>
    </w:p>
    <w:p w14:paraId="225B299B" w14:textId="7548723C" w:rsidR="00C61E4B" w:rsidRPr="00A53EE1" w:rsidRDefault="00C61E4B" w:rsidP="00755DD0">
      <w:pPr>
        <w:pStyle w:val="CETTabletitle"/>
        <w:spacing w:before="0"/>
        <w:rPr>
          <w:lang w:val="en-US"/>
        </w:rPr>
      </w:pPr>
      <w:bookmarkStart w:id="0" w:name="_Ref90390479"/>
      <w:bookmarkStart w:id="1" w:name="_Ref90644957"/>
      <w:r w:rsidRPr="00A53EE1">
        <w:rPr>
          <w:lang w:val="en-US"/>
        </w:rPr>
        <w:t xml:space="preserve">Table </w:t>
      </w:r>
      <w:r w:rsidRPr="00A53EE1">
        <w:rPr>
          <w:lang w:val="en-US"/>
        </w:rPr>
        <w:fldChar w:fldCharType="begin"/>
      </w:r>
      <w:r w:rsidRPr="00A53EE1">
        <w:rPr>
          <w:lang w:val="en-US"/>
        </w:rPr>
        <w:instrText xml:space="preserve"> SEQ Table \* ARABIC </w:instrText>
      </w:r>
      <w:r w:rsidRPr="00A53EE1">
        <w:rPr>
          <w:lang w:val="en-US"/>
        </w:rPr>
        <w:fldChar w:fldCharType="separate"/>
      </w:r>
      <w:r w:rsidR="00B329CA" w:rsidRPr="00A53EE1">
        <w:rPr>
          <w:noProof/>
          <w:lang w:val="en-US"/>
        </w:rPr>
        <w:t>1</w:t>
      </w:r>
      <w:r w:rsidRPr="00A53EE1">
        <w:rPr>
          <w:lang w:val="en-US"/>
        </w:rPr>
        <w:fldChar w:fldCharType="end"/>
      </w:r>
      <w:bookmarkEnd w:id="0"/>
      <w:r w:rsidRPr="00A53EE1">
        <w:rPr>
          <w:lang w:val="en-US"/>
        </w:rPr>
        <w:t xml:space="preserve">. </w:t>
      </w:r>
      <w:r w:rsidR="00AA25D2" w:rsidRPr="00A53EE1">
        <w:rPr>
          <w:lang w:val="en-US"/>
        </w:rPr>
        <w:t xml:space="preserve">Items in the two </w:t>
      </w:r>
      <w:r w:rsidR="00BD4757" w:rsidRPr="00A53EE1">
        <w:rPr>
          <w:lang w:val="en-US"/>
        </w:rPr>
        <w:t xml:space="preserve">clusters </w:t>
      </w:r>
      <w:r w:rsidR="009A5E1D">
        <w:rPr>
          <w:lang w:val="en-US"/>
        </w:rPr>
        <w:t xml:space="preserve">were </w:t>
      </w:r>
      <w:r w:rsidR="00AA25D2" w:rsidRPr="00A53EE1">
        <w:rPr>
          <w:lang w:val="en-US"/>
        </w:rPr>
        <w:t>selected</w:t>
      </w:r>
      <w:r w:rsidR="00BD4757" w:rsidRPr="00A53EE1">
        <w:rPr>
          <w:lang w:val="en-US"/>
        </w:rPr>
        <w:t xml:space="preserve"> for demonstrative purposes</w:t>
      </w:r>
      <w:bookmarkEnd w:id="1"/>
      <w:r w:rsidR="00EE51FD" w:rsidRPr="00A53EE1">
        <w:rPr>
          <w:lang w:val="en-US"/>
        </w:rPr>
        <w:t xml:space="preserve">, ordered by </w:t>
      </w:r>
      <w:r w:rsidR="00AA25D2" w:rsidRPr="00A53EE1">
        <w:rPr>
          <w:lang w:val="en-US"/>
        </w:rPr>
        <w:t>sil</w:t>
      </w:r>
      <w:r w:rsidR="00196511" w:rsidRPr="00A53EE1">
        <w:rPr>
          <w:lang w:val="en-US"/>
        </w:rPr>
        <w:t xml:space="preserve">houette </w:t>
      </w:r>
      <w:r w:rsidR="00EE51FD" w:rsidRPr="00A53EE1">
        <w:rPr>
          <w:lang w:val="en-US"/>
        </w:rPr>
        <w:t>score.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6"/>
        <w:gridCol w:w="2197"/>
        <w:gridCol w:w="2197"/>
        <w:gridCol w:w="2197"/>
      </w:tblGrid>
      <w:tr w:rsidR="00BD4757" w:rsidRPr="00A53EE1" w14:paraId="232ED646" w14:textId="736D3B1E" w:rsidTr="001622D3">
        <w:tc>
          <w:tcPr>
            <w:tcW w:w="1250" w:type="pct"/>
            <w:tcBorders>
              <w:top w:val="single" w:sz="12" w:space="0" w:color="008000"/>
              <w:bottom w:val="single" w:sz="6" w:space="0" w:color="008000"/>
              <w:right w:val="single" w:sz="6" w:space="0" w:color="008000"/>
            </w:tcBorders>
            <w:shd w:val="clear" w:color="auto" w:fill="FFFFFF"/>
            <w:vAlign w:val="center"/>
          </w:tcPr>
          <w:p w14:paraId="3ACF0988" w14:textId="61B99C00" w:rsidR="00BD4757" w:rsidRPr="00A53EE1" w:rsidRDefault="00BD4757" w:rsidP="00BC40A6">
            <w:pPr>
              <w:pStyle w:val="CETBodytext"/>
              <w:jc w:val="center"/>
              <w:rPr>
                <w:b/>
                <w:bCs/>
              </w:rPr>
            </w:pPr>
            <w:r w:rsidRPr="00A53EE1">
              <w:rPr>
                <w:b/>
                <w:bCs/>
              </w:rPr>
              <w:t>Country</w:t>
            </w:r>
          </w:p>
        </w:tc>
        <w:tc>
          <w:tcPr>
            <w:tcW w:w="1250" w:type="pct"/>
            <w:tcBorders>
              <w:top w:val="single" w:sz="12" w:space="0" w:color="008000"/>
              <w:left w:val="single" w:sz="6" w:space="0" w:color="008000"/>
              <w:bottom w:val="single" w:sz="6" w:space="0" w:color="008000"/>
            </w:tcBorders>
            <w:shd w:val="clear" w:color="auto" w:fill="FFFFFF"/>
            <w:vAlign w:val="center"/>
          </w:tcPr>
          <w:p w14:paraId="33AD875D" w14:textId="0267A791" w:rsidR="00BD4757" w:rsidRPr="00A53EE1" w:rsidRDefault="00BD4757" w:rsidP="00BC40A6">
            <w:pPr>
              <w:pStyle w:val="CETBodytext"/>
              <w:jc w:val="center"/>
              <w:rPr>
                <w:b/>
                <w:bCs/>
              </w:rPr>
            </w:pPr>
            <w:r w:rsidRPr="00A53EE1">
              <w:rPr>
                <w:b/>
                <w:bCs/>
              </w:rPr>
              <w:t>Silhouette Score</w:t>
            </w:r>
          </w:p>
        </w:tc>
        <w:tc>
          <w:tcPr>
            <w:tcW w:w="1250" w:type="pct"/>
            <w:tcBorders>
              <w:top w:val="single" w:sz="12" w:space="0" w:color="008000"/>
              <w:left w:val="single" w:sz="6" w:space="0" w:color="008000"/>
              <w:bottom w:val="single" w:sz="6" w:space="0" w:color="008000"/>
            </w:tcBorders>
            <w:shd w:val="clear" w:color="auto" w:fill="FFFFFF"/>
          </w:tcPr>
          <w:p w14:paraId="77B7F8EF" w14:textId="0973A211" w:rsidR="00BD4757" w:rsidRPr="00A53EE1" w:rsidRDefault="00BD4757" w:rsidP="00BC40A6">
            <w:pPr>
              <w:pStyle w:val="CETBodytext"/>
              <w:jc w:val="center"/>
              <w:rPr>
                <w:b/>
                <w:bCs/>
              </w:rPr>
            </w:pPr>
            <w:r w:rsidRPr="00A53EE1">
              <w:rPr>
                <w:b/>
                <w:bCs/>
              </w:rPr>
              <w:t>Cluster</w:t>
            </w:r>
          </w:p>
        </w:tc>
        <w:tc>
          <w:tcPr>
            <w:tcW w:w="1250" w:type="pct"/>
            <w:tcBorders>
              <w:top w:val="single" w:sz="12" w:space="0" w:color="008000"/>
              <w:left w:val="single" w:sz="6" w:space="0" w:color="008000"/>
              <w:bottom w:val="single" w:sz="6" w:space="0" w:color="008000"/>
            </w:tcBorders>
            <w:shd w:val="clear" w:color="auto" w:fill="FFFFFF"/>
          </w:tcPr>
          <w:p w14:paraId="4081DC1E" w14:textId="7A8F21CD" w:rsidR="00BD4757" w:rsidRPr="00A53EE1" w:rsidRDefault="00BD4757" w:rsidP="00BC40A6">
            <w:pPr>
              <w:pStyle w:val="CETBodytext"/>
              <w:jc w:val="center"/>
              <w:rPr>
                <w:b/>
                <w:bCs/>
              </w:rPr>
            </w:pPr>
            <w:r w:rsidRPr="00A53EE1">
              <w:rPr>
                <w:b/>
                <w:bCs/>
              </w:rPr>
              <w:t>Inclusion</w:t>
            </w:r>
          </w:p>
        </w:tc>
      </w:tr>
      <w:tr w:rsidR="00BD4757" w:rsidRPr="00A53EE1" w14:paraId="24A34730" w14:textId="68E46B55" w:rsidTr="001622D3">
        <w:tc>
          <w:tcPr>
            <w:tcW w:w="1250" w:type="pct"/>
            <w:tcBorders>
              <w:right w:val="single" w:sz="6" w:space="0" w:color="008000"/>
            </w:tcBorders>
            <w:shd w:val="clear" w:color="auto" w:fill="FFFFFF"/>
            <w:vAlign w:val="center"/>
          </w:tcPr>
          <w:p w14:paraId="56DF0CF3" w14:textId="182AE11A" w:rsidR="00BD4757" w:rsidRPr="00A53EE1" w:rsidRDefault="00BD4757" w:rsidP="00BC40A6">
            <w:pPr>
              <w:pStyle w:val="CETBodytext"/>
              <w:jc w:val="center"/>
            </w:pPr>
            <w:r w:rsidRPr="00A53EE1">
              <w:rPr>
                <w:rFonts w:cs="Arial"/>
                <w:szCs w:val="18"/>
              </w:rPr>
              <w:t>Japan</w:t>
            </w:r>
          </w:p>
        </w:tc>
        <w:tc>
          <w:tcPr>
            <w:tcW w:w="1250" w:type="pct"/>
            <w:tcBorders>
              <w:left w:val="single" w:sz="6" w:space="0" w:color="008000"/>
            </w:tcBorders>
            <w:shd w:val="clear" w:color="auto" w:fill="FFFFFF"/>
            <w:vAlign w:val="center"/>
          </w:tcPr>
          <w:p w14:paraId="4600B818" w14:textId="0DD64FF3" w:rsidR="00BD4757" w:rsidRPr="00A53EE1" w:rsidRDefault="00BD4757" w:rsidP="00BC40A6">
            <w:pPr>
              <w:pStyle w:val="CETBodytext"/>
              <w:jc w:val="center"/>
            </w:pPr>
            <w:r w:rsidRPr="00A53EE1">
              <w:t>0</w:t>
            </w:r>
            <w:r w:rsidR="00B35CD1">
              <w:t>,</w:t>
            </w:r>
            <w:r w:rsidRPr="00A53EE1">
              <w:t>3720</w:t>
            </w:r>
          </w:p>
        </w:tc>
        <w:tc>
          <w:tcPr>
            <w:tcW w:w="1250" w:type="pct"/>
            <w:tcBorders>
              <w:left w:val="single" w:sz="6" w:space="0" w:color="008000"/>
            </w:tcBorders>
            <w:shd w:val="clear" w:color="auto" w:fill="FFFFFF"/>
          </w:tcPr>
          <w:p w14:paraId="09F81C39" w14:textId="09653EEE" w:rsidR="00BD4757" w:rsidRPr="00A53EE1" w:rsidRDefault="00BD4757" w:rsidP="00BC40A6">
            <w:pPr>
              <w:pStyle w:val="CETBodytext"/>
              <w:jc w:val="center"/>
            </w:pPr>
            <w:r w:rsidRPr="00A53EE1">
              <w:t>Cluster 12</w:t>
            </w:r>
          </w:p>
        </w:tc>
        <w:tc>
          <w:tcPr>
            <w:tcW w:w="1250" w:type="pct"/>
            <w:tcBorders>
              <w:left w:val="single" w:sz="6" w:space="0" w:color="008000"/>
            </w:tcBorders>
            <w:shd w:val="clear" w:color="auto" w:fill="FFFFFF"/>
          </w:tcPr>
          <w:p w14:paraId="1DF68F92" w14:textId="663C718F" w:rsidR="00BD4757" w:rsidRPr="00A53EE1" w:rsidRDefault="00BD4757" w:rsidP="00BC40A6">
            <w:pPr>
              <w:pStyle w:val="CETBodytext"/>
              <w:jc w:val="center"/>
            </w:pPr>
            <w:r w:rsidRPr="00A53EE1">
              <w:t>Included</w:t>
            </w:r>
          </w:p>
        </w:tc>
      </w:tr>
      <w:tr w:rsidR="00BD4757" w:rsidRPr="00A53EE1" w14:paraId="33104F45" w14:textId="10755E27" w:rsidTr="001622D3">
        <w:tc>
          <w:tcPr>
            <w:tcW w:w="1250" w:type="pct"/>
            <w:tcBorders>
              <w:right w:val="single" w:sz="6" w:space="0" w:color="008000"/>
            </w:tcBorders>
            <w:shd w:val="clear" w:color="auto" w:fill="FFFFFF"/>
            <w:vAlign w:val="center"/>
          </w:tcPr>
          <w:p w14:paraId="26EEC771" w14:textId="41D62CD7" w:rsidR="00BD4757" w:rsidRPr="00A53EE1" w:rsidRDefault="00BD4757" w:rsidP="00BD4757">
            <w:pPr>
              <w:pStyle w:val="CETBodytext"/>
              <w:ind w:right="-1"/>
              <w:jc w:val="center"/>
              <w:rPr>
                <w:rFonts w:cs="Arial"/>
                <w:szCs w:val="18"/>
              </w:rPr>
            </w:pPr>
            <w:r w:rsidRPr="00A53EE1">
              <w:rPr>
                <w:rFonts w:cs="Arial"/>
                <w:szCs w:val="18"/>
              </w:rPr>
              <w:t>France</w:t>
            </w:r>
          </w:p>
        </w:tc>
        <w:tc>
          <w:tcPr>
            <w:tcW w:w="1250" w:type="pct"/>
            <w:tcBorders>
              <w:left w:val="single" w:sz="6" w:space="0" w:color="008000"/>
            </w:tcBorders>
            <w:shd w:val="clear" w:color="auto" w:fill="FFFFFF"/>
            <w:vAlign w:val="center"/>
          </w:tcPr>
          <w:p w14:paraId="31660D13" w14:textId="71C5E6DB" w:rsidR="00BD4757" w:rsidRPr="00A53EE1" w:rsidRDefault="00BD4757" w:rsidP="00BD4757">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2832</w:t>
            </w:r>
          </w:p>
        </w:tc>
        <w:tc>
          <w:tcPr>
            <w:tcW w:w="1250" w:type="pct"/>
            <w:tcBorders>
              <w:left w:val="single" w:sz="6" w:space="0" w:color="008000"/>
            </w:tcBorders>
            <w:shd w:val="clear" w:color="auto" w:fill="FFFFFF"/>
          </w:tcPr>
          <w:p w14:paraId="1309810D" w14:textId="6E7360E7" w:rsidR="00BD4757" w:rsidRPr="00A53EE1" w:rsidRDefault="00BD4757" w:rsidP="00BD4757">
            <w:pPr>
              <w:pStyle w:val="CETBodytext"/>
              <w:ind w:right="-1"/>
              <w:jc w:val="center"/>
              <w:rPr>
                <w:rFonts w:cs="Arial"/>
                <w:szCs w:val="18"/>
              </w:rPr>
            </w:pPr>
            <w:r w:rsidRPr="00A53EE1">
              <w:t>Cluster 12</w:t>
            </w:r>
          </w:p>
        </w:tc>
        <w:tc>
          <w:tcPr>
            <w:tcW w:w="1250" w:type="pct"/>
            <w:tcBorders>
              <w:left w:val="single" w:sz="6" w:space="0" w:color="008000"/>
            </w:tcBorders>
            <w:shd w:val="clear" w:color="auto" w:fill="FFFFFF"/>
          </w:tcPr>
          <w:p w14:paraId="01A9B039" w14:textId="586DB5CB" w:rsidR="00BD4757" w:rsidRPr="00A53EE1" w:rsidRDefault="00BD4757" w:rsidP="00BD4757">
            <w:pPr>
              <w:pStyle w:val="CETBodytext"/>
              <w:ind w:right="-1"/>
              <w:jc w:val="center"/>
              <w:rPr>
                <w:rFonts w:cs="Arial"/>
                <w:szCs w:val="18"/>
              </w:rPr>
            </w:pPr>
            <w:r w:rsidRPr="00A53EE1">
              <w:t>Included</w:t>
            </w:r>
          </w:p>
        </w:tc>
      </w:tr>
      <w:tr w:rsidR="00BD4757" w:rsidRPr="00A53EE1" w14:paraId="79FEB942" w14:textId="599BB36F" w:rsidTr="001622D3">
        <w:tc>
          <w:tcPr>
            <w:tcW w:w="1250" w:type="pct"/>
            <w:tcBorders>
              <w:right w:val="single" w:sz="6" w:space="0" w:color="008000"/>
            </w:tcBorders>
            <w:shd w:val="clear" w:color="auto" w:fill="FFFFFF"/>
            <w:vAlign w:val="center"/>
          </w:tcPr>
          <w:p w14:paraId="13BDDAD8" w14:textId="2A90D975" w:rsidR="00BD4757" w:rsidRPr="00A53EE1" w:rsidRDefault="00BD4757" w:rsidP="00BD4757">
            <w:pPr>
              <w:pStyle w:val="CETBodytext"/>
              <w:ind w:right="-1"/>
              <w:jc w:val="center"/>
              <w:rPr>
                <w:rFonts w:cs="Arial"/>
                <w:szCs w:val="18"/>
              </w:rPr>
            </w:pPr>
            <w:r w:rsidRPr="00A53EE1">
              <w:rPr>
                <w:rFonts w:cs="Arial"/>
                <w:szCs w:val="18"/>
              </w:rPr>
              <w:t>South Korea</w:t>
            </w:r>
          </w:p>
        </w:tc>
        <w:tc>
          <w:tcPr>
            <w:tcW w:w="1250" w:type="pct"/>
            <w:tcBorders>
              <w:left w:val="single" w:sz="6" w:space="0" w:color="008000"/>
            </w:tcBorders>
            <w:shd w:val="clear" w:color="auto" w:fill="FFFFFF"/>
            <w:vAlign w:val="center"/>
          </w:tcPr>
          <w:p w14:paraId="75813C99" w14:textId="503647A2" w:rsidR="00BD4757" w:rsidRPr="00A53EE1" w:rsidRDefault="00BD4757" w:rsidP="00BD4757">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2367</w:t>
            </w:r>
          </w:p>
        </w:tc>
        <w:tc>
          <w:tcPr>
            <w:tcW w:w="1250" w:type="pct"/>
            <w:tcBorders>
              <w:left w:val="single" w:sz="6" w:space="0" w:color="008000"/>
            </w:tcBorders>
            <w:shd w:val="clear" w:color="auto" w:fill="FFFFFF"/>
          </w:tcPr>
          <w:p w14:paraId="6D191FCC" w14:textId="5B59835D" w:rsidR="00BD4757" w:rsidRPr="00A53EE1" w:rsidRDefault="00BD4757" w:rsidP="00BD4757">
            <w:pPr>
              <w:pStyle w:val="CETBodytext"/>
              <w:ind w:right="-1"/>
              <w:jc w:val="center"/>
              <w:rPr>
                <w:rFonts w:cs="Arial"/>
                <w:szCs w:val="18"/>
              </w:rPr>
            </w:pPr>
            <w:r w:rsidRPr="00A53EE1">
              <w:t>Cluster 12</w:t>
            </w:r>
          </w:p>
        </w:tc>
        <w:tc>
          <w:tcPr>
            <w:tcW w:w="1250" w:type="pct"/>
            <w:tcBorders>
              <w:left w:val="single" w:sz="6" w:space="0" w:color="008000"/>
            </w:tcBorders>
            <w:shd w:val="clear" w:color="auto" w:fill="FFFFFF"/>
          </w:tcPr>
          <w:p w14:paraId="453F899C" w14:textId="03E4180C" w:rsidR="00BD4757" w:rsidRPr="00A53EE1" w:rsidRDefault="00BD4757" w:rsidP="00BD4757">
            <w:pPr>
              <w:pStyle w:val="CETBodytext"/>
              <w:ind w:right="-1"/>
              <w:jc w:val="center"/>
              <w:rPr>
                <w:rFonts w:cs="Arial"/>
                <w:szCs w:val="18"/>
              </w:rPr>
            </w:pPr>
            <w:r w:rsidRPr="00A53EE1">
              <w:t>Included</w:t>
            </w:r>
          </w:p>
        </w:tc>
      </w:tr>
      <w:tr w:rsidR="00BD4757" w:rsidRPr="00A53EE1" w14:paraId="5AB416EC" w14:textId="6433D4F5" w:rsidTr="001622D3">
        <w:tc>
          <w:tcPr>
            <w:tcW w:w="1250" w:type="pct"/>
            <w:tcBorders>
              <w:right w:val="single" w:sz="6" w:space="0" w:color="008000"/>
            </w:tcBorders>
            <w:shd w:val="clear" w:color="auto" w:fill="FFFFFF"/>
            <w:vAlign w:val="center"/>
          </w:tcPr>
          <w:p w14:paraId="6E3E8093" w14:textId="0547621C" w:rsidR="00BD4757" w:rsidRPr="00A53EE1" w:rsidRDefault="00BD4757" w:rsidP="00BD4757">
            <w:pPr>
              <w:pStyle w:val="CETBodytext"/>
              <w:ind w:right="-1"/>
              <w:jc w:val="center"/>
              <w:rPr>
                <w:rFonts w:cs="Arial"/>
                <w:szCs w:val="18"/>
              </w:rPr>
            </w:pPr>
            <w:r w:rsidRPr="00A53EE1">
              <w:t>Bangladesh</w:t>
            </w:r>
          </w:p>
        </w:tc>
        <w:tc>
          <w:tcPr>
            <w:tcW w:w="1250" w:type="pct"/>
            <w:tcBorders>
              <w:left w:val="single" w:sz="6" w:space="0" w:color="008000"/>
            </w:tcBorders>
            <w:shd w:val="clear" w:color="auto" w:fill="FFFFFF"/>
            <w:vAlign w:val="center"/>
          </w:tcPr>
          <w:p w14:paraId="6ED77518" w14:textId="4D66F73B" w:rsidR="00BD4757" w:rsidRPr="00A53EE1" w:rsidRDefault="00BD4757" w:rsidP="00BD4757">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2164</w:t>
            </w:r>
          </w:p>
        </w:tc>
        <w:tc>
          <w:tcPr>
            <w:tcW w:w="1250" w:type="pct"/>
            <w:tcBorders>
              <w:left w:val="single" w:sz="6" w:space="0" w:color="008000"/>
            </w:tcBorders>
            <w:shd w:val="clear" w:color="auto" w:fill="FFFFFF"/>
          </w:tcPr>
          <w:p w14:paraId="787EB4B7" w14:textId="141173F5" w:rsidR="00BD4757" w:rsidRPr="00A53EE1" w:rsidRDefault="00BD4757" w:rsidP="00BD4757">
            <w:pPr>
              <w:pStyle w:val="CETBodytext"/>
              <w:ind w:right="-1"/>
              <w:jc w:val="center"/>
              <w:rPr>
                <w:rFonts w:cs="Arial"/>
                <w:szCs w:val="18"/>
              </w:rPr>
            </w:pPr>
            <w:r w:rsidRPr="00A53EE1">
              <w:t>Cluster 12</w:t>
            </w:r>
          </w:p>
        </w:tc>
        <w:tc>
          <w:tcPr>
            <w:tcW w:w="1250" w:type="pct"/>
            <w:tcBorders>
              <w:left w:val="single" w:sz="6" w:space="0" w:color="008000"/>
            </w:tcBorders>
            <w:shd w:val="clear" w:color="auto" w:fill="FFFFFF"/>
          </w:tcPr>
          <w:p w14:paraId="337DA8A0" w14:textId="607B3C08" w:rsidR="00BD4757" w:rsidRPr="00A53EE1" w:rsidRDefault="00BD4757" w:rsidP="00BD4757">
            <w:pPr>
              <w:pStyle w:val="CETBodytext"/>
              <w:ind w:right="-1"/>
              <w:jc w:val="center"/>
              <w:rPr>
                <w:rFonts w:cs="Arial"/>
                <w:szCs w:val="18"/>
              </w:rPr>
            </w:pPr>
            <w:r w:rsidRPr="00A53EE1">
              <w:t>Included</w:t>
            </w:r>
          </w:p>
        </w:tc>
      </w:tr>
      <w:tr w:rsidR="00BD4757" w:rsidRPr="00A53EE1" w14:paraId="27CFFEFE" w14:textId="28A4996D" w:rsidTr="001622D3">
        <w:tc>
          <w:tcPr>
            <w:tcW w:w="1250" w:type="pct"/>
            <w:tcBorders>
              <w:right w:val="single" w:sz="6" w:space="0" w:color="008000"/>
            </w:tcBorders>
            <w:shd w:val="clear" w:color="auto" w:fill="FFFFFF"/>
            <w:vAlign w:val="center"/>
          </w:tcPr>
          <w:p w14:paraId="49E049A7" w14:textId="74D83A14" w:rsidR="00BD4757" w:rsidRPr="00A53EE1" w:rsidRDefault="00BD4757" w:rsidP="00BD4757">
            <w:pPr>
              <w:pStyle w:val="CETBodytext"/>
              <w:ind w:right="-1"/>
              <w:jc w:val="center"/>
              <w:rPr>
                <w:rFonts w:cs="Arial"/>
                <w:szCs w:val="18"/>
              </w:rPr>
            </w:pPr>
            <w:r w:rsidRPr="00A53EE1">
              <w:rPr>
                <w:rFonts w:cs="Arial"/>
                <w:szCs w:val="18"/>
              </w:rPr>
              <w:t>Germany</w:t>
            </w:r>
          </w:p>
        </w:tc>
        <w:tc>
          <w:tcPr>
            <w:tcW w:w="1250" w:type="pct"/>
            <w:tcBorders>
              <w:left w:val="single" w:sz="6" w:space="0" w:color="008000"/>
            </w:tcBorders>
            <w:shd w:val="clear" w:color="auto" w:fill="FFFFFF"/>
            <w:vAlign w:val="center"/>
          </w:tcPr>
          <w:p w14:paraId="3C76776A" w14:textId="0227630F" w:rsidR="00BD4757" w:rsidRPr="00A53EE1" w:rsidRDefault="00BD4757" w:rsidP="00BD4757">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1039</w:t>
            </w:r>
          </w:p>
        </w:tc>
        <w:tc>
          <w:tcPr>
            <w:tcW w:w="1250" w:type="pct"/>
            <w:tcBorders>
              <w:left w:val="single" w:sz="6" w:space="0" w:color="008000"/>
            </w:tcBorders>
            <w:shd w:val="clear" w:color="auto" w:fill="FFFFFF"/>
          </w:tcPr>
          <w:p w14:paraId="287E8C60" w14:textId="7C9A4A6D" w:rsidR="00BD4757" w:rsidRPr="00A53EE1" w:rsidRDefault="00BD4757" w:rsidP="00BD4757">
            <w:pPr>
              <w:pStyle w:val="CETBodytext"/>
              <w:ind w:right="-1"/>
              <w:jc w:val="center"/>
              <w:rPr>
                <w:rFonts w:cs="Arial"/>
                <w:szCs w:val="18"/>
              </w:rPr>
            </w:pPr>
            <w:r w:rsidRPr="00A53EE1">
              <w:t>Cluster 12</w:t>
            </w:r>
          </w:p>
        </w:tc>
        <w:tc>
          <w:tcPr>
            <w:tcW w:w="1250" w:type="pct"/>
            <w:tcBorders>
              <w:left w:val="single" w:sz="6" w:space="0" w:color="008000"/>
            </w:tcBorders>
            <w:shd w:val="clear" w:color="auto" w:fill="FFFFFF"/>
          </w:tcPr>
          <w:p w14:paraId="4D9EB467" w14:textId="72BAD72B" w:rsidR="00BD4757" w:rsidRPr="00A53EE1" w:rsidRDefault="00BD4757" w:rsidP="00BD4757">
            <w:pPr>
              <w:pStyle w:val="CETBodytext"/>
              <w:ind w:right="-1"/>
              <w:jc w:val="center"/>
              <w:rPr>
                <w:rFonts w:cs="Arial"/>
                <w:szCs w:val="18"/>
              </w:rPr>
            </w:pPr>
            <w:r w:rsidRPr="00A53EE1">
              <w:t>Included</w:t>
            </w:r>
          </w:p>
        </w:tc>
      </w:tr>
      <w:tr w:rsidR="00BD4757" w:rsidRPr="00A53EE1" w14:paraId="713D8D18" w14:textId="4A438665" w:rsidTr="001622D3">
        <w:tc>
          <w:tcPr>
            <w:tcW w:w="1250" w:type="pct"/>
            <w:tcBorders>
              <w:right w:val="single" w:sz="6" w:space="0" w:color="008000"/>
            </w:tcBorders>
            <w:shd w:val="clear" w:color="auto" w:fill="FFFFFF"/>
            <w:vAlign w:val="center"/>
          </w:tcPr>
          <w:p w14:paraId="717615CF" w14:textId="4C0F1ABA" w:rsidR="00BD4757" w:rsidRPr="00A53EE1" w:rsidRDefault="00BD4757" w:rsidP="00BD4757">
            <w:pPr>
              <w:pStyle w:val="CETBodytext"/>
              <w:ind w:right="-1"/>
              <w:jc w:val="center"/>
              <w:rPr>
                <w:rFonts w:cs="Arial"/>
                <w:szCs w:val="18"/>
              </w:rPr>
            </w:pPr>
            <w:r w:rsidRPr="00A53EE1">
              <w:rPr>
                <w:rFonts w:cs="Arial"/>
                <w:szCs w:val="18"/>
              </w:rPr>
              <w:t>Vietnam</w:t>
            </w:r>
          </w:p>
        </w:tc>
        <w:tc>
          <w:tcPr>
            <w:tcW w:w="1250" w:type="pct"/>
            <w:tcBorders>
              <w:left w:val="single" w:sz="6" w:space="0" w:color="008000"/>
            </w:tcBorders>
            <w:shd w:val="clear" w:color="auto" w:fill="FFFFFF"/>
            <w:vAlign w:val="center"/>
          </w:tcPr>
          <w:p w14:paraId="5A2FA799" w14:textId="3C0FFB02" w:rsidR="00BD4757" w:rsidRPr="00A53EE1" w:rsidRDefault="00BD4757" w:rsidP="00BD4757">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0588</w:t>
            </w:r>
          </w:p>
        </w:tc>
        <w:tc>
          <w:tcPr>
            <w:tcW w:w="1250" w:type="pct"/>
            <w:tcBorders>
              <w:left w:val="single" w:sz="6" w:space="0" w:color="008000"/>
            </w:tcBorders>
            <w:shd w:val="clear" w:color="auto" w:fill="FFFFFF"/>
          </w:tcPr>
          <w:p w14:paraId="103CBCE9" w14:textId="4626424A" w:rsidR="00BD4757" w:rsidRPr="00A53EE1" w:rsidRDefault="00BD4757" w:rsidP="00BD4757">
            <w:pPr>
              <w:pStyle w:val="CETBodytext"/>
              <w:ind w:right="-1"/>
              <w:jc w:val="center"/>
              <w:rPr>
                <w:rFonts w:cs="Arial"/>
                <w:szCs w:val="18"/>
              </w:rPr>
            </w:pPr>
            <w:r w:rsidRPr="00A53EE1">
              <w:t>Cluster 12</w:t>
            </w:r>
          </w:p>
        </w:tc>
        <w:tc>
          <w:tcPr>
            <w:tcW w:w="1250" w:type="pct"/>
            <w:tcBorders>
              <w:left w:val="single" w:sz="6" w:space="0" w:color="008000"/>
            </w:tcBorders>
            <w:shd w:val="clear" w:color="auto" w:fill="FFFFFF"/>
          </w:tcPr>
          <w:p w14:paraId="1B87B52C" w14:textId="04DD8BC7" w:rsidR="00BD4757" w:rsidRPr="00A53EE1" w:rsidRDefault="00BD4757" w:rsidP="00BD4757">
            <w:pPr>
              <w:pStyle w:val="CETBodytext"/>
              <w:ind w:right="-1"/>
              <w:jc w:val="center"/>
              <w:rPr>
                <w:rFonts w:cs="Arial"/>
                <w:szCs w:val="18"/>
              </w:rPr>
            </w:pPr>
            <w:r w:rsidRPr="00A53EE1">
              <w:t>Included</w:t>
            </w:r>
          </w:p>
        </w:tc>
      </w:tr>
      <w:tr w:rsidR="00BD4757" w:rsidRPr="00A53EE1" w14:paraId="136F41C9" w14:textId="1F7A4D0D" w:rsidTr="001622D3">
        <w:tc>
          <w:tcPr>
            <w:tcW w:w="1250" w:type="pct"/>
            <w:tcBorders>
              <w:right w:val="single" w:sz="6" w:space="0" w:color="008000"/>
            </w:tcBorders>
            <w:shd w:val="clear" w:color="auto" w:fill="FFFFFF"/>
            <w:vAlign w:val="center"/>
          </w:tcPr>
          <w:p w14:paraId="194A9DE6" w14:textId="229A88B5" w:rsidR="00BD4757" w:rsidRPr="00A53EE1" w:rsidRDefault="00BD4757" w:rsidP="00BD4757">
            <w:pPr>
              <w:pStyle w:val="CETBodytext"/>
              <w:ind w:right="-1"/>
              <w:jc w:val="center"/>
              <w:rPr>
                <w:rFonts w:cs="Arial"/>
                <w:szCs w:val="18"/>
              </w:rPr>
            </w:pPr>
            <w:r w:rsidRPr="00A53EE1">
              <w:rPr>
                <w:rFonts w:cs="Arial"/>
                <w:szCs w:val="18"/>
              </w:rPr>
              <w:t>Poland</w:t>
            </w:r>
          </w:p>
        </w:tc>
        <w:tc>
          <w:tcPr>
            <w:tcW w:w="1250" w:type="pct"/>
            <w:tcBorders>
              <w:left w:val="single" w:sz="6" w:space="0" w:color="008000"/>
            </w:tcBorders>
            <w:shd w:val="clear" w:color="auto" w:fill="FFFFFF"/>
            <w:vAlign w:val="center"/>
          </w:tcPr>
          <w:p w14:paraId="5E984A82" w14:textId="4C1D5D49" w:rsidR="00BD4757" w:rsidRPr="00A53EE1" w:rsidRDefault="00BD4757" w:rsidP="00BD4757">
            <w:pPr>
              <w:pStyle w:val="CETBodytext"/>
              <w:ind w:right="-1"/>
              <w:jc w:val="center"/>
              <w:rPr>
                <w:rFonts w:cs="Arial"/>
                <w:szCs w:val="18"/>
              </w:rPr>
            </w:pPr>
            <w:r w:rsidRPr="00A53EE1">
              <w:rPr>
                <w:rFonts w:cs="Arial"/>
                <w:szCs w:val="18"/>
              </w:rPr>
              <w:t>- 0</w:t>
            </w:r>
            <w:r w:rsidR="00B35CD1">
              <w:rPr>
                <w:rFonts w:cs="Arial"/>
                <w:szCs w:val="18"/>
              </w:rPr>
              <w:t>,</w:t>
            </w:r>
            <w:r w:rsidRPr="00A53EE1">
              <w:rPr>
                <w:rFonts w:cs="Arial"/>
                <w:szCs w:val="18"/>
              </w:rPr>
              <w:t>04</w:t>
            </w:r>
            <w:r w:rsidR="002C6C76" w:rsidRPr="00A53EE1">
              <w:rPr>
                <w:rFonts w:cs="Arial"/>
                <w:szCs w:val="18"/>
              </w:rPr>
              <w:t>04</w:t>
            </w:r>
          </w:p>
        </w:tc>
        <w:tc>
          <w:tcPr>
            <w:tcW w:w="1250" w:type="pct"/>
            <w:tcBorders>
              <w:left w:val="single" w:sz="6" w:space="0" w:color="008000"/>
            </w:tcBorders>
            <w:shd w:val="clear" w:color="auto" w:fill="FFFFFF"/>
          </w:tcPr>
          <w:p w14:paraId="01C5856B" w14:textId="44C9F31D" w:rsidR="00BD4757" w:rsidRPr="00A53EE1" w:rsidRDefault="00BD4757" w:rsidP="00BD4757">
            <w:pPr>
              <w:pStyle w:val="CETBodytext"/>
              <w:ind w:right="-1"/>
              <w:jc w:val="center"/>
              <w:rPr>
                <w:rFonts w:cs="Arial"/>
                <w:szCs w:val="18"/>
              </w:rPr>
            </w:pPr>
            <w:r w:rsidRPr="00A53EE1">
              <w:t>Cluster 12</w:t>
            </w:r>
          </w:p>
        </w:tc>
        <w:tc>
          <w:tcPr>
            <w:tcW w:w="1250" w:type="pct"/>
            <w:tcBorders>
              <w:left w:val="single" w:sz="6" w:space="0" w:color="008000"/>
            </w:tcBorders>
            <w:shd w:val="clear" w:color="auto" w:fill="FFFFFF"/>
          </w:tcPr>
          <w:p w14:paraId="31EAB621" w14:textId="3DA0F19A" w:rsidR="00BD4757" w:rsidRPr="00A53EE1" w:rsidRDefault="00BD4757" w:rsidP="00BD4757">
            <w:pPr>
              <w:pStyle w:val="CETBodytext"/>
              <w:ind w:right="-1"/>
              <w:jc w:val="center"/>
              <w:rPr>
                <w:rFonts w:cs="Arial"/>
                <w:szCs w:val="18"/>
              </w:rPr>
            </w:pPr>
            <w:r w:rsidRPr="00A53EE1">
              <w:rPr>
                <w:rFonts w:cs="Arial"/>
                <w:szCs w:val="18"/>
              </w:rPr>
              <w:t>Excluded</w:t>
            </w:r>
          </w:p>
        </w:tc>
      </w:tr>
      <w:tr w:rsidR="00570EF1" w:rsidRPr="00A53EE1" w14:paraId="4706F053" w14:textId="77777777" w:rsidTr="001622D3">
        <w:tc>
          <w:tcPr>
            <w:tcW w:w="1250" w:type="pct"/>
            <w:tcBorders>
              <w:right w:val="single" w:sz="6" w:space="0" w:color="008000"/>
            </w:tcBorders>
            <w:shd w:val="clear" w:color="auto" w:fill="FFFFFF"/>
            <w:vAlign w:val="center"/>
          </w:tcPr>
          <w:p w14:paraId="1B5316C3" w14:textId="52CDFCCD" w:rsidR="00570EF1" w:rsidRPr="00A53EE1" w:rsidRDefault="002C6C76" w:rsidP="00570EF1">
            <w:pPr>
              <w:pStyle w:val="CETBodytext"/>
              <w:ind w:right="-1"/>
              <w:jc w:val="center"/>
              <w:rPr>
                <w:rFonts w:cs="Arial"/>
                <w:szCs w:val="18"/>
              </w:rPr>
            </w:pPr>
            <w:r w:rsidRPr="00A53EE1">
              <w:rPr>
                <w:rFonts w:cs="Arial"/>
                <w:szCs w:val="18"/>
              </w:rPr>
              <w:t>Afghanistan</w:t>
            </w:r>
          </w:p>
        </w:tc>
        <w:tc>
          <w:tcPr>
            <w:tcW w:w="1250" w:type="pct"/>
            <w:tcBorders>
              <w:left w:val="single" w:sz="6" w:space="0" w:color="008000"/>
            </w:tcBorders>
            <w:shd w:val="clear" w:color="auto" w:fill="FFFFFF"/>
            <w:vAlign w:val="center"/>
          </w:tcPr>
          <w:p w14:paraId="5D9CF39B" w14:textId="1D909708" w:rsidR="00570EF1" w:rsidRPr="00A53EE1" w:rsidRDefault="002C6C76" w:rsidP="00570EF1">
            <w:pPr>
              <w:pStyle w:val="CETBodytext"/>
              <w:ind w:right="-1"/>
              <w:jc w:val="center"/>
              <w:rPr>
                <w:rFonts w:cs="Arial"/>
                <w:szCs w:val="18"/>
              </w:rPr>
            </w:pPr>
            <w:r w:rsidRPr="00A53EE1">
              <w:rPr>
                <w:rFonts w:cs="Arial"/>
                <w:szCs w:val="18"/>
              </w:rPr>
              <w:t>0</w:t>
            </w:r>
            <w:r w:rsidR="00B35CD1">
              <w:rPr>
                <w:rFonts w:cs="Arial"/>
                <w:szCs w:val="18"/>
              </w:rPr>
              <w:t>,</w:t>
            </w:r>
            <w:r w:rsidR="004B264D" w:rsidRPr="00A53EE1">
              <w:rPr>
                <w:rFonts w:cs="Arial"/>
                <w:szCs w:val="18"/>
              </w:rPr>
              <w:t>4990</w:t>
            </w:r>
          </w:p>
        </w:tc>
        <w:tc>
          <w:tcPr>
            <w:tcW w:w="1250" w:type="pct"/>
            <w:tcBorders>
              <w:left w:val="single" w:sz="6" w:space="0" w:color="008000"/>
            </w:tcBorders>
            <w:shd w:val="clear" w:color="auto" w:fill="FFFFFF"/>
          </w:tcPr>
          <w:p w14:paraId="693A670F" w14:textId="483DC179" w:rsidR="00570EF1" w:rsidRPr="00A53EE1" w:rsidRDefault="00570EF1" w:rsidP="00570EF1">
            <w:pPr>
              <w:pStyle w:val="CETBodytext"/>
              <w:ind w:right="-1"/>
              <w:jc w:val="center"/>
            </w:pPr>
            <w:r w:rsidRPr="00A53EE1">
              <w:t>Cluster 32</w:t>
            </w:r>
          </w:p>
        </w:tc>
        <w:tc>
          <w:tcPr>
            <w:tcW w:w="1250" w:type="pct"/>
            <w:tcBorders>
              <w:left w:val="single" w:sz="6" w:space="0" w:color="008000"/>
            </w:tcBorders>
            <w:shd w:val="clear" w:color="auto" w:fill="FFFFFF"/>
          </w:tcPr>
          <w:p w14:paraId="00909DEB" w14:textId="77777777" w:rsidR="00570EF1" w:rsidRPr="00A53EE1" w:rsidRDefault="00570EF1" w:rsidP="00570EF1">
            <w:pPr>
              <w:pStyle w:val="CETBodytext"/>
              <w:ind w:right="-1"/>
              <w:jc w:val="center"/>
              <w:rPr>
                <w:rFonts w:cs="Arial"/>
                <w:szCs w:val="18"/>
              </w:rPr>
            </w:pPr>
            <w:r w:rsidRPr="00A53EE1">
              <w:rPr>
                <w:rFonts w:cs="Arial"/>
                <w:szCs w:val="18"/>
              </w:rPr>
              <w:t>Included</w:t>
            </w:r>
          </w:p>
        </w:tc>
      </w:tr>
      <w:tr w:rsidR="00570EF1" w:rsidRPr="00A53EE1" w14:paraId="2C792136" w14:textId="77777777" w:rsidTr="001622D3">
        <w:tc>
          <w:tcPr>
            <w:tcW w:w="1250" w:type="pct"/>
            <w:tcBorders>
              <w:right w:val="single" w:sz="6" w:space="0" w:color="008000"/>
            </w:tcBorders>
            <w:shd w:val="clear" w:color="auto" w:fill="FFFFFF"/>
            <w:vAlign w:val="center"/>
          </w:tcPr>
          <w:p w14:paraId="703E8395" w14:textId="37D49ABD" w:rsidR="00570EF1" w:rsidRPr="00A53EE1" w:rsidRDefault="002C6C76" w:rsidP="00570EF1">
            <w:pPr>
              <w:pStyle w:val="CETBodytext"/>
              <w:ind w:right="-1"/>
              <w:jc w:val="center"/>
              <w:rPr>
                <w:rFonts w:cs="Arial"/>
                <w:szCs w:val="18"/>
              </w:rPr>
            </w:pPr>
            <w:r w:rsidRPr="00A53EE1">
              <w:rPr>
                <w:rFonts w:cs="Arial"/>
                <w:szCs w:val="18"/>
              </w:rPr>
              <w:t>Nepal</w:t>
            </w:r>
          </w:p>
        </w:tc>
        <w:tc>
          <w:tcPr>
            <w:tcW w:w="1250" w:type="pct"/>
            <w:tcBorders>
              <w:left w:val="single" w:sz="6" w:space="0" w:color="008000"/>
            </w:tcBorders>
            <w:shd w:val="clear" w:color="auto" w:fill="FFFFFF"/>
            <w:vAlign w:val="center"/>
          </w:tcPr>
          <w:p w14:paraId="294AD1DB" w14:textId="4EFEDBC2" w:rsidR="00570EF1" w:rsidRPr="00A53EE1" w:rsidRDefault="004B264D" w:rsidP="00570EF1">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4953</w:t>
            </w:r>
          </w:p>
        </w:tc>
        <w:tc>
          <w:tcPr>
            <w:tcW w:w="1250" w:type="pct"/>
            <w:tcBorders>
              <w:left w:val="single" w:sz="6" w:space="0" w:color="008000"/>
            </w:tcBorders>
            <w:shd w:val="clear" w:color="auto" w:fill="FFFFFF"/>
          </w:tcPr>
          <w:p w14:paraId="36619999" w14:textId="5D46602D" w:rsidR="00570EF1" w:rsidRPr="00A53EE1" w:rsidRDefault="00570EF1" w:rsidP="00570EF1">
            <w:pPr>
              <w:pStyle w:val="CETBodytext"/>
              <w:ind w:right="-1"/>
              <w:jc w:val="center"/>
            </w:pPr>
            <w:r w:rsidRPr="00A53EE1">
              <w:t>Cluster 32</w:t>
            </w:r>
          </w:p>
        </w:tc>
        <w:tc>
          <w:tcPr>
            <w:tcW w:w="1250" w:type="pct"/>
            <w:tcBorders>
              <w:left w:val="single" w:sz="6" w:space="0" w:color="008000"/>
            </w:tcBorders>
            <w:shd w:val="clear" w:color="auto" w:fill="FFFFFF"/>
          </w:tcPr>
          <w:p w14:paraId="594E50A8" w14:textId="77777777" w:rsidR="00570EF1" w:rsidRPr="00A53EE1" w:rsidRDefault="00570EF1" w:rsidP="00570EF1">
            <w:pPr>
              <w:pStyle w:val="CETBodytext"/>
              <w:ind w:right="-1"/>
              <w:jc w:val="center"/>
              <w:rPr>
                <w:rFonts w:cs="Arial"/>
                <w:szCs w:val="18"/>
              </w:rPr>
            </w:pPr>
            <w:r w:rsidRPr="00A53EE1">
              <w:rPr>
                <w:rFonts w:cs="Arial"/>
                <w:szCs w:val="18"/>
              </w:rPr>
              <w:t>Included</w:t>
            </w:r>
          </w:p>
        </w:tc>
      </w:tr>
      <w:tr w:rsidR="00570EF1" w:rsidRPr="00A53EE1" w14:paraId="27F3F68B" w14:textId="77777777" w:rsidTr="001622D3">
        <w:tc>
          <w:tcPr>
            <w:tcW w:w="1250" w:type="pct"/>
            <w:tcBorders>
              <w:right w:val="single" w:sz="6" w:space="0" w:color="008000"/>
            </w:tcBorders>
            <w:shd w:val="clear" w:color="auto" w:fill="FFFFFF"/>
            <w:vAlign w:val="center"/>
          </w:tcPr>
          <w:p w14:paraId="3DFBE8D6" w14:textId="118E733D" w:rsidR="00570EF1" w:rsidRPr="00A53EE1" w:rsidRDefault="002C6C76" w:rsidP="00570EF1">
            <w:pPr>
              <w:pStyle w:val="CETBodytext"/>
              <w:ind w:right="-1"/>
              <w:jc w:val="center"/>
              <w:rPr>
                <w:rFonts w:cs="Arial"/>
                <w:szCs w:val="18"/>
              </w:rPr>
            </w:pPr>
            <w:r w:rsidRPr="00A53EE1">
              <w:rPr>
                <w:rFonts w:cs="Arial"/>
                <w:szCs w:val="18"/>
              </w:rPr>
              <w:t>Turkey</w:t>
            </w:r>
          </w:p>
        </w:tc>
        <w:tc>
          <w:tcPr>
            <w:tcW w:w="1250" w:type="pct"/>
            <w:tcBorders>
              <w:left w:val="single" w:sz="6" w:space="0" w:color="008000"/>
            </w:tcBorders>
            <w:shd w:val="clear" w:color="auto" w:fill="FFFFFF"/>
            <w:vAlign w:val="center"/>
          </w:tcPr>
          <w:p w14:paraId="042039E1" w14:textId="224170C1" w:rsidR="00570EF1" w:rsidRPr="00A53EE1" w:rsidRDefault="004B264D" w:rsidP="00570EF1">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4266</w:t>
            </w:r>
          </w:p>
        </w:tc>
        <w:tc>
          <w:tcPr>
            <w:tcW w:w="1250" w:type="pct"/>
            <w:tcBorders>
              <w:left w:val="single" w:sz="6" w:space="0" w:color="008000"/>
            </w:tcBorders>
            <w:shd w:val="clear" w:color="auto" w:fill="FFFFFF"/>
          </w:tcPr>
          <w:p w14:paraId="635921EF" w14:textId="2E9270B1" w:rsidR="00570EF1" w:rsidRPr="00A53EE1" w:rsidRDefault="00570EF1" w:rsidP="00570EF1">
            <w:pPr>
              <w:pStyle w:val="CETBodytext"/>
              <w:ind w:right="-1"/>
              <w:jc w:val="center"/>
            </w:pPr>
            <w:r w:rsidRPr="00A53EE1">
              <w:t>Cluster 32</w:t>
            </w:r>
          </w:p>
        </w:tc>
        <w:tc>
          <w:tcPr>
            <w:tcW w:w="1250" w:type="pct"/>
            <w:tcBorders>
              <w:left w:val="single" w:sz="6" w:space="0" w:color="008000"/>
            </w:tcBorders>
            <w:shd w:val="clear" w:color="auto" w:fill="FFFFFF"/>
          </w:tcPr>
          <w:p w14:paraId="6D77CCAD" w14:textId="77777777" w:rsidR="00570EF1" w:rsidRPr="00A53EE1" w:rsidRDefault="00570EF1" w:rsidP="00570EF1">
            <w:pPr>
              <w:pStyle w:val="CETBodytext"/>
              <w:ind w:right="-1"/>
              <w:jc w:val="center"/>
              <w:rPr>
                <w:rFonts w:cs="Arial"/>
                <w:szCs w:val="18"/>
              </w:rPr>
            </w:pPr>
            <w:r w:rsidRPr="00A53EE1">
              <w:rPr>
                <w:rFonts w:cs="Arial"/>
                <w:szCs w:val="18"/>
              </w:rPr>
              <w:t>Included</w:t>
            </w:r>
          </w:p>
        </w:tc>
      </w:tr>
      <w:tr w:rsidR="00570EF1" w:rsidRPr="00A53EE1" w14:paraId="2A1C3405" w14:textId="77777777" w:rsidTr="001622D3">
        <w:tc>
          <w:tcPr>
            <w:tcW w:w="1250" w:type="pct"/>
            <w:tcBorders>
              <w:right w:val="single" w:sz="6" w:space="0" w:color="008000"/>
            </w:tcBorders>
            <w:shd w:val="clear" w:color="auto" w:fill="FFFFFF"/>
            <w:vAlign w:val="center"/>
          </w:tcPr>
          <w:p w14:paraId="55460956" w14:textId="54675556" w:rsidR="00570EF1" w:rsidRPr="00A53EE1" w:rsidRDefault="002C6C76" w:rsidP="00570EF1">
            <w:pPr>
              <w:pStyle w:val="CETBodytext"/>
              <w:ind w:right="-1"/>
              <w:jc w:val="center"/>
              <w:rPr>
                <w:rFonts w:cs="Arial"/>
                <w:szCs w:val="18"/>
              </w:rPr>
            </w:pPr>
            <w:r w:rsidRPr="00A53EE1">
              <w:rPr>
                <w:rFonts w:cs="Arial"/>
                <w:szCs w:val="18"/>
              </w:rPr>
              <w:t>Iran</w:t>
            </w:r>
          </w:p>
        </w:tc>
        <w:tc>
          <w:tcPr>
            <w:tcW w:w="1250" w:type="pct"/>
            <w:tcBorders>
              <w:left w:val="single" w:sz="6" w:space="0" w:color="008000"/>
            </w:tcBorders>
            <w:shd w:val="clear" w:color="auto" w:fill="FFFFFF"/>
            <w:vAlign w:val="center"/>
          </w:tcPr>
          <w:p w14:paraId="7AE11615" w14:textId="438F5655" w:rsidR="00570EF1" w:rsidRPr="00A53EE1" w:rsidRDefault="004B264D" w:rsidP="00570EF1">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4196</w:t>
            </w:r>
          </w:p>
        </w:tc>
        <w:tc>
          <w:tcPr>
            <w:tcW w:w="1250" w:type="pct"/>
            <w:tcBorders>
              <w:left w:val="single" w:sz="6" w:space="0" w:color="008000"/>
            </w:tcBorders>
            <w:shd w:val="clear" w:color="auto" w:fill="FFFFFF"/>
          </w:tcPr>
          <w:p w14:paraId="28192EC6" w14:textId="0CE596CA" w:rsidR="00570EF1" w:rsidRPr="00A53EE1" w:rsidRDefault="00570EF1" w:rsidP="00570EF1">
            <w:pPr>
              <w:pStyle w:val="CETBodytext"/>
              <w:ind w:right="-1"/>
              <w:jc w:val="center"/>
            </w:pPr>
            <w:r w:rsidRPr="00A53EE1">
              <w:t>Cluster 32</w:t>
            </w:r>
          </w:p>
        </w:tc>
        <w:tc>
          <w:tcPr>
            <w:tcW w:w="1250" w:type="pct"/>
            <w:tcBorders>
              <w:left w:val="single" w:sz="6" w:space="0" w:color="008000"/>
            </w:tcBorders>
            <w:shd w:val="clear" w:color="auto" w:fill="FFFFFF"/>
          </w:tcPr>
          <w:p w14:paraId="6924213E" w14:textId="77777777" w:rsidR="00570EF1" w:rsidRPr="00A53EE1" w:rsidRDefault="00570EF1" w:rsidP="00570EF1">
            <w:pPr>
              <w:pStyle w:val="CETBodytext"/>
              <w:ind w:right="-1"/>
              <w:jc w:val="center"/>
              <w:rPr>
                <w:rFonts w:cs="Arial"/>
                <w:szCs w:val="18"/>
              </w:rPr>
            </w:pPr>
            <w:r w:rsidRPr="00A53EE1">
              <w:rPr>
                <w:rFonts w:cs="Arial"/>
                <w:szCs w:val="18"/>
              </w:rPr>
              <w:t>Included</w:t>
            </w:r>
          </w:p>
        </w:tc>
      </w:tr>
      <w:tr w:rsidR="004B264D" w:rsidRPr="00A53EE1" w14:paraId="379437CF" w14:textId="77777777" w:rsidTr="001622D3">
        <w:tc>
          <w:tcPr>
            <w:tcW w:w="1250" w:type="pct"/>
            <w:tcBorders>
              <w:right w:val="single" w:sz="6" w:space="0" w:color="008000"/>
            </w:tcBorders>
            <w:shd w:val="clear" w:color="auto" w:fill="FFFFFF"/>
            <w:vAlign w:val="center"/>
          </w:tcPr>
          <w:p w14:paraId="17047E42" w14:textId="7FEB8E40" w:rsidR="004B264D" w:rsidRPr="00A53EE1" w:rsidRDefault="004B264D" w:rsidP="004B264D">
            <w:pPr>
              <w:pStyle w:val="CETBodytext"/>
              <w:ind w:right="-1"/>
              <w:jc w:val="center"/>
              <w:rPr>
                <w:rFonts w:cs="Arial"/>
                <w:szCs w:val="18"/>
              </w:rPr>
            </w:pPr>
            <w:r w:rsidRPr="00A53EE1">
              <w:rPr>
                <w:rFonts w:cs="Arial"/>
                <w:szCs w:val="18"/>
              </w:rPr>
              <w:t>Pakistan</w:t>
            </w:r>
          </w:p>
        </w:tc>
        <w:tc>
          <w:tcPr>
            <w:tcW w:w="1250" w:type="pct"/>
            <w:tcBorders>
              <w:left w:val="single" w:sz="6" w:space="0" w:color="008000"/>
            </w:tcBorders>
            <w:shd w:val="clear" w:color="auto" w:fill="FFFFFF"/>
            <w:vAlign w:val="center"/>
          </w:tcPr>
          <w:p w14:paraId="226C66AC" w14:textId="6CEFD9E3" w:rsidR="004B264D" w:rsidRPr="00A53EE1" w:rsidRDefault="004B264D" w:rsidP="004B264D">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4061</w:t>
            </w:r>
          </w:p>
        </w:tc>
        <w:tc>
          <w:tcPr>
            <w:tcW w:w="1250" w:type="pct"/>
            <w:tcBorders>
              <w:left w:val="single" w:sz="6" w:space="0" w:color="008000"/>
            </w:tcBorders>
            <w:shd w:val="clear" w:color="auto" w:fill="FFFFFF"/>
          </w:tcPr>
          <w:p w14:paraId="33AB8CE8" w14:textId="78CF5439" w:rsidR="004B264D" w:rsidRPr="00A53EE1" w:rsidRDefault="004B264D" w:rsidP="004B264D">
            <w:pPr>
              <w:pStyle w:val="CETBodytext"/>
              <w:ind w:right="-1"/>
              <w:jc w:val="center"/>
            </w:pPr>
            <w:r w:rsidRPr="00A53EE1">
              <w:t>Cluster 32</w:t>
            </w:r>
          </w:p>
        </w:tc>
        <w:tc>
          <w:tcPr>
            <w:tcW w:w="1250" w:type="pct"/>
            <w:tcBorders>
              <w:left w:val="single" w:sz="6" w:space="0" w:color="008000"/>
            </w:tcBorders>
            <w:shd w:val="clear" w:color="auto" w:fill="FFFFFF"/>
          </w:tcPr>
          <w:p w14:paraId="57497181" w14:textId="44DF04CB" w:rsidR="004B264D" w:rsidRPr="00A53EE1" w:rsidRDefault="004B264D" w:rsidP="004B264D">
            <w:pPr>
              <w:pStyle w:val="CETBodytext"/>
              <w:ind w:right="-1"/>
              <w:jc w:val="center"/>
              <w:rPr>
                <w:rFonts w:cs="Arial"/>
                <w:szCs w:val="18"/>
              </w:rPr>
            </w:pPr>
            <w:r w:rsidRPr="00A53EE1">
              <w:rPr>
                <w:rFonts w:cs="Arial"/>
                <w:szCs w:val="18"/>
              </w:rPr>
              <w:t>Included</w:t>
            </w:r>
          </w:p>
        </w:tc>
      </w:tr>
      <w:tr w:rsidR="004B264D" w:rsidRPr="00A53EE1" w14:paraId="769992FC" w14:textId="77777777" w:rsidTr="001622D3">
        <w:tc>
          <w:tcPr>
            <w:tcW w:w="1250" w:type="pct"/>
            <w:tcBorders>
              <w:right w:val="single" w:sz="6" w:space="0" w:color="008000"/>
            </w:tcBorders>
            <w:shd w:val="clear" w:color="auto" w:fill="FFFFFF"/>
            <w:vAlign w:val="center"/>
          </w:tcPr>
          <w:p w14:paraId="52044761" w14:textId="6F43368A" w:rsidR="004B264D" w:rsidRPr="00A53EE1" w:rsidRDefault="004B264D" w:rsidP="004B264D">
            <w:pPr>
              <w:pStyle w:val="CETBodytext"/>
              <w:ind w:right="-1"/>
              <w:jc w:val="center"/>
              <w:rPr>
                <w:rFonts w:cs="Arial"/>
                <w:szCs w:val="18"/>
              </w:rPr>
            </w:pPr>
            <w:r w:rsidRPr="00A53EE1">
              <w:rPr>
                <w:rFonts w:cs="Arial"/>
                <w:szCs w:val="18"/>
              </w:rPr>
              <w:t>Sri Lanka</w:t>
            </w:r>
          </w:p>
        </w:tc>
        <w:tc>
          <w:tcPr>
            <w:tcW w:w="1250" w:type="pct"/>
            <w:tcBorders>
              <w:left w:val="single" w:sz="6" w:space="0" w:color="008000"/>
            </w:tcBorders>
            <w:shd w:val="clear" w:color="auto" w:fill="FFFFFF"/>
            <w:vAlign w:val="center"/>
          </w:tcPr>
          <w:p w14:paraId="09332889" w14:textId="4886BF98" w:rsidR="004B264D" w:rsidRPr="00A53EE1" w:rsidRDefault="004B264D" w:rsidP="004B264D">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1781</w:t>
            </w:r>
          </w:p>
        </w:tc>
        <w:tc>
          <w:tcPr>
            <w:tcW w:w="1250" w:type="pct"/>
            <w:tcBorders>
              <w:left w:val="single" w:sz="6" w:space="0" w:color="008000"/>
            </w:tcBorders>
            <w:shd w:val="clear" w:color="auto" w:fill="FFFFFF"/>
          </w:tcPr>
          <w:p w14:paraId="0AA6D083" w14:textId="00905149" w:rsidR="004B264D" w:rsidRPr="00A53EE1" w:rsidRDefault="004B264D" w:rsidP="004B264D">
            <w:pPr>
              <w:pStyle w:val="CETBodytext"/>
              <w:ind w:right="-1"/>
              <w:jc w:val="center"/>
            </w:pPr>
            <w:r w:rsidRPr="00A53EE1">
              <w:t>Cluster 32</w:t>
            </w:r>
          </w:p>
        </w:tc>
        <w:tc>
          <w:tcPr>
            <w:tcW w:w="1250" w:type="pct"/>
            <w:tcBorders>
              <w:left w:val="single" w:sz="6" w:space="0" w:color="008000"/>
            </w:tcBorders>
            <w:shd w:val="clear" w:color="auto" w:fill="FFFFFF"/>
          </w:tcPr>
          <w:p w14:paraId="3C99E2AB" w14:textId="3B8B0874" w:rsidR="004B264D" w:rsidRPr="00A53EE1" w:rsidRDefault="004B264D" w:rsidP="004B264D">
            <w:pPr>
              <w:pStyle w:val="CETBodytext"/>
              <w:ind w:right="-1"/>
              <w:jc w:val="center"/>
              <w:rPr>
                <w:rFonts w:cs="Arial"/>
                <w:szCs w:val="18"/>
              </w:rPr>
            </w:pPr>
            <w:r w:rsidRPr="00A53EE1">
              <w:rPr>
                <w:rFonts w:cs="Arial"/>
                <w:szCs w:val="18"/>
              </w:rPr>
              <w:t>Included</w:t>
            </w:r>
          </w:p>
        </w:tc>
      </w:tr>
      <w:tr w:rsidR="004B264D" w:rsidRPr="00A53EE1" w14:paraId="4101D383" w14:textId="77777777" w:rsidTr="001622D3">
        <w:tc>
          <w:tcPr>
            <w:tcW w:w="1250" w:type="pct"/>
            <w:tcBorders>
              <w:right w:val="single" w:sz="6" w:space="0" w:color="008000"/>
            </w:tcBorders>
            <w:shd w:val="clear" w:color="auto" w:fill="FFFFFF"/>
            <w:vAlign w:val="center"/>
          </w:tcPr>
          <w:p w14:paraId="4C2DC0C9" w14:textId="096E123D" w:rsidR="004B264D" w:rsidRPr="00A53EE1" w:rsidRDefault="004B264D" w:rsidP="004B264D">
            <w:pPr>
              <w:pStyle w:val="CETBodytext"/>
              <w:ind w:right="-1"/>
              <w:jc w:val="center"/>
              <w:rPr>
                <w:rFonts w:cs="Arial"/>
                <w:szCs w:val="18"/>
              </w:rPr>
            </w:pPr>
            <w:r w:rsidRPr="00A53EE1">
              <w:rPr>
                <w:rFonts w:cs="Arial"/>
                <w:szCs w:val="18"/>
              </w:rPr>
              <w:t>Alegria</w:t>
            </w:r>
          </w:p>
        </w:tc>
        <w:tc>
          <w:tcPr>
            <w:tcW w:w="1250" w:type="pct"/>
            <w:tcBorders>
              <w:left w:val="single" w:sz="6" w:space="0" w:color="008000"/>
            </w:tcBorders>
            <w:shd w:val="clear" w:color="auto" w:fill="FFFFFF"/>
            <w:vAlign w:val="center"/>
          </w:tcPr>
          <w:p w14:paraId="1249CEE4" w14:textId="7470F3DF" w:rsidR="004B264D" w:rsidRPr="00A53EE1" w:rsidRDefault="004B264D" w:rsidP="004B264D">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1735</w:t>
            </w:r>
          </w:p>
        </w:tc>
        <w:tc>
          <w:tcPr>
            <w:tcW w:w="1250" w:type="pct"/>
            <w:tcBorders>
              <w:left w:val="single" w:sz="6" w:space="0" w:color="008000"/>
            </w:tcBorders>
            <w:shd w:val="clear" w:color="auto" w:fill="FFFFFF"/>
          </w:tcPr>
          <w:p w14:paraId="3492BB93" w14:textId="0DA6EDF0" w:rsidR="004B264D" w:rsidRPr="00A53EE1" w:rsidRDefault="004B264D" w:rsidP="004B264D">
            <w:pPr>
              <w:pStyle w:val="CETBodytext"/>
              <w:ind w:right="-1"/>
              <w:jc w:val="center"/>
            </w:pPr>
            <w:r w:rsidRPr="00A53EE1">
              <w:t>Cluster 32</w:t>
            </w:r>
          </w:p>
        </w:tc>
        <w:tc>
          <w:tcPr>
            <w:tcW w:w="1250" w:type="pct"/>
            <w:tcBorders>
              <w:left w:val="single" w:sz="6" w:space="0" w:color="008000"/>
            </w:tcBorders>
            <w:shd w:val="clear" w:color="auto" w:fill="FFFFFF"/>
          </w:tcPr>
          <w:p w14:paraId="7C32B976" w14:textId="77777777" w:rsidR="004B264D" w:rsidRPr="00A53EE1" w:rsidRDefault="004B264D" w:rsidP="004B264D">
            <w:pPr>
              <w:pStyle w:val="CETBodytext"/>
              <w:ind w:right="-1"/>
              <w:jc w:val="center"/>
              <w:rPr>
                <w:rFonts w:cs="Arial"/>
                <w:szCs w:val="18"/>
              </w:rPr>
            </w:pPr>
            <w:r w:rsidRPr="00A53EE1">
              <w:rPr>
                <w:rFonts w:cs="Arial"/>
                <w:szCs w:val="18"/>
              </w:rPr>
              <w:t>Included</w:t>
            </w:r>
          </w:p>
        </w:tc>
      </w:tr>
      <w:tr w:rsidR="004B264D" w:rsidRPr="00A53EE1" w14:paraId="6F5C1203" w14:textId="77777777" w:rsidTr="001622D3">
        <w:tc>
          <w:tcPr>
            <w:tcW w:w="1250" w:type="pct"/>
            <w:tcBorders>
              <w:right w:val="single" w:sz="6" w:space="0" w:color="008000"/>
            </w:tcBorders>
            <w:shd w:val="clear" w:color="auto" w:fill="FFFFFF"/>
            <w:vAlign w:val="center"/>
          </w:tcPr>
          <w:p w14:paraId="7E1C14F0" w14:textId="1B68F0C1" w:rsidR="004B264D" w:rsidRPr="00A53EE1" w:rsidRDefault="004B264D" w:rsidP="004B264D">
            <w:pPr>
              <w:pStyle w:val="CETBodytext"/>
              <w:ind w:right="-1"/>
              <w:jc w:val="center"/>
              <w:rPr>
                <w:rFonts w:cs="Arial"/>
                <w:szCs w:val="18"/>
              </w:rPr>
            </w:pPr>
            <w:r w:rsidRPr="00A53EE1">
              <w:rPr>
                <w:rFonts w:cs="Arial"/>
                <w:szCs w:val="18"/>
              </w:rPr>
              <w:t>Romania</w:t>
            </w:r>
          </w:p>
        </w:tc>
        <w:tc>
          <w:tcPr>
            <w:tcW w:w="1250" w:type="pct"/>
            <w:tcBorders>
              <w:left w:val="single" w:sz="6" w:space="0" w:color="008000"/>
            </w:tcBorders>
            <w:shd w:val="clear" w:color="auto" w:fill="FFFFFF"/>
            <w:vAlign w:val="center"/>
          </w:tcPr>
          <w:p w14:paraId="165C3EEA" w14:textId="2C48A10F" w:rsidR="004B264D" w:rsidRPr="00A53EE1" w:rsidRDefault="004B264D" w:rsidP="004B264D">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1510</w:t>
            </w:r>
          </w:p>
        </w:tc>
        <w:tc>
          <w:tcPr>
            <w:tcW w:w="1250" w:type="pct"/>
            <w:tcBorders>
              <w:left w:val="single" w:sz="6" w:space="0" w:color="008000"/>
            </w:tcBorders>
            <w:shd w:val="clear" w:color="auto" w:fill="FFFFFF"/>
          </w:tcPr>
          <w:p w14:paraId="6BE65712" w14:textId="7DD6D9E4" w:rsidR="004B264D" w:rsidRPr="00A53EE1" w:rsidRDefault="004B264D" w:rsidP="004B264D">
            <w:pPr>
              <w:pStyle w:val="CETBodytext"/>
              <w:ind w:right="-1"/>
              <w:jc w:val="center"/>
            </w:pPr>
            <w:r w:rsidRPr="00A53EE1">
              <w:t>Cluster 32</w:t>
            </w:r>
          </w:p>
        </w:tc>
        <w:tc>
          <w:tcPr>
            <w:tcW w:w="1250" w:type="pct"/>
            <w:tcBorders>
              <w:left w:val="single" w:sz="6" w:space="0" w:color="008000"/>
            </w:tcBorders>
            <w:shd w:val="clear" w:color="auto" w:fill="FFFFFF"/>
          </w:tcPr>
          <w:p w14:paraId="7EA732FD" w14:textId="2A317C6B" w:rsidR="004B264D" w:rsidRPr="00A53EE1" w:rsidRDefault="004B264D" w:rsidP="004B264D">
            <w:pPr>
              <w:pStyle w:val="CETBodytext"/>
              <w:ind w:right="-1"/>
              <w:jc w:val="center"/>
              <w:rPr>
                <w:rFonts w:cs="Arial"/>
                <w:szCs w:val="18"/>
              </w:rPr>
            </w:pPr>
            <w:r w:rsidRPr="00A53EE1">
              <w:rPr>
                <w:rFonts w:cs="Arial"/>
                <w:szCs w:val="18"/>
              </w:rPr>
              <w:t>Included</w:t>
            </w:r>
          </w:p>
        </w:tc>
      </w:tr>
      <w:tr w:rsidR="004B264D" w:rsidRPr="00A53EE1" w14:paraId="20076B9E" w14:textId="77777777" w:rsidTr="001622D3">
        <w:tc>
          <w:tcPr>
            <w:tcW w:w="1250" w:type="pct"/>
            <w:tcBorders>
              <w:bottom w:val="single" w:sz="12" w:space="0" w:color="008000"/>
              <w:right w:val="single" w:sz="6" w:space="0" w:color="008000"/>
            </w:tcBorders>
            <w:shd w:val="clear" w:color="auto" w:fill="FFFFFF"/>
            <w:vAlign w:val="center"/>
          </w:tcPr>
          <w:p w14:paraId="3BD3B61F" w14:textId="0E305E58" w:rsidR="004B264D" w:rsidRPr="00A53EE1" w:rsidRDefault="004B264D" w:rsidP="004B264D">
            <w:pPr>
              <w:pStyle w:val="CETBodytext"/>
              <w:ind w:right="-1"/>
              <w:jc w:val="center"/>
              <w:rPr>
                <w:rFonts w:cs="Arial"/>
                <w:szCs w:val="18"/>
              </w:rPr>
            </w:pPr>
            <w:r w:rsidRPr="00A53EE1">
              <w:rPr>
                <w:rFonts w:cs="Arial"/>
                <w:szCs w:val="18"/>
              </w:rPr>
              <w:t>Yemen</w:t>
            </w:r>
          </w:p>
        </w:tc>
        <w:tc>
          <w:tcPr>
            <w:tcW w:w="1250" w:type="pct"/>
            <w:tcBorders>
              <w:left w:val="single" w:sz="6" w:space="0" w:color="008000"/>
              <w:bottom w:val="single" w:sz="12" w:space="0" w:color="008000"/>
            </w:tcBorders>
            <w:shd w:val="clear" w:color="auto" w:fill="FFFFFF"/>
            <w:vAlign w:val="center"/>
          </w:tcPr>
          <w:p w14:paraId="43FE84E6" w14:textId="7957776A" w:rsidR="004B264D" w:rsidRPr="00A53EE1" w:rsidRDefault="004B264D" w:rsidP="004B264D">
            <w:pPr>
              <w:pStyle w:val="CETBodytext"/>
              <w:ind w:right="-1"/>
              <w:jc w:val="center"/>
              <w:rPr>
                <w:rFonts w:cs="Arial"/>
                <w:szCs w:val="18"/>
              </w:rPr>
            </w:pPr>
            <w:r w:rsidRPr="00A53EE1">
              <w:rPr>
                <w:rFonts w:cs="Arial"/>
                <w:szCs w:val="18"/>
              </w:rPr>
              <w:t>0</w:t>
            </w:r>
            <w:r w:rsidR="00B35CD1">
              <w:rPr>
                <w:rFonts w:cs="Arial"/>
                <w:szCs w:val="18"/>
              </w:rPr>
              <w:t>,</w:t>
            </w:r>
            <w:r w:rsidRPr="00A53EE1">
              <w:rPr>
                <w:rFonts w:cs="Arial"/>
                <w:szCs w:val="18"/>
              </w:rPr>
              <w:t>0346</w:t>
            </w:r>
          </w:p>
        </w:tc>
        <w:tc>
          <w:tcPr>
            <w:tcW w:w="1250" w:type="pct"/>
            <w:tcBorders>
              <w:left w:val="single" w:sz="6" w:space="0" w:color="008000"/>
              <w:bottom w:val="single" w:sz="12" w:space="0" w:color="008000"/>
            </w:tcBorders>
            <w:shd w:val="clear" w:color="auto" w:fill="FFFFFF"/>
          </w:tcPr>
          <w:p w14:paraId="163D49E4" w14:textId="4DE28B61" w:rsidR="004B264D" w:rsidRPr="00A53EE1" w:rsidRDefault="004B264D" w:rsidP="004B264D">
            <w:pPr>
              <w:pStyle w:val="CETBodytext"/>
              <w:ind w:right="-1"/>
              <w:jc w:val="center"/>
            </w:pPr>
            <w:r w:rsidRPr="00A53EE1">
              <w:t>Cluster 32</w:t>
            </w:r>
          </w:p>
        </w:tc>
        <w:tc>
          <w:tcPr>
            <w:tcW w:w="1250" w:type="pct"/>
            <w:tcBorders>
              <w:left w:val="single" w:sz="6" w:space="0" w:color="008000"/>
              <w:bottom w:val="single" w:sz="12" w:space="0" w:color="008000"/>
            </w:tcBorders>
            <w:shd w:val="clear" w:color="auto" w:fill="FFFFFF"/>
          </w:tcPr>
          <w:p w14:paraId="48487D9A" w14:textId="66FE02D0" w:rsidR="004B264D" w:rsidRPr="00A53EE1" w:rsidRDefault="004B264D" w:rsidP="004B264D">
            <w:pPr>
              <w:pStyle w:val="CETBodytext"/>
              <w:ind w:right="-1"/>
              <w:jc w:val="center"/>
              <w:rPr>
                <w:rFonts w:cs="Arial"/>
                <w:szCs w:val="18"/>
              </w:rPr>
            </w:pPr>
            <w:r w:rsidRPr="00A53EE1">
              <w:rPr>
                <w:rFonts w:cs="Arial"/>
                <w:szCs w:val="18"/>
              </w:rPr>
              <w:t>Included</w:t>
            </w:r>
          </w:p>
        </w:tc>
      </w:tr>
    </w:tbl>
    <w:p w14:paraId="76CDF18F" w14:textId="26AB37DD" w:rsidR="000841B2" w:rsidRPr="00A53EE1" w:rsidRDefault="005C4DC0" w:rsidP="00404937">
      <w:pPr>
        <w:pStyle w:val="CETBodytext"/>
      </w:pPr>
      <w:r w:rsidRPr="00A53EE1">
        <w:lastRenderedPageBreak/>
        <w:fldChar w:fldCharType="begin"/>
      </w:r>
      <w:r w:rsidRPr="00A53EE1">
        <w:instrText xml:space="preserve"> REF _Ref90395086 \h </w:instrText>
      </w:r>
      <w:r w:rsidR="002C1EA9" w:rsidRPr="00A53EE1">
        <w:instrText xml:space="preserve"> \* MERGEFORMAT </w:instrText>
      </w:r>
      <w:r w:rsidRPr="00A53EE1">
        <w:fldChar w:fldCharType="separate"/>
      </w:r>
      <w:r w:rsidR="007F0302" w:rsidRPr="00A53EE1">
        <w:t xml:space="preserve">Table </w:t>
      </w:r>
      <w:r w:rsidR="007F0302" w:rsidRPr="00A53EE1">
        <w:rPr>
          <w:noProof/>
        </w:rPr>
        <w:t>2</w:t>
      </w:r>
      <w:r w:rsidRPr="00A53EE1">
        <w:fldChar w:fldCharType="end"/>
      </w:r>
      <w:r w:rsidRPr="00A53EE1">
        <w:t xml:space="preserve"> </w:t>
      </w:r>
      <w:r w:rsidR="00F907D8" w:rsidRPr="00A53EE1">
        <w:t xml:space="preserve">proposes a </w:t>
      </w:r>
      <w:r w:rsidR="0005258D" w:rsidRPr="00A53EE1">
        <w:t xml:space="preserve">country classification by </w:t>
      </w:r>
      <w:r w:rsidR="009A5E1D">
        <w:t xml:space="preserve">a </w:t>
      </w:r>
      <w:r w:rsidR="00F907D8" w:rsidRPr="00A53EE1">
        <w:t xml:space="preserve">number of </w:t>
      </w:r>
      <w:r w:rsidR="0005258D" w:rsidRPr="00A53EE1">
        <w:t>death</w:t>
      </w:r>
      <w:r w:rsidR="00F907D8" w:rsidRPr="00A53EE1">
        <w:t xml:space="preserve">s and economic damage for the countries being </w:t>
      </w:r>
      <w:r w:rsidR="00BF680A" w:rsidRPr="00A53EE1">
        <w:t>previously selected</w:t>
      </w:r>
      <w:r w:rsidR="00F907D8" w:rsidRPr="00A53EE1">
        <w:t>.</w:t>
      </w:r>
      <w:r w:rsidR="0005258D" w:rsidRPr="00A53EE1">
        <w:t xml:space="preserve"> </w:t>
      </w:r>
      <w:r w:rsidR="006C2F90" w:rsidRPr="00A53EE1">
        <w:t>It is possible to observe</w:t>
      </w:r>
      <w:r w:rsidR="005147E8" w:rsidRPr="00A53EE1">
        <w:t xml:space="preserve"> </w:t>
      </w:r>
      <w:r w:rsidR="004B574A" w:rsidRPr="00A53EE1">
        <w:t>that</w:t>
      </w:r>
      <w:r w:rsidR="006C2F90" w:rsidRPr="00A53EE1">
        <w:t xml:space="preserve"> Bangladesh, </w:t>
      </w:r>
      <w:r w:rsidR="005C2C1A" w:rsidRPr="00A53EE1">
        <w:t>Japan,</w:t>
      </w:r>
      <w:r w:rsidR="006C2F90" w:rsidRPr="00A53EE1">
        <w:t xml:space="preserve"> and France </w:t>
      </w:r>
      <w:r w:rsidR="002E6848" w:rsidRPr="00A53EE1">
        <w:t xml:space="preserve">account for </w:t>
      </w:r>
      <w:r w:rsidR="005147E8" w:rsidRPr="00A53EE1">
        <w:t>98</w:t>
      </w:r>
      <w:r w:rsidR="00B35CD1">
        <w:t>,</w:t>
      </w:r>
      <w:r w:rsidR="00B1729C" w:rsidRPr="00A53EE1">
        <w:t>3</w:t>
      </w:r>
      <w:r w:rsidR="00C24583" w:rsidRPr="00A53EE1">
        <w:t>2</w:t>
      </w:r>
      <w:r w:rsidR="005147E8" w:rsidRPr="00A53EE1">
        <w:t>% of total death</w:t>
      </w:r>
      <w:r w:rsidR="002E6848" w:rsidRPr="00A53EE1">
        <w:t>s</w:t>
      </w:r>
      <w:r w:rsidR="005147E8" w:rsidRPr="00A53EE1">
        <w:t xml:space="preserve"> </w:t>
      </w:r>
      <w:r w:rsidR="002E6848" w:rsidRPr="00A53EE1">
        <w:t xml:space="preserve">count </w:t>
      </w:r>
      <w:r w:rsidR="005147E8" w:rsidRPr="00A53EE1">
        <w:t xml:space="preserve">in </w:t>
      </w:r>
      <w:r w:rsidR="002E6848" w:rsidRPr="00A53EE1">
        <w:t>their cluster</w:t>
      </w:r>
      <w:r w:rsidR="005147E8" w:rsidRPr="00A53EE1">
        <w:t xml:space="preserve">, </w:t>
      </w:r>
      <w:r w:rsidR="002E6848" w:rsidRPr="00A53EE1">
        <w:t xml:space="preserve">with </w:t>
      </w:r>
      <w:r w:rsidR="005147E8" w:rsidRPr="00A53EE1">
        <w:t xml:space="preserve">Bangladesh </w:t>
      </w:r>
      <w:r w:rsidR="002E6848" w:rsidRPr="00A53EE1">
        <w:t xml:space="preserve">presenting </w:t>
      </w:r>
      <w:r w:rsidR="00C24583" w:rsidRPr="00A53EE1">
        <w:t>89</w:t>
      </w:r>
      <w:r w:rsidR="00B35CD1">
        <w:t>,</w:t>
      </w:r>
      <w:r w:rsidR="00C24583" w:rsidRPr="00A53EE1">
        <w:t>80</w:t>
      </w:r>
      <w:r w:rsidR="005147E8" w:rsidRPr="00A53EE1">
        <w:t>%</w:t>
      </w:r>
      <w:r w:rsidR="005C2C1A" w:rsidRPr="00A53EE1">
        <w:t xml:space="preserve">. </w:t>
      </w:r>
      <w:r w:rsidR="00AA0C1D" w:rsidRPr="00A53EE1">
        <w:t xml:space="preserve">On </w:t>
      </w:r>
      <w:r w:rsidR="005C2C1A" w:rsidRPr="00A53EE1">
        <w:t xml:space="preserve">the other hand, Japan, </w:t>
      </w:r>
      <w:r w:rsidR="00404937" w:rsidRPr="00A53EE1">
        <w:t>Germany,</w:t>
      </w:r>
      <w:r w:rsidR="005C2C1A" w:rsidRPr="00A53EE1">
        <w:t xml:space="preserve"> </w:t>
      </w:r>
      <w:r w:rsidR="00404937" w:rsidRPr="00A53EE1">
        <w:t>and</w:t>
      </w:r>
      <w:r w:rsidR="005C2C1A" w:rsidRPr="00A53EE1">
        <w:t xml:space="preserve"> France </w:t>
      </w:r>
      <w:r w:rsidR="009A5E1D">
        <w:t>represent</w:t>
      </w:r>
      <w:r w:rsidR="009A5E1D" w:rsidRPr="00A53EE1">
        <w:t xml:space="preserve"> </w:t>
      </w:r>
      <w:r w:rsidR="005C2C1A" w:rsidRPr="00A53EE1">
        <w:t xml:space="preserve">the </w:t>
      </w:r>
      <w:r w:rsidR="00C24583" w:rsidRPr="00A53EE1">
        <w:t>90</w:t>
      </w:r>
      <w:r w:rsidR="00B35CD1">
        <w:t>,</w:t>
      </w:r>
      <w:r w:rsidR="00C24583" w:rsidRPr="00A53EE1">
        <w:t>93</w:t>
      </w:r>
      <w:r w:rsidR="005C2C1A" w:rsidRPr="00A53EE1">
        <w:t>% (</w:t>
      </w:r>
      <w:r w:rsidR="00C24583" w:rsidRPr="00A53EE1">
        <w:t>75</w:t>
      </w:r>
      <w:r w:rsidR="00B35CD1">
        <w:t>,</w:t>
      </w:r>
      <w:r w:rsidR="00C24583" w:rsidRPr="00A53EE1">
        <w:t>57</w:t>
      </w:r>
      <w:r w:rsidR="005C2C1A" w:rsidRPr="00A53EE1">
        <w:t>%</w:t>
      </w:r>
      <w:r w:rsidR="00B35CD1">
        <w:t>;</w:t>
      </w:r>
      <w:r w:rsidR="005C2C1A" w:rsidRPr="00A53EE1">
        <w:t xml:space="preserve"> </w:t>
      </w:r>
      <w:r w:rsidR="00C24583" w:rsidRPr="00A53EE1">
        <w:t>8</w:t>
      </w:r>
      <w:r w:rsidR="00B35CD1">
        <w:t>,</w:t>
      </w:r>
      <w:r w:rsidR="00C24583" w:rsidRPr="00A53EE1">
        <w:t>85</w:t>
      </w:r>
      <w:r w:rsidR="005C2C1A" w:rsidRPr="00A53EE1">
        <w:t>% and</w:t>
      </w:r>
      <w:r w:rsidR="00B35CD1">
        <w:t>;</w:t>
      </w:r>
      <w:r w:rsidR="005C2C1A" w:rsidRPr="00A53EE1">
        <w:t xml:space="preserve"> </w:t>
      </w:r>
      <w:r w:rsidR="00C24583" w:rsidRPr="00A53EE1">
        <w:t>6</w:t>
      </w:r>
      <w:r w:rsidR="00B35CD1">
        <w:t>,</w:t>
      </w:r>
      <w:r w:rsidR="00C24583" w:rsidRPr="00A53EE1">
        <w:t>50</w:t>
      </w:r>
      <w:r w:rsidR="005C2C1A" w:rsidRPr="00A53EE1">
        <w:t xml:space="preserve">% respectively) of the economic damage </w:t>
      </w:r>
      <w:r w:rsidR="00D20781" w:rsidRPr="00A53EE1">
        <w:t>in their cluster</w:t>
      </w:r>
      <w:r w:rsidR="005C2C1A" w:rsidRPr="00A53EE1">
        <w:t>.</w:t>
      </w:r>
      <w:r w:rsidR="00D20781" w:rsidRPr="00A53EE1">
        <w:t xml:space="preserve"> Similarly, for cluster 32</w:t>
      </w:r>
      <w:r w:rsidR="00DE1063" w:rsidRPr="00A53EE1">
        <w:t xml:space="preserve"> the countries:</w:t>
      </w:r>
      <w:r w:rsidR="00D20781" w:rsidRPr="00A53EE1">
        <w:t xml:space="preserve"> </w:t>
      </w:r>
      <w:r w:rsidR="008C46B4" w:rsidRPr="00A53EE1">
        <w:t>Pakistan, Iran, and Turkey account for 79</w:t>
      </w:r>
      <w:r w:rsidR="00B35CD1">
        <w:t>,</w:t>
      </w:r>
      <w:r w:rsidR="008C46B4" w:rsidRPr="00A53EE1">
        <w:t xml:space="preserve">06% of total deaths, </w:t>
      </w:r>
      <w:r w:rsidR="00481BB9" w:rsidRPr="00A53EE1">
        <w:t xml:space="preserve">with however a </w:t>
      </w:r>
      <w:r w:rsidR="00106C05" w:rsidRPr="00A53EE1">
        <w:t xml:space="preserve">flatter </w:t>
      </w:r>
      <w:r w:rsidR="00636F12" w:rsidRPr="00A53EE1">
        <w:t>distribut</w:t>
      </w:r>
      <w:r w:rsidR="00106C05" w:rsidRPr="00A53EE1">
        <w:t xml:space="preserve">ion </w:t>
      </w:r>
      <w:r w:rsidR="00DE1063" w:rsidRPr="00A53EE1">
        <w:t xml:space="preserve">than the </w:t>
      </w:r>
      <w:r w:rsidR="00106C05" w:rsidRPr="00A53EE1">
        <w:t xml:space="preserve">one in </w:t>
      </w:r>
      <w:r w:rsidR="00DE1063" w:rsidRPr="00A53EE1">
        <w:t>cluster 12</w:t>
      </w:r>
      <w:r w:rsidR="00106C05" w:rsidRPr="00A53EE1">
        <w:t xml:space="preserve">, i.e. </w:t>
      </w:r>
      <w:r w:rsidR="008C46B4" w:rsidRPr="00A53EE1">
        <w:t>Pakistan 32</w:t>
      </w:r>
      <w:r w:rsidR="00B35CD1">
        <w:t>,</w:t>
      </w:r>
      <w:r w:rsidR="008C46B4" w:rsidRPr="00A53EE1">
        <w:t>14%</w:t>
      </w:r>
      <w:r w:rsidR="00B35CD1">
        <w:t>;</w:t>
      </w:r>
      <w:r w:rsidR="008C46B4" w:rsidRPr="00A53EE1">
        <w:t xml:space="preserve"> Iran 29</w:t>
      </w:r>
      <w:r w:rsidR="00B35CD1">
        <w:t>,</w:t>
      </w:r>
      <w:r w:rsidR="008C46B4" w:rsidRPr="00A53EE1">
        <w:t>04%</w:t>
      </w:r>
      <w:r w:rsidR="00B35CD1">
        <w:t>;</w:t>
      </w:r>
      <w:r w:rsidR="008C46B4" w:rsidRPr="00A53EE1">
        <w:t xml:space="preserve"> and Turkey 17</w:t>
      </w:r>
      <w:r w:rsidR="00B35CD1">
        <w:t>,</w:t>
      </w:r>
      <w:r w:rsidR="008C46B4" w:rsidRPr="00A53EE1">
        <w:t xml:space="preserve">87%. </w:t>
      </w:r>
      <w:r w:rsidR="0059071A" w:rsidRPr="00A53EE1">
        <w:t>The same three countries</w:t>
      </w:r>
      <w:r w:rsidR="008C46B4" w:rsidRPr="00A53EE1">
        <w:t xml:space="preserve">, </w:t>
      </w:r>
      <w:r w:rsidR="00DE1063" w:rsidRPr="00A53EE1">
        <w:t>Pakistan (24</w:t>
      </w:r>
      <w:r w:rsidR="00B35CD1">
        <w:t>,</w:t>
      </w:r>
      <w:r w:rsidR="00DE1063" w:rsidRPr="00A53EE1">
        <w:t>16%), Iran (24</w:t>
      </w:r>
      <w:r w:rsidR="00B35CD1">
        <w:t>,</w:t>
      </w:r>
      <w:r w:rsidR="00DE1063" w:rsidRPr="00A53EE1">
        <w:t>07%), Turkey (23</w:t>
      </w:r>
      <w:r w:rsidR="00B35CD1">
        <w:t>,</w:t>
      </w:r>
      <w:r w:rsidR="00DE1063" w:rsidRPr="00A53EE1">
        <w:t xml:space="preserve">22%), </w:t>
      </w:r>
      <w:r w:rsidR="0059071A" w:rsidRPr="00A53EE1">
        <w:t xml:space="preserve">plus </w:t>
      </w:r>
      <w:r w:rsidR="00DE1063" w:rsidRPr="00A53EE1">
        <w:t>Algeria (10</w:t>
      </w:r>
      <w:r w:rsidR="00B35CD1">
        <w:t>,</w:t>
      </w:r>
      <w:r w:rsidR="00DE1063" w:rsidRPr="00A53EE1">
        <w:t>10%) account for 81</w:t>
      </w:r>
      <w:r w:rsidR="00B35CD1">
        <w:t>,</w:t>
      </w:r>
      <w:r w:rsidR="00DE1063" w:rsidRPr="00A53EE1">
        <w:t xml:space="preserve">56% of the economic damage in their cluster. </w:t>
      </w:r>
      <w:r w:rsidR="0059071A" w:rsidRPr="00A53EE1">
        <w:t>O</w:t>
      </w:r>
      <w:r w:rsidR="00CD2FEA" w:rsidRPr="00A53EE1">
        <w:t xml:space="preserve">verall, </w:t>
      </w:r>
      <w:r w:rsidR="00DE1063" w:rsidRPr="00A53EE1">
        <w:t xml:space="preserve">cluster 12 </w:t>
      </w:r>
      <w:r w:rsidR="009A5E1D">
        <w:t>involves</w:t>
      </w:r>
      <w:r w:rsidR="009A5E1D" w:rsidRPr="00A53EE1">
        <w:t xml:space="preserve"> </w:t>
      </w:r>
      <w:r w:rsidR="004D49B0" w:rsidRPr="00A53EE1">
        <w:t>2</w:t>
      </w:r>
      <w:r w:rsidR="00807E64">
        <w:t>.</w:t>
      </w:r>
      <w:r w:rsidR="004D49B0" w:rsidRPr="00A53EE1">
        <w:t>769</w:t>
      </w:r>
      <w:r w:rsidR="00807E64">
        <w:t>.</w:t>
      </w:r>
      <w:r w:rsidR="004D49B0" w:rsidRPr="00A53EE1">
        <w:t>968 reported deaths</w:t>
      </w:r>
      <w:r w:rsidR="00F17671" w:rsidRPr="00A53EE1">
        <w:t xml:space="preserve">, </w:t>
      </w:r>
      <w:r w:rsidR="004D49B0" w:rsidRPr="00A53EE1">
        <w:t>82</w:t>
      </w:r>
      <w:r w:rsidR="00AB1277">
        <w:t>,</w:t>
      </w:r>
      <w:r w:rsidR="004D49B0" w:rsidRPr="00A53EE1">
        <w:t xml:space="preserve">64% more than cluster 32. Likewise, </w:t>
      </w:r>
      <w:r w:rsidR="00D31277" w:rsidRPr="00A53EE1">
        <w:t>cluster 12 has 82</w:t>
      </w:r>
      <w:r w:rsidR="00AB1277">
        <w:t>,</w:t>
      </w:r>
      <w:r w:rsidR="00D31277" w:rsidRPr="00A53EE1">
        <w:t>33% economic damage losses reported more than cluster 32.</w:t>
      </w:r>
      <w:r w:rsidR="004D49B0" w:rsidRPr="00A53EE1">
        <w:t xml:space="preserve"> </w:t>
      </w:r>
    </w:p>
    <w:p w14:paraId="11ADD5F4" w14:textId="77777777" w:rsidR="00EC33F1" w:rsidRDefault="00EC33F1" w:rsidP="00755DD0">
      <w:pPr>
        <w:pStyle w:val="CETTabletitle"/>
        <w:spacing w:before="0"/>
        <w:rPr>
          <w:lang w:val="en-US"/>
        </w:rPr>
      </w:pPr>
      <w:bookmarkStart w:id="2" w:name="_Ref90395086"/>
    </w:p>
    <w:p w14:paraId="5F68DCF6" w14:textId="146BDE76" w:rsidR="005147E8" w:rsidRPr="00A53EE1" w:rsidRDefault="005147E8" w:rsidP="00755DD0">
      <w:pPr>
        <w:pStyle w:val="CETTabletitle"/>
        <w:spacing w:before="0"/>
        <w:rPr>
          <w:lang w:val="en-US"/>
        </w:rPr>
      </w:pPr>
      <w:r w:rsidRPr="00A53EE1">
        <w:rPr>
          <w:lang w:val="en-US"/>
        </w:rPr>
        <w:t xml:space="preserve">Table </w:t>
      </w:r>
      <w:r w:rsidRPr="00A53EE1">
        <w:rPr>
          <w:lang w:val="en-US"/>
        </w:rPr>
        <w:fldChar w:fldCharType="begin"/>
      </w:r>
      <w:r w:rsidRPr="00A53EE1">
        <w:rPr>
          <w:lang w:val="en-US"/>
        </w:rPr>
        <w:instrText xml:space="preserve"> SEQ Table \* ARABIC </w:instrText>
      </w:r>
      <w:r w:rsidRPr="00A53EE1">
        <w:rPr>
          <w:lang w:val="en-US"/>
        </w:rPr>
        <w:fldChar w:fldCharType="separate"/>
      </w:r>
      <w:r w:rsidR="007F0302" w:rsidRPr="00A53EE1">
        <w:rPr>
          <w:noProof/>
          <w:lang w:val="en-US"/>
        </w:rPr>
        <w:t>2</w:t>
      </w:r>
      <w:r w:rsidRPr="00A53EE1">
        <w:rPr>
          <w:lang w:val="en-US"/>
        </w:rPr>
        <w:fldChar w:fldCharType="end"/>
      </w:r>
      <w:bookmarkEnd w:id="2"/>
      <w:r w:rsidRPr="00A53EE1">
        <w:rPr>
          <w:lang w:val="en-US"/>
        </w:rPr>
        <w:t xml:space="preserve">. Country classification by death </w:t>
      </w:r>
      <w:r w:rsidR="00ED1D49" w:rsidRPr="00A53EE1">
        <w:rPr>
          <w:lang w:val="en-US"/>
        </w:rPr>
        <w:t>and economic damage</w:t>
      </w:r>
      <w:r w:rsidR="00C70235" w:rsidRPr="00A53EE1">
        <w:rPr>
          <w:lang w:val="en-US"/>
        </w:rPr>
        <w:t xml:space="preserve"> (</w:t>
      </w:r>
      <w:r w:rsidR="00C04CD3" w:rsidRPr="00A53EE1">
        <w:rPr>
          <w:lang w:val="en-US"/>
        </w:rPr>
        <w:t>ordered by number of deaths</w:t>
      </w:r>
      <w:r w:rsidR="00C70235" w:rsidRPr="00A53EE1">
        <w:rPr>
          <w:lang w:val="en-US"/>
        </w:rP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29"/>
        <w:gridCol w:w="2930"/>
        <w:gridCol w:w="2928"/>
      </w:tblGrid>
      <w:tr w:rsidR="0008010F" w:rsidRPr="00A53EE1" w14:paraId="665D3932" w14:textId="7CF6A390" w:rsidTr="00C04CD3">
        <w:tc>
          <w:tcPr>
            <w:tcW w:w="1667" w:type="pct"/>
            <w:tcBorders>
              <w:top w:val="single" w:sz="12" w:space="0" w:color="008000"/>
              <w:bottom w:val="single" w:sz="6" w:space="0" w:color="008000"/>
              <w:right w:val="single" w:sz="6" w:space="0" w:color="008000"/>
            </w:tcBorders>
            <w:shd w:val="clear" w:color="auto" w:fill="FFFFFF"/>
            <w:vAlign w:val="center"/>
          </w:tcPr>
          <w:p w14:paraId="55B8FCB9" w14:textId="77777777" w:rsidR="00CE20EB" w:rsidRPr="00A53EE1" w:rsidRDefault="00CE20EB" w:rsidP="00661BDE">
            <w:pPr>
              <w:pStyle w:val="CETBodytext"/>
              <w:jc w:val="center"/>
              <w:rPr>
                <w:b/>
                <w:bCs/>
              </w:rPr>
            </w:pPr>
            <w:r w:rsidRPr="00A53EE1">
              <w:rPr>
                <w:b/>
                <w:bCs/>
              </w:rPr>
              <w:t>Country</w:t>
            </w:r>
          </w:p>
        </w:tc>
        <w:tc>
          <w:tcPr>
            <w:tcW w:w="1667" w:type="pct"/>
            <w:tcBorders>
              <w:top w:val="single" w:sz="12" w:space="0" w:color="008000"/>
              <w:left w:val="single" w:sz="6" w:space="0" w:color="008000"/>
              <w:bottom w:val="single" w:sz="6" w:space="0" w:color="008000"/>
            </w:tcBorders>
            <w:shd w:val="clear" w:color="auto" w:fill="FFFFFF"/>
            <w:vAlign w:val="center"/>
          </w:tcPr>
          <w:p w14:paraId="34C43620" w14:textId="78E902CF" w:rsidR="00CE20EB" w:rsidRPr="00A53EE1" w:rsidRDefault="00CE20EB" w:rsidP="00661BDE">
            <w:pPr>
              <w:pStyle w:val="CETBodytext"/>
              <w:jc w:val="center"/>
              <w:rPr>
                <w:b/>
                <w:bCs/>
              </w:rPr>
            </w:pPr>
            <w:r w:rsidRPr="00A53EE1">
              <w:rPr>
                <w:b/>
                <w:bCs/>
              </w:rPr>
              <w:t>Total deaths</w:t>
            </w:r>
          </w:p>
        </w:tc>
        <w:tc>
          <w:tcPr>
            <w:tcW w:w="1667" w:type="pct"/>
            <w:tcBorders>
              <w:top w:val="single" w:sz="12" w:space="0" w:color="008000"/>
              <w:left w:val="single" w:sz="6" w:space="0" w:color="008000"/>
              <w:bottom w:val="single" w:sz="6" w:space="0" w:color="008000"/>
            </w:tcBorders>
            <w:shd w:val="clear" w:color="auto" w:fill="FFFFFF"/>
          </w:tcPr>
          <w:p w14:paraId="1CEDC42D" w14:textId="0BB15806" w:rsidR="00CE20EB" w:rsidRPr="00A53EE1" w:rsidRDefault="00CE20EB" w:rsidP="00661BDE">
            <w:pPr>
              <w:pStyle w:val="CETBodytext"/>
              <w:jc w:val="center"/>
              <w:rPr>
                <w:b/>
                <w:bCs/>
              </w:rPr>
            </w:pPr>
            <w:r w:rsidRPr="00A53EE1">
              <w:rPr>
                <w:b/>
                <w:bCs/>
              </w:rPr>
              <w:t>Total economic damage [$]</w:t>
            </w:r>
          </w:p>
        </w:tc>
      </w:tr>
      <w:tr w:rsidR="0008010F" w:rsidRPr="00A53EE1" w14:paraId="1DF29926" w14:textId="688BA55F" w:rsidTr="00C04CD3">
        <w:tc>
          <w:tcPr>
            <w:tcW w:w="1667" w:type="pct"/>
            <w:tcBorders>
              <w:right w:val="single" w:sz="6" w:space="0" w:color="008000"/>
            </w:tcBorders>
            <w:shd w:val="clear" w:color="auto" w:fill="FFFFFF"/>
          </w:tcPr>
          <w:p w14:paraId="21682F9F" w14:textId="3FAABE0F" w:rsidR="00CE20EB" w:rsidRPr="00A53EE1" w:rsidRDefault="00CE20EB" w:rsidP="00ED1D49">
            <w:pPr>
              <w:pStyle w:val="CETBodytext"/>
              <w:jc w:val="center"/>
            </w:pPr>
            <w:r w:rsidRPr="00A53EE1">
              <w:t>Bangladesh</w:t>
            </w:r>
          </w:p>
        </w:tc>
        <w:tc>
          <w:tcPr>
            <w:tcW w:w="1667" w:type="pct"/>
            <w:tcBorders>
              <w:left w:val="single" w:sz="6" w:space="0" w:color="008000"/>
            </w:tcBorders>
            <w:shd w:val="clear" w:color="auto" w:fill="FFFFFF"/>
          </w:tcPr>
          <w:p w14:paraId="34F7B54A" w14:textId="461E7FF1" w:rsidR="00CE20EB" w:rsidRPr="00A53EE1" w:rsidRDefault="00CE20EB" w:rsidP="00ED1D49">
            <w:pPr>
              <w:pStyle w:val="CETBodytext"/>
              <w:jc w:val="center"/>
            </w:pPr>
            <w:r w:rsidRPr="00A53EE1">
              <w:t>3</w:t>
            </w:r>
            <w:r w:rsidR="00807E64">
              <w:t>.</w:t>
            </w:r>
            <w:r w:rsidRPr="00A53EE1">
              <w:t>010</w:t>
            </w:r>
            <w:r w:rsidR="00807E64">
              <w:t>.</w:t>
            </w:r>
            <w:r w:rsidRPr="00A53EE1">
              <w:t>075</w:t>
            </w:r>
          </w:p>
        </w:tc>
        <w:tc>
          <w:tcPr>
            <w:tcW w:w="1667" w:type="pct"/>
            <w:tcBorders>
              <w:left w:val="single" w:sz="6" w:space="0" w:color="008000"/>
            </w:tcBorders>
            <w:shd w:val="clear" w:color="auto" w:fill="FFFFFF"/>
          </w:tcPr>
          <w:p w14:paraId="50542219" w14:textId="12DFA488" w:rsidR="00CE20EB" w:rsidRPr="00A53EE1" w:rsidRDefault="00CE20EB" w:rsidP="00ED1D49">
            <w:pPr>
              <w:pStyle w:val="CETBodytext"/>
              <w:ind w:right="-1"/>
              <w:jc w:val="center"/>
              <w:rPr>
                <w:rFonts w:cs="Arial"/>
                <w:szCs w:val="18"/>
              </w:rPr>
            </w:pPr>
            <w:r w:rsidRPr="00A53EE1">
              <w:t>21</w:t>
            </w:r>
            <w:r w:rsidR="00431B53">
              <w:t>.</w:t>
            </w:r>
            <w:r w:rsidRPr="00A53EE1">
              <w:t>893</w:t>
            </w:r>
            <w:r w:rsidR="00431B53">
              <w:t>.</w:t>
            </w:r>
            <w:r w:rsidRPr="00A53EE1">
              <w:t>565</w:t>
            </w:r>
          </w:p>
        </w:tc>
      </w:tr>
      <w:tr w:rsidR="0008010F" w:rsidRPr="00A53EE1" w14:paraId="747779C7" w14:textId="46AD0B33" w:rsidTr="00C04CD3">
        <w:tc>
          <w:tcPr>
            <w:tcW w:w="1667" w:type="pct"/>
            <w:tcBorders>
              <w:right w:val="single" w:sz="6" w:space="0" w:color="008000"/>
            </w:tcBorders>
            <w:shd w:val="clear" w:color="auto" w:fill="FFFFFF"/>
          </w:tcPr>
          <w:p w14:paraId="7EEA024B" w14:textId="1FB13BF9" w:rsidR="00CE20EB" w:rsidRPr="00A53EE1" w:rsidRDefault="00CE20EB" w:rsidP="00ED1D49">
            <w:pPr>
              <w:pStyle w:val="CETBodytext"/>
              <w:ind w:right="-1"/>
              <w:jc w:val="center"/>
              <w:rPr>
                <w:rFonts w:cs="Arial"/>
                <w:szCs w:val="18"/>
              </w:rPr>
            </w:pPr>
            <w:r w:rsidRPr="00A53EE1">
              <w:t>Japan</w:t>
            </w:r>
          </w:p>
        </w:tc>
        <w:tc>
          <w:tcPr>
            <w:tcW w:w="1667" w:type="pct"/>
            <w:tcBorders>
              <w:left w:val="single" w:sz="6" w:space="0" w:color="008000"/>
            </w:tcBorders>
            <w:shd w:val="clear" w:color="auto" w:fill="FFFFFF"/>
          </w:tcPr>
          <w:p w14:paraId="7266FFFD" w14:textId="28B79F38" w:rsidR="00CE20EB" w:rsidRPr="00A53EE1" w:rsidRDefault="00CE20EB" w:rsidP="00ED1D49">
            <w:pPr>
              <w:pStyle w:val="CETBodytext"/>
              <w:ind w:right="-1"/>
              <w:jc w:val="center"/>
              <w:rPr>
                <w:rFonts w:cs="Arial"/>
                <w:szCs w:val="18"/>
              </w:rPr>
            </w:pPr>
            <w:r w:rsidRPr="00A53EE1">
              <w:t>250</w:t>
            </w:r>
            <w:r w:rsidR="00807E64">
              <w:t>.</w:t>
            </w:r>
            <w:r w:rsidRPr="00A53EE1">
              <w:t>305</w:t>
            </w:r>
          </w:p>
        </w:tc>
        <w:tc>
          <w:tcPr>
            <w:tcW w:w="1667" w:type="pct"/>
            <w:tcBorders>
              <w:left w:val="single" w:sz="6" w:space="0" w:color="008000"/>
            </w:tcBorders>
            <w:shd w:val="clear" w:color="auto" w:fill="FFFFFF"/>
          </w:tcPr>
          <w:p w14:paraId="77936F80" w14:textId="3ED9A46D" w:rsidR="00CE20EB" w:rsidRPr="00A53EE1" w:rsidRDefault="00CE20EB" w:rsidP="00ED1D49">
            <w:pPr>
              <w:pStyle w:val="CETBodytext"/>
              <w:ind w:right="-1"/>
              <w:jc w:val="center"/>
              <w:rPr>
                <w:rFonts w:cs="Arial"/>
                <w:szCs w:val="18"/>
              </w:rPr>
            </w:pPr>
            <w:r w:rsidRPr="00A53EE1">
              <w:t>534</w:t>
            </w:r>
            <w:r w:rsidR="00431B53">
              <w:t>.</w:t>
            </w:r>
            <w:r w:rsidRPr="00A53EE1">
              <w:t>091</w:t>
            </w:r>
            <w:r w:rsidR="00431B53">
              <w:t>.</w:t>
            </w:r>
            <w:r w:rsidRPr="00A53EE1">
              <w:t>500</w:t>
            </w:r>
          </w:p>
        </w:tc>
      </w:tr>
      <w:tr w:rsidR="0008010F" w:rsidRPr="00A53EE1" w14:paraId="49091A9D" w14:textId="6E2988BE" w:rsidTr="00C04CD3">
        <w:tc>
          <w:tcPr>
            <w:tcW w:w="1667" w:type="pct"/>
            <w:tcBorders>
              <w:right w:val="single" w:sz="6" w:space="0" w:color="008000"/>
            </w:tcBorders>
            <w:shd w:val="clear" w:color="auto" w:fill="FFFFFF"/>
          </w:tcPr>
          <w:p w14:paraId="2687C4A6" w14:textId="5B85E8D6" w:rsidR="00CE20EB" w:rsidRPr="00A53EE1" w:rsidRDefault="005357E0" w:rsidP="00ED1D49">
            <w:pPr>
              <w:pStyle w:val="CETBodytext"/>
              <w:ind w:right="-1"/>
              <w:jc w:val="center"/>
              <w:rPr>
                <w:rFonts w:cs="Arial"/>
                <w:szCs w:val="18"/>
              </w:rPr>
            </w:pPr>
            <w:r w:rsidRPr="00A53EE1">
              <w:t>Pakistan</w:t>
            </w:r>
          </w:p>
        </w:tc>
        <w:tc>
          <w:tcPr>
            <w:tcW w:w="1667" w:type="pct"/>
            <w:tcBorders>
              <w:left w:val="single" w:sz="6" w:space="0" w:color="008000"/>
            </w:tcBorders>
            <w:shd w:val="clear" w:color="auto" w:fill="FFFFFF"/>
          </w:tcPr>
          <w:p w14:paraId="418FE9CC" w14:textId="3E85ADDC" w:rsidR="00CE20EB" w:rsidRPr="00A53EE1" w:rsidRDefault="005357E0" w:rsidP="00ED1D49">
            <w:pPr>
              <w:pStyle w:val="CETBodytext"/>
              <w:ind w:right="-1"/>
              <w:jc w:val="center"/>
              <w:rPr>
                <w:rFonts w:cs="Arial"/>
                <w:szCs w:val="18"/>
              </w:rPr>
            </w:pPr>
            <w:r w:rsidRPr="00A53EE1">
              <w:t>186</w:t>
            </w:r>
            <w:r w:rsidR="00807E64">
              <w:t>.</w:t>
            </w:r>
            <w:r w:rsidRPr="00A53EE1">
              <w:t>943</w:t>
            </w:r>
          </w:p>
        </w:tc>
        <w:tc>
          <w:tcPr>
            <w:tcW w:w="1667" w:type="pct"/>
            <w:tcBorders>
              <w:left w:val="single" w:sz="6" w:space="0" w:color="008000"/>
            </w:tcBorders>
            <w:shd w:val="clear" w:color="auto" w:fill="FFFFFF"/>
          </w:tcPr>
          <w:p w14:paraId="4A6FDBFB" w14:textId="1F7D8F4D" w:rsidR="00CE20EB" w:rsidRPr="00A53EE1" w:rsidRDefault="005357E0" w:rsidP="00ED1D49">
            <w:pPr>
              <w:pStyle w:val="CETBodytext"/>
              <w:ind w:right="-1"/>
              <w:jc w:val="center"/>
              <w:rPr>
                <w:rFonts w:cs="Arial"/>
                <w:szCs w:val="18"/>
              </w:rPr>
            </w:pPr>
            <w:r w:rsidRPr="00A53EE1">
              <w:t>30</w:t>
            </w:r>
            <w:r w:rsidR="00431B53">
              <w:t>.</w:t>
            </w:r>
            <w:r w:rsidRPr="00A53EE1">
              <w:t>157</w:t>
            </w:r>
            <w:r w:rsidR="00431B53">
              <w:t>.</w:t>
            </w:r>
            <w:r w:rsidRPr="00A53EE1">
              <w:t>109</w:t>
            </w:r>
          </w:p>
        </w:tc>
      </w:tr>
      <w:tr w:rsidR="0008010F" w:rsidRPr="00A53EE1" w14:paraId="5E55D2A7" w14:textId="405708DF" w:rsidTr="00C04CD3">
        <w:tc>
          <w:tcPr>
            <w:tcW w:w="1667" w:type="pct"/>
            <w:tcBorders>
              <w:right w:val="single" w:sz="6" w:space="0" w:color="008000"/>
            </w:tcBorders>
            <w:shd w:val="clear" w:color="auto" w:fill="FFFFFF"/>
          </w:tcPr>
          <w:p w14:paraId="7D4EDB43" w14:textId="11FA9700" w:rsidR="00CE20EB" w:rsidRPr="00A53EE1" w:rsidRDefault="005357E0" w:rsidP="00ED1D49">
            <w:pPr>
              <w:pStyle w:val="CETBodytext"/>
              <w:ind w:right="-1"/>
              <w:jc w:val="center"/>
              <w:rPr>
                <w:rFonts w:cs="Arial"/>
                <w:szCs w:val="18"/>
              </w:rPr>
            </w:pPr>
            <w:r w:rsidRPr="00A53EE1">
              <w:t>Iran</w:t>
            </w:r>
          </w:p>
        </w:tc>
        <w:tc>
          <w:tcPr>
            <w:tcW w:w="1667" w:type="pct"/>
            <w:tcBorders>
              <w:left w:val="single" w:sz="6" w:space="0" w:color="008000"/>
            </w:tcBorders>
            <w:shd w:val="clear" w:color="auto" w:fill="FFFFFF"/>
          </w:tcPr>
          <w:p w14:paraId="553E9E90" w14:textId="2EEF5264" w:rsidR="00CE20EB" w:rsidRPr="00A53EE1" w:rsidRDefault="005357E0" w:rsidP="00ED1D49">
            <w:pPr>
              <w:pStyle w:val="CETBodytext"/>
              <w:ind w:right="-1"/>
              <w:jc w:val="center"/>
              <w:rPr>
                <w:rFonts w:cs="Arial"/>
                <w:szCs w:val="18"/>
              </w:rPr>
            </w:pPr>
            <w:r w:rsidRPr="00A53EE1">
              <w:t>168</w:t>
            </w:r>
            <w:r w:rsidR="00807E64">
              <w:t>.</w:t>
            </w:r>
            <w:r w:rsidRPr="00A53EE1">
              <w:t>942</w:t>
            </w:r>
          </w:p>
        </w:tc>
        <w:tc>
          <w:tcPr>
            <w:tcW w:w="1667" w:type="pct"/>
            <w:tcBorders>
              <w:left w:val="single" w:sz="6" w:space="0" w:color="008000"/>
            </w:tcBorders>
            <w:shd w:val="clear" w:color="auto" w:fill="FFFFFF"/>
          </w:tcPr>
          <w:p w14:paraId="65FC20EF" w14:textId="4DCCDEA3" w:rsidR="00CE20EB" w:rsidRPr="00A53EE1" w:rsidRDefault="005357E0" w:rsidP="00ED1D49">
            <w:pPr>
              <w:pStyle w:val="CETBodytext"/>
              <w:ind w:right="-1"/>
              <w:jc w:val="center"/>
              <w:rPr>
                <w:rFonts w:cs="Arial"/>
                <w:szCs w:val="18"/>
              </w:rPr>
            </w:pPr>
            <w:r w:rsidRPr="00A53EE1">
              <w:t>30</w:t>
            </w:r>
            <w:r w:rsidR="00431B53">
              <w:t>.</w:t>
            </w:r>
            <w:r w:rsidRPr="00A53EE1">
              <w:t>049</w:t>
            </w:r>
            <w:r w:rsidR="00431B53">
              <w:t>.</w:t>
            </w:r>
            <w:r w:rsidRPr="00A53EE1">
              <w:t>696</w:t>
            </w:r>
          </w:p>
        </w:tc>
      </w:tr>
      <w:tr w:rsidR="0008010F" w:rsidRPr="00A53EE1" w14:paraId="29C7944F" w14:textId="14886D6F" w:rsidTr="00C04CD3">
        <w:tc>
          <w:tcPr>
            <w:tcW w:w="1667" w:type="pct"/>
            <w:tcBorders>
              <w:right w:val="single" w:sz="6" w:space="0" w:color="008000"/>
            </w:tcBorders>
            <w:shd w:val="clear" w:color="auto" w:fill="FFFFFF"/>
          </w:tcPr>
          <w:p w14:paraId="1D7F306E" w14:textId="69501FE3" w:rsidR="00CE20EB" w:rsidRPr="00A53EE1" w:rsidRDefault="005357E0" w:rsidP="00ED1D49">
            <w:pPr>
              <w:pStyle w:val="CETBodytext"/>
              <w:ind w:right="-1"/>
              <w:jc w:val="center"/>
              <w:rPr>
                <w:rFonts w:cs="Arial"/>
                <w:szCs w:val="18"/>
              </w:rPr>
            </w:pPr>
            <w:r w:rsidRPr="00A53EE1">
              <w:t>Turkey</w:t>
            </w:r>
          </w:p>
        </w:tc>
        <w:tc>
          <w:tcPr>
            <w:tcW w:w="1667" w:type="pct"/>
            <w:tcBorders>
              <w:left w:val="single" w:sz="6" w:space="0" w:color="008000"/>
            </w:tcBorders>
            <w:shd w:val="clear" w:color="auto" w:fill="FFFFFF"/>
          </w:tcPr>
          <w:p w14:paraId="3371A4AF" w14:textId="4785F1B3" w:rsidR="00CE20EB" w:rsidRPr="00A53EE1" w:rsidRDefault="005357E0" w:rsidP="00ED1D49">
            <w:pPr>
              <w:pStyle w:val="CETBodytext"/>
              <w:ind w:right="-1"/>
              <w:jc w:val="center"/>
              <w:rPr>
                <w:rFonts w:cs="Arial"/>
                <w:szCs w:val="18"/>
              </w:rPr>
            </w:pPr>
            <w:r w:rsidRPr="00A53EE1">
              <w:t>103</w:t>
            </w:r>
            <w:r w:rsidR="00807E64">
              <w:t>.</w:t>
            </w:r>
            <w:r w:rsidRPr="00A53EE1">
              <w:t>996</w:t>
            </w:r>
          </w:p>
        </w:tc>
        <w:tc>
          <w:tcPr>
            <w:tcW w:w="1667" w:type="pct"/>
            <w:tcBorders>
              <w:left w:val="single" w:sz="6" w:space="0" w:color="008000"/>
            </w:tcBorders>
            <w:shd w:val="clear" w:color="auto" w:fill="FFFFFF"/>
          </w:tcPr>
          <w:p w14:paraId="50DAF16C" w14:textId="367EA817" w:rsidR="00CE20EB" w:rsidRPr="00A53EE1" w:rsidRDefault="005357E0" w:rsidP="00ED1D49">
            <w:pPr>
              <w:pStyle w:val="CETBodytext"/>
              <w:ind w:right="-1"/>
              <w:jc w:val="center"/>
              <w:rPr>
                <w:rFonts w:cs="Arial"/>
                <w:szCs w:val="18"/>
              </w:rPr>
            </w:pPr>
            <w:r w:rsidRPr="00A53EE1">
              <w:t>28</w:t>
            </w:r>
            <w:r w:rsidR="00431B53">
              <w:t>.</w:t>
            </w:r>
            <w:r w:rsidRPr="00A53EE1">
              <w:t>986</w:t>
            </w:r>
            <w:r w:rsidR="00431B53">
              <w:t>.</w:t>
            </w:r>
            <w:r w:rsidRPr="00A53EE1">
              <w:t>670</w:t>
            </w:r>
          </w:p>
        </w:tc>
      </w:tr>
      <w:tr w:rsidR="0008010F" w:rsidRPr="00A53EE1" w14:paraId="4D386CF7" w14:textId="7A6C9B9D" w:rsidTr="00C04CD3">
        <w:tc>
          <w:tcPr>
            <w:tcW w:w="1667" w:type="pct"/>
            <w:tcBorders>
              <w:right w:val="single" w:sz="6" w:space="0" w:color="008000"/>
            </w:tcBorders>
            <w:shd w:val="clear" w:color="auto" w:fill="FFFFFF"/>
          </w:tcPr>
          <w:p w14:paraId="68916028" w14:textId="0D1440D1" w:rsidR="00CE20EB" w:rsidRPr="00A53EE1" w:rsidRDefault="005357E0" w:rsidP="00ED1D49">
            <w:pPr>
              <w:pStyle w:val="CETBodytext"/>
              <w:ind w:right="-1"/>
              <w:jc w:val="center"/>
              <w:rPr>
                <w:rFonts w:cs="Arial"/>
                <w:szCs w:val="18"/>
              </w:rPr>
            </w:pPr>
            <w:r w:rsidRPr="00A53EE1">
              <w:t>Sri Lanka</w:t>
            </w:r>
          </w:p>
        </w:tc>
        <w:tc>
          <w:tcPr>
            <w:tcW w:w="1667" w:type="pct"/>
            <w:tcBorders>
              <w:left w:val="single" w:sz="6" w:space="0" w:color="008000"/>
            </w:tcBorders>
            <w:shd w:val="clear" w:color="auto" w:fill="FFFFFF"/>
          </w:tcPr>
          <w:p w14:paraId="2C22C6FC" w14:textId="34033985" w:rsidR="00CE20EB" w:rsidRPr="00A53EE1" w:rsidRDefault="005357E0" w:rsidP="00ED1D49">
            <w:pPr>
              <w:pStyle w:val="CETBodytext"/>
              <w:ind w:right="-1"/>
              <w:jc w:val="center"/>
              <w:rPr>
                <w:rFonts w:cs="Arial"/>
                <w:szCs w:val="18"/>
              </w:rPr>
            </w:pPr>
            <w:r w:rsidRPr="00A53EE1">
              <w:t>41</w:t>
            </w:r>
            <w:r w:rsidR="00807E64">
              <w:t>.</w:t>
            </w:r>
            <w:r w:rsidRPr="00A53EE1">
              <w:t>046</w:t>
            </w:r>
          </w:p>
        </w:tc>
        <w:tc>
          <w:tcPr>
            <w:tcW w:w="1667" w:type="pct"/>
            <w:tcBorders>
              <w:left w:val="single" w:sz="6" w:space="0" w:color="008000"/>
            </w:tcBorders>
            <w:shd w:val="clear" w:color="auto" w:fill="FFFFFF"/>
          </w:tcPr>
          <w:p w14:paraId="339ADF01" w14:textId="12FD510F" w:rsidR="00CE20EB" w:rsidRPr="00A53EE1" w:rsidRDefault="005357E0" w:rsidP="00ED1D49">
            <w:pPr>
              <w:pStyle w:val="CETBodytext"/>
              <w:ind w:right="-1"/>
              <w:jc w:val="center"/>
              <w:rPr>
                <w:rFonts w:cs="Arial"/>
                <w:szCs w:val="18"/>
              </w:rPr>
            </w:pPr>
            <w:r w:rsidRPr="00A53EE1">
              <w:t>4</w:t>
            </w:r>
            <w:r w:rsidR="00431B53">
              <w:t>.</w:t>
            </w:r>
            <w:r w:rsidRPr="00A53EE1">
              <w:t>475</w:t>
            </w:r>
            <w:r w:rsidR="00431B53">
              <w:t>.</w:t>
            </w:r>
            <w:r w:rsidRPr="00A53EE1">
              <w:t>364</w:t>
            </w:r>
          </w:p>
        </w:tc>
      </w:tr>
      <w:tr w:rsidR="0008010F" w:rsidRPr="00A53EE1" w14:paraId="2C341F09" w14:textId="77777777" w:rsidTr="00C04CD3">
        <w:tc>
          <w:tcPr>
            <w:tcW w:w="1667" w:type="pct"/>
            <w:tcBorders>
              <w:right w:val="single" w:sz="6" w:space="0" w:color="008000"/>
            </w:tcBorders>
            <w:shd w:val="clear" w:color="auto" w:fill="FFFFFF"/>
          </w:tcPr>
          <w:p w14:paraId="2F182DD4" w14:textId="61F2DCAC" w:rsidR="00CE20EB" w:rsidRPr="00A53EE1" w:rsidRDefault="005357E0" w:rsidP="00ED1D49">
            <w:pPr>
              <w:pStyle w:val="CETBodytext"/>
              <w:ind w:right="-1"/>
              <w:jc w:val="center"/>
              <w:rPr>
                <w:rFonts w:cs="Arial"/>
                <w:szCs w:val="18"/>
              </w:rPr>
            </w:pPr>
            <w:r w:rsidRPr="00A53EE1">
              <w:t>France</w:t>
            </w:r>
          </w:p>
        </w:tc>
        <w:tc>
          <w:tcPr>
            <w:tcW w:w="1667" w:type="pct"/>
            <w:tcBorders>
              <w:left w:val="single" w:sz="6" w:space="0" w:color="008000"/>
            </w:tcBorders>
            <w:shd w:val="clear" w:color="auto" w:fill="FFFFFF"/>
          </w:tcPr>
          <w:p w14:paraId="4DA2E486" w14:textId="1B1B6878" w:rsidR="00CE20EB" w:rsidRPr="00A53EE1" w:rsidRDefault="005357E0" w:rsidP="00ED1D49">
            <w:pPr>
              <w:pStyle w:val="CETBodytext"/>
              <w:ind w:right="-1"/>
              <w:jc w:val="center"/>
              <w:rPr>
                <w:rFonts w:cs="Arial"/>
                <w:szCs w:val="18"/>
              </w:rPr>
            </w:pPr>
            <w:r w:rsidRPr="00A53EE1">
              <w:t>35</w:t>
            </w:r>
            <w:r w:rsidR="00807E64">
              <w:t>.</w:t>
            </w:r>
            <w:r w:rsidRPr="00A53EE1">
              <w:t>177</w:t>
            </w:r>
          </w:p>
        </w:tc>
        <w:tc>
          <w:tcPr>
            <w:tcW w:w="1667" w:type="pct"/>
            <w:tcBorders>
              <w:left w:val="single" w:sz="6" w:space="0" w:color="008000"/>
            </w:tcBorders>
            <w:shd w:val="clear" w:color="auto" w:fill="FFFFFF"/>
          </w:tcPr>
          <w:p w14:paraId="7D25BF98" w14:textId="2252FE7E" w:rsidR="00CE20EB" w:rsidRPr="00A53EE1" w:rsidRDefault="005357E0" w:rsidP="007E75F1">
            <w:pPr>
              <w:pStyle w:val="CETBodytext"/>
              <w:ind w:right="-1"/>
              <w:jc w:val="center"/>
              <w:rPr>
                <w:rFonts w:cs="Arial"/>
                <w:szCs w:val="18"/>
              </w:rPr>
            </w:pPr>
            <w:r w:rsidRPr="00A53EE1">
              <w:t>45</w:t>
            </w:r>
            <w:r w:rsidR="00431B53">
              <w:t>.</w:t>
            </w:r>
            <w:r w:rsidRPr="00A53EE1">
              <w:t>956</w:t>
            </w:r>
            <w:r w:rsidR="00431B53">
              <w:t>.</w:t>
            </w:r>
            <w:r w:rsidRPr="00A53EE1">
              <w:t>100</w:t>
            </w:r>
          </w:p>
        </w:tc>
      </w:tr>
      <w:tr w:rsidR="0008010F" w:rsidRPr="00A53EE1" w14:paraId="6B48D4FC" w14:textId="77777777" w:rsidTr="00C04CD3">
        <w:tc>
          <w:tcPr>
            <w:tcW w:w="1667" w:type="pct"/>
            <w:tcBorders>
              <w:right w:val="single" w:sz="6" w:space="0" w:color="008000"/>
            </w:tcBorders>
            <w:shd w:val="clear" w:color="auto" w:fill="FFFFFF"/>
          </w:tcPr>
          <w:p w14:paraId="669756A3" w14:textId="528A36B2" w:rsidR="00CE20EB" w:rsidRPr="00A53EE1" w:rsidRDefault="005357E0" w:rsidP="007E75F1">
            <w:pPr>
              <w:pStyle w:val="CETBodytext"/>
              <w:ind w:right="-1"/>
              <w:jc w:val="center"/>
              <w:rPr>
                <w:rFonts w:cs="Arial"/>
                <w:szCs w:val="18"/>
              </w:rPr>
            </w:pPr>
            <w:r w:rsidRPr="00A53EE1">
              <w:t>Vietnam</w:t>
            </w:r>
          </w:p>
        </w:tc>
        <w:tc>
          <w:tcPr>
            <w:tcW w:w="1667" w:type="pct"/>
            <w:tcBorders>
              <w:left w:val="single" w:sz="6" w:space="0" w:color="008000"/>
            </w:tcBorders>
            <w:shd w:val="clear" w:color="auto" w:fill="FFFFFF"/>
          </w:tcPr>
          <w:p w14:paraId="56E39829" w14:textId="64F9FA58" w:rsidR="00CE20EB" w:rsidRPr="00A53EE1" w:rsidRDefault="005357E0" w:rsidP="007E75F1">
            <w:pPr>
              <w:pStyle w:val="CETBodytext"/>
              <w:ind w:right="-1"/>
              <w:jc w:val="center"/>
              <w:rPr>
                <w:rFonts w:cs="Arial"/>
                <w:szCs w:val="18"/>
              </w:rPr>
            </w:pPr>
            <w:r w:rsidRPr="00A53EE1">
              <w:t>29</w:t>
            </w:r>
            <w:r w:rsidR="00807E64">
              <w:t>.</w:t>
            </w:r>
            <w:r w:rsidRPr="00A53EE1">
              <w:t>545</w:t>
            </w:r>
          </w:p>
        </w:tc>
        <w:tc>
          <w:tcPr>
            <w:tcW w:w="1667" w:type="pct"/>
            <w:tcBorders>
              <w:left w:val="single" w:sz="6" w:space="0" w:color="008000"/>
            </w:tcBorders>
            <w:shd w:val="clear" w:color="auto" w:fill="FFFFFF"/>
          </w:tcPr>
          <w:p w14:paraId="74513AC7" w14:textId="2DC59AC0" w:rsidR="00CE20EB" w:rsidRPr="00A53EE1" w:rsidRDefault="005357E0" w:rsidP="007E75F1">
            <w:pPr>
              <w:pStyle w:val="CETBodytext"/>
              <w:ind w:right="-1"/>
              <w:jc w:val="center"/>
              <w:rPr>
                <w:rFonts w:cs="Arial"/>
                <w:szCs w:val="18"/>
              </w:rPr>
            </w:pPr>
            <w:r w:rsidRPr="00A53EE1">
              <w:t>23</w:t>
            </w:r>
            <w:r w:rsidR="00431B53">
              <w:t>.</w:t>
            </w:r>
            <w:r w:rsidRPr="00A53EE1">
              <w:t>404</w:t>
            </w:r>
            <w:r w:rsidR="00431B53">
              <w:t>.</w:t>
            </w:r>
            <w:r w:rsidRPr="00A53EE1">
              <w:t>066</w:t>
            </w:r>
          </w:p>
        </w:tc>
      </w:tr>
      <w:tr w:rsidR="0008010F" w:rsidRPr="00A53EE1" w14:paraId="545E37E4" w14:textId="77777777" w:rsidTr="00C04CD3">
        <w:tc>
          <w:tcPr>
            <w:tcW w:w="1667" w:type="pct"/>
            <w:tcBorders>
              <w:right w:val="single" w:sz="6" w:space="0" w:color="008000"/>
            </w:tcBorders>
            <w:shd w:val="clear" w:color="auto" w:fill="FFFFFF"/>
          </w:tcPr>
          <w:p w14:paraId="641FA894" w14:textId="76FA454C" w:rsidR="00CE20EB" w:rsidRPr="00A53EE1" w:rsidRDefault="005357E0" w:rsidP="007E75F1">
            <w:pPr>
              <w:pStyle w:val="CETBodytext"/>
              <w:ind w:right="-1"/>
              <w:jc w:val="center"/>
              <w:rPr>
                <w:rFonts w:cs="Arial"/>
                <w:szCs w:val="18"/>
              </w:rPr>
            </w:pPr>
            <w:r w:rsidRPr="00A53EE1">
              <w:t>Nepal</w:t>
            </w:r>
          </w:p>
        </w:tc>
        <w:tc>
          <w:tcPr>
            <w:tcW w:w="1667" w:type="pct"/>
            <w:tcBorders>
              <w:left w:val="single" w:sz="6" w:space="0" w:color="008000"/>
            </w:tcBorders>
            <w:shd w:val="clear" w:color="auto" w:fill="FFFFFF"/>
          </w:tcPr>
          <w:p w14:paraId="2D93184C" w14:textId="10CE8800" w:rsidR="00CE20EB" w:rsidRPr="00A53EE1" w:rsidRDefault="005357E0" w:rsidP="007E75F1">
            <w:pPr>
              <w:pStyle w:val="CETBodytext"/>
              <w:ind w:right="-1"/>
              <w:jc w:val="center"/>
              <w:rPr>
                <w:rFonts w:cs="Arial"/>
                <w:szCs w:val="18"/>
              </w:rPr>
            </w:pPr>
            <w:r w:rsidRPr="00A53EE1">
              <w:t>27</w:t>
            </w:r>
            <w:r w:rsidR="00807E64">
              <w:t>.</w:t>
            </w:r>
            <w:r w:rsidRPr="00A53EE1">
              <w:t>224</w:t>
            </w:r>
          </w:p>
        </w:tc>
        <w:tc>
          <w:tcPr>
            <w:tcW w:w="1667" w:type="pct"/>
            <w:tcBorders>
              <w:left w:val="single" w:sz="6" w:space="0" w:color="008000"/>
            </w:tcBorders>
            <w:shd w:val="clear" w:color="auto" w:fill="FFFFFF"/>
          </w:tcPr>
          <w:p w14:paraId="7F17EFFA" w14:textId="78F5656D" w:rsidR="00CE20EB" w:rsidRPr="00A53EE1" w:rsidRDefault="005357E0" w:rsidP="007E75F1">
            <w:pPr>
              <w:pStyle w:val="CETBodytext"/>
              <w:ind w:right="-1"/>
              <w:jc w:val="center"/>
              <w:rPr>
                <w:rFonts w:cs="Arial"/>
                <w:szCs w:val="18"/>
              </w:rPr>
            </w:pPr>
            <w:r w:rsidRPr="00A53EE1">
              <w:t>6</w:t>
            </w:r>
            <w:r w:rsidR="00431B53">
              <w:t>.</w:t>
            </w:r>
            <w:r w:rsidRPr="00A53EE1">
              <w:t>836</w:t>
            </w:r>
            <w:r w:rsidR="00431B53">
              <w:t>.</w:t>
            </w:r>
            <w:r w:rsidRPr="00A53EE1">
              <w:t>415</w:t>
            </w:r>
          </w:p>
        </w:tc>
      </w:tr>
      <w:tr w:rsidR="0008010F" w:rsidRPr="00A53EE1" w14:paraId="0417E082" w14:textId="77777777" w:rsidTr="00C04CD3">
        <w:tc>
          <w:tcPr>
            <w:tcW w:w="1667" w:type="pct"/>
            <w:tcBorders>
              <w:right w:val="single" w:sz="6" w:space="0" w:color="008000"/>
            </w:tcBorders>
            <w:shd w:val="clear" w:color="auto" w:fill="FFFFFF"/>
          </w:tcPr>
          <w:p w14:paraId="3D92F939" w14:textId="7CF4D031" w:rsidR="00CE20EB" w:rsidRPr="00A53EE1" w:rsidRDefault="005357E0" w:rsidP="007E75F1">
            <w:pPr>
              <w:pStyle w:val="CETBodytext"/>
              <w:ind w:right="-1"/>
              <w:jc w:val="center"/>
              <w:rPr>
                <w:rFonts w:cs="Arial"/>
                <w:szCs w:val="18"/>
              </w:rPr>
            </w:pPr>
            <w:r w:rsidRPr="00A53EE1">
              <w:t>Afghanistan</w:t>
            </w:r>
          </w:p>
        </w:tc>
        <w:tc>
          <w:tcPr>
            <w:tcW w:w="1667" w:type="pct"/>
            <w:tcBorders>
              <w:left w:val="single" w:sz="6" w:space="0" w:color="008000"/>
            </w:tcBorders>
            <w:shd w:val="clear" w:color="auto" w:fill="FFFFFF"/>
          </w:tcPr>
          <w:p w14:paraId="4A6FDFEA" w14:textId="7940F198" w:rsidR="00CE20EB" w:rsidRPr="00A53EE1" w:rsidRDefault="005357E0" w:rsidP="007E75F1">
            <w:pPr>
              <w:pStyle w:val="CETBodytext"/>
              <w:ind w:right="-1"/>
              <w:jc w:val="center"/>
              <w:rPr>
                <w:rFonts w:cs="Arial"/>
                <w:szCs w:val="18"/>
              </w:rPr>
            </w:pPr>
            <w:r w:rsidRPr="00A53EE1">
              <w:t>26</w:t>
            </w:r>
            <w:r w:rsidR="00807E64">
              <w:t>.</w:t>
            </w:r>
            <w:r w:rsidRPr="00A53EE1">
              <w:t>890</w:t>
            </w:r>
          </w:p>
        </w:tc>
        <w:tc>
          <w:tcPr>
            <w:tcW w:w="1667" w:type="pct"/>
            <w:tcBorders>
              <w:left w:val="single" w:sz="6" w:space="0" w:color="008000"/>
            </w:tcBorders>
            <w:shd w:val="clear" w:color="auto" w:fill="FFFFFF"/>
          </w:tcPr>
          <w:p w14:paraId="40EDF68A" w14:textId="4B813CBE" w:rsidR="00CE20EB" w:rsidRPr="00A53EE1" w:rsidRDefault="005357E0" w:rsidP="007E75F1">
            <w:pPr>
              <w:pStyle w:val="CETBodytext"/>
              <w:ind w:right="-1"/>
              <w:jc w:val="center"/>
              <w:rPr>
                <w:rFonts w:cs="Arial"/>
                <w:szCs w:val="18"/>
              </w:rPr>
            </w:pPr>
            <w:r w:rsidRPr="00A53EE1">
              <w:t>603</w:t>
            </w:r>
            <w:r w:rsidR="00431B53">
              <w:t>.</w:t>
            </w:r>
            <w:r w:rsidRPr="00A53EE1">
              <w:t>320</w:t>
            </w:r>
          </w:p>
        </w:tc>
      </w:tr>
      <w:tr w:rsidR="0008010F" w:rsidRPr="00A53EE1" w14:paraId="4520D40C" w14:textId="77777777" w:rsidTr="00C04CD3">
        <w:tc>
          <w:tcPr>
            <w:tcW w:w="1667" w:type="pct"/>
            <w:tcBorders>
              <w:right w:val="single" w:sz="6" w:space="0" w:color="008000"/>
            </w:tcBorders>
            <w:shd w:val="clear" w:color="auto" w:fill="FFFFFF"/>
          </w:tcPr>
          <w:p w14:paraId="230C7C92" w14:textId="1062D4C2" w:rsidR="00CE20EB" w:rsidRPr="00A53EE1" w:rsidRDefault="005357E0" w:rsidP="007E75F1">
            <w:pPr>
              <w:pStyle w:val="CETBodytext"/>
              <w:ind w:right="-1"/>
              <w:jc w:val="center"/>
              <w:rPr>
                <w:rFonts w:cs="Arial"/>
                <w:szCs w:val="18"/>
              </w:rPr>
            </w:pPr>
            <w:r w:rsidRPr="00A53EE1">
              <w:t>Germany</w:t>
            </w:r>
          </w:p>
        </w:tc>
        <w:tc>
          <w:tcPr>
            <w:tcW w:w="1667" w:type="pct"/>
            <w:tcBorders>
              <w:left w:val="single" w:sz="6" w:space="0" w:color="008000"/>
            </w:tcBorders>
            <w:shd w:val="clear" w:color="auto" w:fill="FFFFFF"/>
          </w:tcPr>
          <w:p w14:paraId="3113C05C" w14:textId="38042DD9" w:rsidR="00CE20EB" w:rsidRPr="00A53EE1" w:rsidRDefault="005357E0" w:rsidP="007E75F1">
            <w:pPr>
              <w:pStyle w:val="CETBodytext"/>
              <w:ind w:right="-1"/>
              <w:jc w:val="center"/>
              <w:rPr>
                <w:rFonts w:cs="Arial"/>
                <w:szCs w:val="18"/>
              </w:rPr>
            </w:pPr>
            <w:r w:rsidRPr="00A53EE1">
              <w:t>13</w:t>
            </w:r>
            <w:r w:rsidR="00807E64">
              <w:t>.</w:t>
            </w:r>
            <w:r w:rsidRPr="00A53EE1">
              <w:t>775</w:t>
            </w:r>
          </w:p>
        </w:tc>
        <w:tc>
          <w:tcPr>
            <w:tcW w:w="1667" w:type="pct"/>
            <w:tcBorders>
              <w:left w:val="single" w:sz="6" w:space="0" w:color="008000"/>
            </w:tcBorders>
            <w:shd w:val="clear" w:color="auto" w:fill="FFFFFF"/>
          </w:tcPr>
          <w:p w14:paraId="5DC762A9" w14:textId="5ABFAB86" w:rsidR="00CE20EB" w:rsidRPr="00A53EE1" w:rsidRDefault="005357E0" w:rsidP="007E75F1">
            <w:pPr>
              <w:pStyle w:val="CETBodytext"/>
              <w:ind w:right="-1"/>
              <w:jc w:val="center"/>
              <w:rPr>
                <w:rFonts w:cs="Arial"/>
                <w:szCs w:val="18"/>
              </w:rPr>
            </w:pPr>
            <w:r w:rsidRPr="00A53EE1">
              <w:t>62</w:t>
            </w:r>
            <w:r w:rsidR="00431B53">
              <w:t>.</w:t>
            </w:r>
            <w:r w:rsidRPr="00A53EE1">
              <w:t>575</w:t>
            </w:r>
            <w:r w:rsidR="00431B53">
              <w:t>.</w:t>
            </w:r>
            <w:r w:rsidRPr="00A53EE1">
              <w:t>505</w:t>
            </w:r>
          </w:p>
        </w:tc>
      </w:tr>
      <w:tr w:rsidR="0008010F" w:rsidRPr="00A53EE1" w14:paraId="532FF6C8" w14:textId="77777777" w:rsidTr="00C04CD3">
        <w:tc>
          <w:tcPr>
            <w:tcW w:w="1667" w:type="pct"/>
            <w:tcBorders>
              <w:right w:val="single" w:sz="6" w:space="0" w:color="008000"/>
            </w:tcBorders>
            <w:shd w:val="clear" w:color="auto" w:fill="FFFFFF"/>
          </w:tcPr>
          <w:p w14:paraId="1773A45B" w14:textId="679F4400" w:rsidR="00CE20EB" w:rsidRPr="00A53EE1" w:rsidRDefault="005357E0" w:rsidP="007E75F1">
            <w:pPr>
              <w:pStyle w:val="CETBodytext"/>
              <w:ind w:right="-1"/>
              <w:jc w:val="center"/>
              <w:rPr>
                <w:rFonts w:cs="Arial"/>
                <w:szCs w:val="18"/>
              </w:rPr>
            </w:pPr>
            <w:r w:rsidRPr="00A53EE1">
              <w:t>Algeria</w:t>
            </w:r>
          </w:p>
        </w:tc>
        <w:tc>
          <w:tcPr>
            <w:tcW w:w="1667" w:type="pct"/>
            <w:tcBorders>
              <w:left w:val="single" w:sz="6" w:space="0" w:color="008000"/>
            </w:tcBorders>
            <w:shd w:val="clear" w:color="auto" w:fill="FFFFFF"/>
          </w:tcPr>
          <w:p w14:paraId="4A750249" w14:textId="06242679" w:rsidR="00CE20EB" w:rsidRPr="00A53EE1" w:rsidRDefault="005357E0" w:rsidP="007E75F1">
            <w:pPr>
              <w:pStyle w:val="CETBodytext"/>
              <w:ind w:right="-1"/>
              <w:jc w:val="center"/>
              <w:rPr>
                <w:rFonts w:cs="Arial"/>
                <w:szCs w:val="18"/>
              </w:rPr>
            </w:pPr>
            <w:r w:rsidRPr="00A53EE1">
              <w:t>13</w:t>
            </w:r>
            <w:r w:rsidR="00807E64">
              <w:t>.</w:t>
            </w:r>
            <w:r w:rsidRPr="00A53EE1">
              <w:t>382</w:t>
            </w:r>
          </w:p>
        </w:tc>
        <w:tc>
          <w:tcPr>
            <w:tcW w:w="1667" w:type="pct"/>
            <w:tcBorders>
              <w:left w:val="single" w:sz="6" w:space="0" w:color="008000"/>
            </w:tcBorders>
            <w:shd w:val="clear" w:color="auto" w:fill="FFFFFF"/>
          </w:tcPr>
          <w:p w14:paraId="05E59273" w14:textId="66F118E3" w:rsidR="00CE20EB" w:rsidRPr="00A53EE1" w:rsidRDefault="005357E0" w:rsidP="007E75F1">
            <w:pPr>
              <w:pStyle w:val="CETBodytext"/>
              <w:ind w:right="-1"/>
              <w:jc w:val="center"/>
              <w:rPr>
                <w:rFonts w:cs="Arial"/>
                <w:szCs w:val="18"/>
              </w:rPr>
            </w:pPr>
            <w:r w:rsidRPr="00A53EE1">
              <w:t>12</w:t>
            </w:r>
            <w:r w:rsidR="00431B53">
              <w:t>.</w:t>
            </w:r>
            <w:r w:rsidRPr="00A53EE1">
              <w:t>614</w:t>
            </w:r>
            <w:r w:rsidR="00431B53">
              <w:t>.</w:t>
            </w:r>
            <w:r w:rsidRPr="00A53EE1">
              <w:t>846</w:t>
            </w:r>
          </w:p>
        </w:tc>
      </w:tr>
      <w:tr w:rsidR="0008010F" w:rsidRPr="00A53EE1" w14:paraId="3027D00B" w14:textId="77777777" w:rsidTr="00C04CD3">
        <w:tc>
          <w:tcPr>
            <w:tcW w:w="1667" w:type="pct"/>
            <w:tcBorders>
              <w:right w:val="single" w:sz="6" w:space="0" w:color="008000"/>
            </w:tcBorders>
            <w:shd w:val="clear" w:color="auto" w:fill="FFFFFF"/>
          </w:tcPr>
          <w:p w14:paraId="71282C83" w14:textId="15CCB3DC" w:rsidR="00CE20EB" w:rsidRPr="00A53EE1" w:rsidRDefault="005357E0" w:rsidP="00ED1D49">
            <w:pPr>
              <w:pStyle w:val="CETBodytext"/>
              <w:ind w:right="-1"/>
              <w:jc w:val="center"/>
              <w:rPr>
                <w:rFonts w:cs="Arial"/>
                <w:szCs w:val="18"/>
              </w:rPr>
            </w:pPr>
            <w:r w:rsidRPr="00A53EE1">
              <w:t>South Korea</w:t>
            </w:r>
          </w:p>
        </w:tc>
        <w:tc>
          <w:tcPr>
            <w:tcW w:w="1667" w:type="pct"/>
            <w:tcBorders>
              <w:left w:val="single" w:sz="6" w:space="0" w:color="008000"/>
            </w:tcBorders>
            <w:shd w:val="clear" w:color="auto" w:fill="FFFFFF"/>
          </w:tcPr>
          <w:p w14:paraId="2D40916E" w14:textId="4A54BAB8" w:rsidR="00CE20EB" w:rsidRPr="00A53EE1" w:rsidRDefault="005357E0" w:rsidP="00ED1D49">
            <w:pPr>
              <w:pStyle w:val="CETBodytext"/>
              <w:ind w:right="-1"/>
              <w:jc w:val="center"/>
              <w:rPr>
                <w:rFonts w:cs="Arial"/>
                <w:szCs w:val="18"/>
              </w:rPr>
            </w:pPr>
            <w:r w:rsidRPr="00A53EE1">
              <w:t>12</w:t>
            </w:r>
            <w:r w:rsidR="00807E64">
              <w:t>.</w:t>
            </w:r>
            <w:r w:rsidRPr="00A53EE1">
              <w:t>734</w:t>
            </w:r>
          </w:p>
        </w:tc>
        <w:tc>
          <w:tcPr>
            <w:tcW w:w="1667" w:type="pct"/>
            <w:tcBorders>
              <w:left w:val="single" w:sz="6" w:space="0" w:color="008000"/>
            </w:tcBorders>
            <w:shd w:val="clear" w:color="auto" w:fill="FFFFFF"/>
          </w:tcPr>
          <w:p w14:paraId="2117FBE9" w14:textId="29152CFB" w:rsidR="00CE20EB" w:rsidRPr="00A53EE1" w:rsidRDefault="005357E0" w:rsidP="00ED1D49">
            <w:pPr>
              <w:pStyle w:val="CETBodytext"/>
              <w:ind w:right="-1"/>
              <w:jc w:val="center"/>
              <w:rPr>
                <w:rFonts w:cs="Arial"/>
                <w:szCs w:val="18"/>
              </w:rPr>
            </w:pPr>
            <w:r w:rsidRPr="00A53EE1">
              <w:t>18</w:t>
            </w:r>
            <w:r w:rsidR="00431B53">
              <w:t>.</w:t>
            </w:r>
            <w:r w:rsidRPr="00A53EE1">
              <w:t>748</w:t>
            </w:r>
            <w:r w:rsidR="00431B53">
              <w:t>.</w:t>
            </w:r>
            <w:r w:rsidRPr="00A53EE1">
              <w:t>034</w:t>
            </w:r>
          </w:p>
        </w:tc>
      </w:tr>
      <w:tr w:rsidR="0008010F" w:rsidRPr="00A53EE1" w14:paraId="5EB43C37" w14:textId="77777777" w:rsidTr="00C04CD3">
        <w:tc>
          <w:tcPr>
            <w:tcW w:w="1667" w:type="pct"/>
            <w:tcBorders>
              <w:right w:val="single" w:sz="6" w:space="0" w:color="008000"/>
            </w:tcBorders>
            <w:shd w:val="clear" w:color="auto" w:fill="FFFFFF"/>
          </w:tcPr>
          <w:p w14:paraId="5ECA9BFD" w14:textId="6CBFF369" w:rsidR="00CE20EB" w:rsidRPr="00A53EE1" w:rsidRDefault="00CE20EB" w:rsidP="00ED1D49">
            <w:pPr>
              <w:pStyle w:val="CETBodytext"/>
              <w:ind w:right="-1"/>
              <w:jc w:val="center"/>
              <w:rPr>
                <w:rFonts w:cs="Arial"/>
                <w:szCs w:val="18"/>
              </w:rPr>
            </w:pPr>
            <w:r w:rsidRPr="00A53EE1">
              <w:t>Yemen</w:t>
            </w:r>
          </w:p>
        </w:tc>
        <w:tc>
          <w:tcPr>
            <w:tcW w:w="1667" w:type="pct"/>
            <w:tcBorders>
              <w:left w:val="single" w:sz="6" w:space="0" w:color="008000"/>
            </w:tcBorders>
            <w:shd w:val="clear" w:color="auto" w:fill="FFFFFF"/>
          </w:tcPr>
          <w:p w14:paraId="1DCF3080" w14:textId="2C6B5DAB" w:rsidR="00CE20EB" w:rsidRPr="00A53EE1" w:rsidRDefault="00CE20EB" w:rsidP="00ED1D49">
            <w:pPr>
              <w:pStyle w:val="CETBodytext"/>
              <w:ind w:right="-1"/>
              <w:jc w:val="center"/>
              <w:rPr>
                <w:rFonts w:cs="Arial"/>
                <w:szCs w:val="18"/>
              </w:rPr>
            </w:pPr>
            <w:r w:rsidRPr="00A53EE1">
              <w:t>7</w:t>
            </w:r>
            <w:r w:rsidR="00807E64">
              <w:t>.</w:t>
            </w:r>
            <w:r w:rsidRPr="00A53EE1">
              <w:t>539</w:t>
            </w:r>
          </w:p>
        </w:tc>
        <w:tc>
          <w:tcPr>
            <w:tcW w:w="1667" w:type="pct"/>
            <w:tcBorders>
              <w:left w:val="single" w:sz="6" w:space="0" w:color="008000"/>
            </w:tcBorders>
            <w:shd w:val="clear" w:color="auto" w:fill="FFFFFF"/>
          </w:tcPr>
          <w:p w14:paraId="30844E15" w14:textId="353367BF" w:rsidR="00CE20EB" w:rsidRPr="00A53EE1" w:rsidRDefault="00CE20EB" w:rsidP="00ED1D49">
            <w:pPr>
              <w:pStyle w:val="CETBodytext"/>
              <w:ind w:right="-1"/>
              <w:jc w:val="center"/>
              <w:rPr>
                <w:rFonts w:cs="Arial"/>
                <w:szCs w:val="18"/>
              </w:rPr>
            </w:pPr>
            <w:r w:rsidRPr="00A53EE1">
              <w:t>4</w:t>
            </w:r>
            <w:r w:rsidR="00431B53">
              <w:t>.</w:t>
            </w:r>
            <w:r w:rsidRPr="00A53EE1">
              <w:t>894</w:t>
            </w:r>
            <w:r w:rsidR="00431B53">
              <w:t>.</w:t>
            </w:r>
            <w:r w:rsidRPr="00A53EE1">
              <w:t>400</w:t>
            </w:r>
          </w:p>
        </w:tc>
      </w:tr>
      <w:tr w:rsidR="0008010F" w:rsidRPr="00A53EE1" w14:paraId="12B58CAF" w14:textId="77777777" w:rsidTr="00C04CD3">
        <w:tc>
          <w:tcPr>
            <w:tcW w:w="1667" w:type="pct"/>
            <w:tcBorders>
              <w:right w:val="single" w:sz="6" w:space="0" w:color="008000"/>
            </w:tcBorders>
            <w:shd w:val="clear" w:color="auto" w:fill="FFFFFF"/>
          </w:tcPr>
          <w:p w14:paraId="4045ACEA" w14:textId="5D7EFF3A" w:rsidR="00CE20EB" w:rsidRPr="00A53EE1" w:rsidRDefault="00CE20EB" w:rsidP="00ED1D49">
            <w:pPr>
              <w:pStyle w:val="CETBodytext"/>
              <w:ind w:right="-1"/>
              <w:jc w:val="center"/>
              <w:rPr>
                <w:rFonts w:cs="Arial"/>
                <w:szCs w:val="18"/>
              </w:rPr>
            </w:pPr>
            <w:r w:rsidRPr="00A53EE1">
              <w:t>Romania</w:t>
            </w:r>
          </w:p>
        </w:tc>
        <w:tc>
          <w:tcPr>
            <w:tcW w:w="1667" w:type="pct"/>
            <w:tcBorders>
              <w:left w:val="single" w:sz="6" w:space="0" w:color="008000"/>
            </w:tcBorders>
            <w:shd w:val="clear" w:color="auto" w:fill="FFFFFF"/>
          </w:tcPr>
          <w:p w14:paraId="4C077442" w14:textId="101FE0EF" w:rsidR="00CE20EB" w:rsidRPr="00A53EE1" w:rsidRDefault="00CE20EB" w:rsidP="00ED1D49">
            <w:pPr>
              <w:pStyle w:val="CETBodytext"/>
              <w:ind w:right="-1"/>
              <w:jc w:val="center"/>
              <w:rPr>
                <w:rFonts w:cs="Arial"/>
                <w:szCs w:val="18"/>
              </w:rPr>
            </w:pPr>
            <w:r w:rsidRPr="00A53EE1">
              <w:t>5</w:t>
            </w:r>
            <w:r w:rsidR="00807E64">
              <w:t>.</w:t>
            </w:r>
            <w:r w:rsidRPr="00A53EE1">
              <w:t>681</w:t>
            </w:r>
          </w:p>
        </w:tc>
        <w:tc>
          <w:tcPr>
            <w:tcW w:w="1667" w:type="pct"/>
            <w:tcBorders>
              <w:left w:val="single" w:sz="6" w:space="0" w:color="008000"/>
            </w:tcBorders>
            <w:shd w:val="clear" w:color="auto" w:fill="FFFFFF"/>
          </w:tcPr>
          <w:p w14:paraId="5503ED5B" w14:textId="7F895D38" w:rsidR="00CE20EB" w:rsidRPr="00A53EE1" w:rsidRDefault="00CE20EB" w:rsidP="00ED1D49">
            <w:pPr>
              <w:pStyle w:val="CETBodytext"/>
              <w:ind w:right="-1"/>
              <w:jc w:val="center"/>
              <w:rPr>
                <w:rFonts w:cs="Arial"/>
                <w:szCs w:val="18"/>
              </w:rPr>
            </w:pPr>
            <w:r w:rsidRPr="00A53EE1">
              <w:t>6</w:t>
            </w:r>
            <w:r w:rsidR="00431B53">
              <w:t>.</w:t>
            </w:r>
            <w:r w:rsidRPr="00A53EE1">
              <w:t>199</w:t>
            </w:r>
            <w:r w:rsidR="00431B53">
              <w:t>.</w:t>
            </w:r>
            <w:r w:rsidRPr="00A53EE1">
              <w:t>920</w:t>
            </w:r>
          </w:p>
        </w:tc>
      </w:tr>
    </w:tbl>
    <w:p w14:paraId="6CE9DBD0" w14:textId="77777777" w:rsidR="00DC12F3" w:rsidRPr="00A53EE1" w:rsidRDefault="00DC12F3" w:rsidP="0005258D">
      <w:pPr>
        <w:pStyle w:val="CETBodytext"/>
      </w:pPr>
    </w:p>
    <w:p w14:paraId="392AD30D" w14:textId="53CA37CF" w:rsidR="00817A7F" w:rsidRDefault="00294C99" w:rsidP="00302B91">
      <w:pPr>
        <w:pStyle w:val="CETBodytext"/>
      </w:pPr>
      <w:r w:rsidRPr="00A53EE1">
        <w:fldChar w:fldCharType="begin"/>
      </w:r>
      <w:r w:rsidRPr="00A53EE1">
        <w:instrText xml:space="preserve"> REF _Ref90892744 \h </w:instrText>
      </w:r>
      <w:r w:rsidR="002C1EA9" w:rsidRPr="00A53EE1">
        <w:instrText xml:space="preserve"> \* MERGEFORMAT </w:instrText>
      </w:r>
      <w:r w:rsidRPr="00A53EE1">
        <w:fldChar w:fldCharType="separate"/>
      </w:r>
      <w:r w:rsidRPr="00A53EE1">
        <w:t xml:space="preserve">Table </w:t>
      </w:r>
      <w:r w:rsidRPr="00A53EE1">
        <w:rPr>
          <w:noProof/>
        </w:rPr>
        <w:t>3</w:t>
      </w:r>
      <w:r w:rsidRPr="00A53EE1">
        <w:fldChar w:fldCharType="end"/>
      </w:r>
      <w:r w:rsidR="00817A7F" w:rsidRPr="00A53EE1">
        <w:t xml:space="preserve"> </w:t>
      </w:r>
      <w:r w:rsidR="00F937D7" w:rsidRPr="00A53EE1">
        <w:t xml:space="preserve">proposes </w:t>
      </w:r>
      <w:r w:rsidR="00DC12F3" w:rsidRPr="00A53EE1">
        <w:t xml:space="preserve">a country classification </w:t>
      </w:r>
      <w:r w:rsidR="00822308" w:rsidRPr="00A53EE1">
        <w:t xml:space="preserve">in terms of deaths and economic damage </w:t>
      </w:r>
      <w:r w:rsidR="00DC12F3" w:rsidRPr="00A53EE1">
        <w:t xml:space="preserve">by </w:t>
      </w:r>
      <w:r w:rsidR="007349B5" w:rsidRPr="00A53EE1">
        <w:t>impact types</w:t>
      </w:r>
      <w:r w:rsidRPr="00A53EE1">
        <w:t xml:space="preserve"> </w:t>
      </w:r>
      <w:r w:rsidR="00F17671" w:rsidRPr="00A53EE1">
        <w:t xml:space="preserve">and </w:t>
      </w:r>
      <w:r w:rsidRPr="00A53EE1">
        <w:t>technological impacts</w:t>
      </w:r>
      <w:r w:rsidR="00FC01AC" w:rsidRPr="00A53EE1">
        <w:t xml:space="preserve">, this latter divided into </w:t>
      </w:r>
      <w:r w:rsidRPr="00A53EE1">
        <w:t>sub-types</w:t>
      </w:r>
      <w:r w:rsidR="004106C3" w:rsidRPr="00A53EE1">
        <w:t xml:space="preserve"> (industrial, transport, miscellaneous</w:t>
      </w:r>
      <w:r w:rsidR="00817A7F" w:rsidRPr="00A53EE1">
        <w:t>)</w:t>
      </w:r>
      <w:r w:rsidR="00FC01AC" w:rsidRPr="00A53EE1">
        <w:t xml:space="preserve">. </w:t>
      </w:r>
      <w:r w:rsidR="00817A7F" w:rsidRPr="00A53EE1">
        <w:t xml:space="preserve">Besides, </w:t>
      </w:r>
      <w:r w:rsidR="0000491D" w:rsidRPr="00A53EE1">
        <w:t xml:space="preserve">the analysis has been separated </w:t>
      </w:r>
      <w:r w:rsidR="009A5E1D">
        <w:t>into</w:t>
      </w:r>
      <w:r w:rsidR="009A5E1D" w:rsidRPr="00A53EE1">
        <w:t xml:space="preserve"> </w:t>
      </w:r>
      <w:r w:rsidR="0000491D" w:rsidRPr="00A53EE1">
        <w:t>two parts</w:t>
      </w:r>
      <w:r w:rsidR="00822308" w:rsidRPr="00A53EE1">
        <w:t xml:space="preserve">. </w:t>
      </w:r>
      <w:r w:rsidR="001F6882" w:rsidRPr="00A53EE1">
        <w:t xml:space="preserve">In terms of </w:t>
      </w:r>
      <w:r w:rsidR="0000491D" w:rsidRPr="00A53EE1">
        <w:t>Natural impacts</w:t>
      </w:r>
      <w:r w:rsidR="001F6882" w:rsidRPr="00A53EE1">
        <w:t xml:space="preserve">, </w:t>
      </w:r>
      <w:r w:rsidR="00817A7F" w:rsidRPr="00A53EE1">
        <w:t>Bangladesh</w:t>
      </w:r>
      <w:r w:rsidR="00DC12F3" w:rsidRPr="00A53EE1">
        <w:t xml:space="preserve"> has the higher number of fatalities in the reports with </w:t>
      </w:r>
      <w:r w:rsidR="00817A7F" w:rsidRPr="00A53EE1">
        <w:t>2</w:t>
      </w:r>
      <w:r w:rsidR="00807E64">
        <w:t>.</w:t>
      </w:r>
      <w:r w:rsidR="00817A7F" w:rsidRPr="00A53EE1">
        <w:t>993</w:t>
      </w:r>
      <w:r w:rsidR="00807E64">
        <w:t>.</w:t>
      </w:r>
      <w:r w:rsidR="00817A7F" w:rsidRPr="00A53EE1">
        <w:t>988</w:t>
      </w:r>
      <w:r w:rsidR="00DC12F3" w:rsidRPr="00A53EE1">
        <w:t xml:space="preserve"> deaths, follow</w:t>
      </w:r>
      <w:r w:rsidR="001F6882" w:rsidRPr="00A53EE1">
        <w:t xml:space="preserve">ed </w:t>
      </w:r>
      <w:r w:rsidR="00DC12F3" w:rsidRPr="00A53EE1">
        <w:t xml:space="preserve">by </w:t>
      </w:r>
      <w:r w:rsidR="00817A7F" w:rsidRPr="00A53EE1">
        <w:t>Japan</w:t>
      </w:r>
      <w:r w:rsidR="00DC12F3" w:rsidRPr="00A53EE1">
        <w:t xml:space="preserve"> with </w:t>
      </w:r>
      <w:r w:rsidR="00817A7F" w:rsidRPr="00A53EE1">
        <w:t>239</w:t>
      </w:r>
      <w:r w:rsidR="00807E64">
        <w:t>.</w:t>
      </w:r>
      <w:r w:rsidR="00817A7F" w:rsidRPr="00A53EE1">
        <w:t>374</w:t>
      </w:r>
      <w:r w:rsidR="00DC12F3" w:rsidRPr="00A53EE1">
        <w:t xml:space="preserve"> deaths. Moreover, </w:t>
      </w:r>
      <w:r w:rsidR="00817A7F" w:rsidRPr="00A53EE1">
        <w:t>Japan</w:t>
      </w:r>
      <w:r w:rsidR="00663BB1" w:rsidRPr="00A53EE1">
        <w:t xml:space="preserve"> has the </w:t>
      </w:r>
      <w:r w:rsidR="00DC12F3" w:rsidRPr="00A53EE1">
        <w:t xml:space="preserve">higher </w:t>
      </w:r>
      <w:r w:rsidR="00817A7F" w:rsidRPr="00A53EE1">
        <w:t>economic damage 533</w:t>
      </w:r>
      <w:r w:rsidR="00807E64">
        <w:t>.</w:t>
      </w:r>
      <w:r w:rsidR="00817A7F" w:rsidRPr="00A53EE1">
        <w:t>908</w:t>
      </w:r>
      <w:r w:rsidR="00807E64">
        <w:t>.</w:t>
      </w:r>
      <w:r w:rsidR="00817A7F" w:rsidRPr="00A53EE1">
        <w:t>500</w:t>
      </w:r>
      <w:r w:rsidR="001F6882" w:rsidRPr="00A53EE1">
        <w:t xml:space="preserve"> </w:t>
      </w:r>
      <w:r w:rsidR="00817A7F" w:rsidRPr="00A53EE1">
        <w:t>$, follow</w:t>
      </w:r>
      <w:r w:rsidR="001F6882" w:rsidRPr="00A53EE1">
        <w:t xml:space="preserve">ed </w:t>
      </w:r>
      <w:r w:rsidR="00817A7F" w:rsidRPr="00A53EE1">
        <w:t>by</w:t>
      </w:r>
      <w:r w:rsidR="00663BB1" w:rsidRPr="00A53EE1">
        <w:t xml:space="preserve"> </w:t>
      </w:r>
      <w:r w:rsidR="00B34914" w:rsidRPr="00A53EE1">
        <w:t>Germany</w:t>
      </w:r>
      <w:r w:rsidR="00817A7F" w:rsidRPr="00A53EE1">
        <w:t xml:space="preserve"> with </w:t>
      </w:r>
      <w:r w:rsidR="00B34914" w:rsidRPr="00A53EE1">
        <w:t>61</w:t>
      </w:r>
      <w:r w:rsidR="00807E64">
        <w:t>.</w:t>
      </w:r>
      <w:r w:rsidR="00B34914" w:rsidRPr="00A53EE1">
        <w:t>978</w:t>
      </w:r>
      <w:r w:rsidR="00807E64">
        <w:t>.</w:t>
      </w:r>
      <w:r w:rsidR="00B34914" w:rsidRPr="00A53EE1">
        <w:t>605</w:t>
      </w:r>
      <w:r w:rsidR="00817A7F" w:rsidRPr="00A53EE1">
        <w:t xml:space="preserve"> $</w:t>
      </w:r>
      <w:r w:rsidR="00A37186" w:rsidRPr="00A53EE1">
        <w:t>. Similarly,</w:t>
      </w:r>
      <w:r w:rsidR="001F6882" w:rsidRPr="00A53EE1">
        <w:t xml:space="preserve"> about </w:t>
      </w:r>
      <w:r w:rsidR="0000491D" w:rsidRPr="00A53EE1">
        <w:t>Technological impacts</w:t>
      </w:r>
      <w:r w:rsidR="001F6882" w:rsidRPr="00A53EE1">
        <w:t>: f</w:t>
      </w:r>
      <w:r w:rsidR="0000491D" w:rsidRPr="00A53EE1">
        <w:t xml:space="preserve">or accidents related </w:t>
      </w:r>
      <w:r w:rsidR="001F6882" w:rsidRPr="00A53EE1">
        <w:t xml:space="preserve">to </w:t>
      </w:r>
      <w:r w:rsidR="00DF139C" w:rsidRPr="00A53EE1">
        <w:t xml:space="preserve">industries </w:t>
      </w:r>
      <w:r w:rsidR="00C555E3" w:rsidRPr="00A53EE1">
        <w:t>and transports</w:t>
      </w:r>
      <w:r w:rsidR="0000491D" w:rsidRPr="00A53EE1">
        <w:t xml:space="preserve">, Bangladesh has the higher </w:t>
      </w:r>
      <w:r w:rsidR="00DF139C" w:rsidRPr="00A53EE1">
        <w:t xml:space="preserve">number of </w:t>
      </w:r>
      <w:r w:rsidR="0000491D" w:rsidRPr="00A53EE1">
        <w:t>report</w:t>
      </w:r>
      <w:r w:rsidR="00DF139C" w:rsidRPr="00A53EE1">
        <w:t xml:space="preserve">ed </w:t>
      </w:r>
      <w:r w:rsidR="0000491D" w:rsidRPr="00A53EE1">
        <w:t xml:space="preserve">fatalities </w:t>
      </w:r>
      <w:r w:rsidR="002C1EA9" w:rsidRPr="00A53EE1">
        <w:t>(</w:t>
      </w:r>
      <w:r w:rsidR="0000491D" w:rsidRPr="00A53EE1">
        <w:t>1</w:t>
      </w:r>
      <w:r w:rsidR="00807E64">
        <w:t>.</w:t>
      </w:r>
      <w:r w:rsidR="0000491D" w:rsidRPr="00A53EE1">
        <w:t>809</w:t>
      </w:r>
      <w:r w:rsidR="002C1EA9" w:rsidRPr="00A53EE1">
        <w:t xml:space="preserve">, </w:t>
      </w:r>
      <w:r w:rsidR="00C555E3" w:rsidRPr="00A53EE1">
        <w:t>and 13</w:t>
      </w:r>
      <w:r w:rsidR="00807E64">
        <w:t>.</w:t>
      </w:r>
      <w:r w:rsidR="00C555E3" w:rsidRPr="00A53EE1">
        <w:t>261 deaths respectively</w:t>
      </w:r>
      <w:r w:rsidR="002C1EA9" w:rsidRPr="00A53EE1">
        <w:t>)</w:t>
      </w:r>
      <w:r w:rsidR="00C555E3" w:rsidRPr="00A53EE1">
        <w:t>,</w:t>
      </w:r>
      <w:r w:rsidR="0000491D" w:rsidRPr="00A53EE1">
        <w:t xml:space="preserve"> follow</w:t>
      </w:r>
      <w:r w:rsidR="002C1EA9" w:rsidRPr="00A53EE1">
        <w:t xml:space="preserve">ed </w:t>
      </w:r>
      <w:r w:rsidR="0000491D" w:rsidRPr="00A53EE1">
        <w:t>by Germany with 1</w:t>
      </w:r>
      <w:r w:rsidR="00807E64">
        <w:t>.</w:t>
      </w:r>
      <w:r w:rsidR="0000491D" w:rsidRPr="00A53EE1">
        <w:t>650 deaths</w:t>
      </w:r>
      <w:r w:rsidR="00C555E3" w:rsidRPr="00A53EE1">
        <w:t xml:space="preserve"> (industrial impacts) and Pakistan 6</w:t>
      </w:r>
      <w:r w:rsidR="00807E64">
        <w:t>.</w:t>
      </w:r>
      <w:r w:rsidR="00C555E3" w:rsidRPr="00A53EE1">
        <w:t>184 deaths (transport impacts)</w:t>
      </w:r>
      <w:r w:rsidR="00B34914" w:rsidRPr="00A53EE1">
        <w:t>. Likewise, Algeria has the higher economic damage reported in the industrial impacts (800</w:t>
      </w:r>
      <w:r w:rsidR="00807E64">
        <w:t>.</w:t>
      </w:r>
      <w:r w:rsidR="00B34914" w:rsidRPr="00A53EE1">
        <w:t>000 $)</w:t>
      </w:r>
      <w:r w:rsidR="002C1EA9" w:rsidRPr="00A53EE1">
        <w:t>. N</w:t>
      </w:r>
      <w:r w:rsidR="00B34914" w:rsidRPr="00A53EE1">
        <w:t xml:space="preserve">evertheless, South Korea </w:t>
      </w:r>
      <w:r w:rsidR="002C1EA9" w:rsidRPr="00A53EE1">
        <w:t xml:space="preserve">presents </w:t>
      </w:r>
      <w:r w:rsidR="00B34914" w:rsidRPr="00A53EE1">
        <w:t>38</w:t>
      </w:r>
      <w:r w:rsidR="00807E64">
        <w:t>.</w:t>
      </w:r>
      <w:r w:rsidR="00B34914" w:rsidRPr="00A53EE1">
        <w:t xml:space="preserve">400 $ related </w:t>
      </w:r>
      <w:r w:rsidR="002C1EA9" w:rsidRPr="00A53EE1">
        <w:t xml:space="preserve">to </w:t>
      </w:r>
      <w:r w:rsidR="00B34914" w:rsidRPr="00A53EE1">
        <w:t xml:space="preserve">transport issues. </w:t>
      </w:r>
    </w:p>
    <w:p w14:paraId="6813CB05" w14:textId="77777777" w:rsidR="002553AC" w:rsidRPr="00A53EE1" w:rsidRDefault="002553AC" w:rsidP="00302B91">
      <w:pPr>
        <w:pStyle w:val="CETBodytext"/>
      </w:pPr>
    </w:p>
    <w:p w14:paraId="7E2CDCCE" w14:textId="77777777" w:rsidR="002553AC" w:rsidRPr="00A53EE1" w:rsidRDefault="002553AC" w:rsidP="002553AC">
      <w:pPr>
        <w:pStyle w:val="CETBodytext"/>
        <w:rPr>
          <w:i/>
        </w:rPr>
      </w:pPr>
      <w:r w:rsidRPr="00A53EE1">
        <w:rPr>
          <w:noProof/>
        </w:rPr>
        <w:drawing>
          <wp:inline distT="0" distB="0" distL="0" distR="0" wp14:anchorId="1A1FD169" wp14:editId="51B16550">
            <wp:extent cx="5579745" cy="1533525"/>
            <wp:effectExtent l="0" t="0" r="1905" b="952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3"/>
                    <a:stretch>
                      <a:fillRect/>
                    </a:stretch>
                  </pic:blipFill>
                  <pic:spPr>
                    <a:xfrm>
                      <a:off x="0" y="0"/>
                      <a:ext cx="5579745" cy="1533525"/>
                    </a:xfrm>
                    <a:prstGeom prst="rect">
                      <a:avLst/>
                    </a:prstGeom>
                  </pic:spPr>
                </pic:pic>
              </a:graphicData>
            </a:graphic>
          </wp:inline>
        </w:drawing>
      </w:r>
      <w:r w:rsidRPr="00A53EE1">
        <w:rPr>
          <w:i/>
        </w:rPr>
        <w:t xml:space="preserve">Figure </w:t>
      </w:r>
      <w:r w:rsidRPr="00A53EE1">
        <w:rPr>
          <w:b/>
          <w:bCs/>
          <w:i/>
        </w:rPr>
        <w:fldChar w:fldCharType="begin"/>
      </w:r>
      <w:r w:rsidRPr="00A53EE1">
        <w:rPr>
          <w:i/>
        </w:rPr>
        <w:instrText xml:space="preserve"> SEQ Figure \* ARABIC </w:instrText>
      </w:r>
      <w:r w:rsidRPr="00A53EE1">
        <w:rPr>
          <w:b/>
          <w:bCs/>
          <w:i/>
        </w:rPr>
        <w:fldChar w:fldCharType="separate"/>
      </w:r>
      <w:r w:rsidRPr="00A53EE1">
        <w:rPr>
          <w:i/>
          <w:noProof/>
        </w:rPr>
        <w:t>1</w:t>
      </w:r>
      <w:r w:rsidRPr="00A53EE1">
        <w:rPr>
          <w:b/>
          <w:bCs/>
          <w:i/>
        </w:rPr>
        <w:fldChar w:fldCharType="end"/>
      </w:r>
      <w:r w:rsidRPr="00A53EE1">
        <w:rPr>
          <w:i/>
        </w:rPr>
        <w:t xml:space="preserve">. Trend over time of the number of natural hazards accidents (blue line) and deaths, </w:t>
      </w:r>
      <w:r>
        <w:rPr>
          <w:i/>
        </w:rPr>
        <w:t xml:space="preserve">the </w:t>
      </w:r>
      <w:r w:rsidRPr="00A53EE1">
        <w:rPr>
          <w:i/>
        </w:rPr>
        <w:t>sum of the values for the two clusters being analyzed (cluster 12, cluster 32).</w:t>
      </w:r>
    </w:p>
    <w:p w14:paraId="190E632A" w14:textId="633CDAFF" w:rsidR="002C1EA9" w:rsidRDefault="002C1EA9" w:rsidP="00302B91">
      <w:pPr>
        <w:pStyle w:val="CETBodytext"/>
      </w:pPr>
    </w:p>
    <w:p w14:paraId="5EE5078B" w14:textId="3D667F1A" w:rsidR="002553AC" w:rsidRDefault="00D1588A" w:rsidP="00D1588A">
      <w:pPr>
        <w:pStyle w:val="CETBodytext"/>
      </w:pPr>
      <w:r w:rsidRPr="00A53EE1">
        <w:fldChar w:fldCharType="begin"/>
      </w:r>
      <w:r w:rsidRPr="00A53EE1">
        <w:instrText xml:space="preserve"> REF _Ref90398438 \h  \* MERGEFORMAT </w:instrText>
      </w:r>
      <w:r w:rsidRPr="00A53EE1">
        <w:fldChar w:fldCharType="separate"/>
      </w:r>
      <w:r w:rsidRPr="00A53EE1">
        <w:t>Figure 1</w:t>
      </w:r>
      <w:r w:rsidRPr="00A53EE1">
        <w:fldChar w:fldCharType="end"/>
      </w:r>
      <w:r w:rsidRPr="00A53EE1">
        <w:t xml:space="preserve"> represents a combined line chart describing the count of natural hazard accidents reported and the death losses (logarithmic scale to facilitate comparison) over time. The figure shows a peak in the decades of 1940s, mainly due to a Drought disaster </w:t>
      </w:r>
      <w:r>
        <w:t xml:space="preserve">that </w:t>
      </w:r>
      <w:r w:rsidRPr="00A53EE1">
        <w:t>occurred in Bangladesh accounting for 1</w:t>
      </w:r>
      <w:r w:rsidR="00807E64">
        <w:t>.</w:t>
      </w:r>
      <w:r w:rsidRPr="00A53EE1">
        <w:t>900</w:t>
      </w:r>
      <w:r w:rsidR="00807E64">
        <w:t>.</w:t>
      </w:r>
      <w:r w:rsidRPr="00A53EE1">
        <w:t xml:space="preserve">000 deaths </w:t>
      </w:r>
      <w:r w:rsidRPr="00A53EE1">
        <w:lastRenderedPageBreak/>
        <w:t>approximately.</w:t>
      </w:r>
      <w:r w:rsidRPr="00D1588A">
        <w:t xml:space="preserve"> </w:t>
      </w:r>
      <w:r w:rsidRPr="00A53EE1">
        <w:t xml:space="preserve">Besides, it is possible to observe how the behavior over the decades in terms of count natural hazard accidents is increasing, and the death losses in the last two decades </w:t>
      </w:r>
      <w:r>
        <w:t>are</w:t>
      </w:r>
      <w:r w:rsidRPr="00A53EE1">
        <w:t xml:space="preserve"> decreasing</w:t>
      </w:r>
      <w:r>
        <w:t>.</w:t>
      </w:r>
    </w:p>
    <w:p w14:paraId="6EE4CAAB" w14:textId="77777777" w:rsidR="002553AC" w:rsidRPr="00A53EE1" w:rsidRDefault="002553AC" w:rsidP="00302B91">
      <w:pPr>
        <w:pStyle w:val="CETBodytext"/>
      </w:pPr>
    </w:p>
    <w:p w14:paraId="2181FF2E" w14:textId="33068DEA" w:rsidR="00755DD0" w:rsidRPr="00A53EE1" w:rsidRDefault="006934DC" w:rsidP="00755DD0">
      <w:pPr>
        <w:pStyle w:val="CETTabletitle"/>
        <w:spacing w:before="0"/>
        <w:rPr>
          <w:lang w:val="en-US"/>
        </w:rPr>
      </w:pPr>
      <w:bookmarkStart w:id="3" w:name="_Ref90892744"/>
      <w:r w:rsidRPr="00A53EE1">
        <w:rPr>
          <w:lang w:val="en-US"/>
        </w:rPr>
        <w:t xml:space="preserve">Table </w:t>
      </w:r>
      <w:r w:rsidRPr="00A53EE1">
        <w:rPr>
          <w:lang w:val="en-US"/>
        </w:rPr>
        <w:fldChar w:fldCharType="begin"/>
      </w:r>
      <w:r w:rsidRPr="00A53EE1">
        <w:rPr>
          <w:lang w:val="en-US"/>
        </w:rPr>
        <w:instrText xml:space="preserve"> SEQ Table \* ARABIC </w:instrText>
      </w:r>
      <w:r w:rsidRPr="00A53EE1">
        <w:rPr>
          <w:lang w:val="en-US"/>
        </w:rPr>
        <w:fldChar w:fldCharType="separate"/>
      </w:r>
      <w:r w:rsidR="007F0302" w:rsidRPr="00A53EE1">
        <w:rPr>
          <w:noProof/>
          <w:lang w:val="en-US"/>
        </w:rPr>
        <w:t>3</w:t>
      </w:r>
      <w:r w:rsidRPr="00A53EE1">
        <w:rPr>
          <w:lang w:val="en-US"/>
        </w:rPr>
        <w:fldChar w:fldCharType="end"/>
      </w:r>
      <w:bookmarkEnd w:id="3"/>
      <w:r w:rsidRPr="00A53EE1">
        <w:rPr>
          <w:lang w:val="en-US"/>
        </w:rPr>
        <w:t xml:space="preserve">. Country classification </w:t>
      </w:r>
      <w:r w:rsidR="00F937D7" w:rsidRPr="00A53EE1">
        <w:rPr>
          <w:lang w:val="en-US"/>
        </w:rPr>
        <w:t xml:space="preserve">for detailed impact, with </w:t>
      </w:r>
      <w:r w:rsidR="009A5E1D">
        <w:rPr>
          <w:lang w:val="en-US"/>
        </w:rPr>
        <w:t xml:space="preserve">a </w:t>
      </w:r>
      <w:r w:rsidR="00F937D7" w:rsidRPr="00A53EE1">
        <w:rPr>
          <w:lang w:val="en-US"/>
        </w:rPr>
        <w:t>focus on technological aspects (industrial, transport, and miscellaneous)</w:t>
      </w:r>
      <w:r w:rsidR="00F5158A" w:rsidRPr="00A53EE1">
        <w:rPr>
          <w:lang w:val="en-US"/>
        </w:rPr>
        <w:t>.</w:t>
      </w:r>
      <w:r w:rsidR="00822308" w:rsidRPr="00A53EE1">
        <w:rPr>
          <w:lang w:val="en-US"/>
        </w:rPr>
        <w:t xml:space="preserve"> Background highlights maximum value per category.</w:t>
      </w:r>
    </w:p>
    <w:tbl>
      <w:tblPr>
        <w:tblW w:w="8720" w:type="dxa"/>
        <w:tblInd w:w="113" w:type="dxa"/>
        <w:tblBorders>
          <w:top w:val="single" w:sz="4" w:space="0" w:color="auto"/>
          <w:bottom w:val="single" w:sz="4" w:space="0" w:color="auto"/>
        </w:tblBorders>
        <w:tblLook w:val="04A0" w:firstRow="1" w:lastRow="0" w:firstColumn="1" w:lastColumn="0" w:noHBand="0" w:noVBand="1"/>
      </w:tblPr>
      <w:tblGrid>
        <w:gridCol w:w="1062"/>
        <w:gridCol w:w="928"/>
        <w:gridCol w:w="1152"/>
        <w:gridCol w:w="784"/>
        <w:gridCol w:w="1148"/>
        <w:gridCol w:w="750"/>
        <w:gridCol w:w="1147"/>
        <w:gridCol w:w="750"/>
        <w:gridCol w:w="1147"/>
      </w:tblGrid>
      <w:tr w:rsidR="00755DD0" w:rsidRPr="00A53EE1" w14:paraId="7C772DB4" w14:textId="77777777" w:rsidTr="00755DD0">
        <w:trPr>
          <w:trHeight w:val="288"/>
        </w:trPr>
        <w:tc>
          <w:tcPr>
            <w:tcW w:w="980" w:type="dxa"/>
            <w:vMerge w:val="restart"/>
            <w:tcBorders>
              <w:top w:val="single" w:sz="12" w:space="0" w:color="008000"/>
              <w:bottom w:val="nil"/>
              <w:right w:val="single" w:sz="6" w:space="0" w:color="008000"/>
            </w:tcBorders>
            <w:shd w:val="clear" w:color="auto" w:fill="auto"/>
            <w:noWrap/>
            <w:vAlign w:val="center"/>
            <w:hideMark/>
          </w:tcPr>
          <w:p w14:paraId="33448709"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Country</w:t>
            </w:r>
          </w:p>
        </w:tc>
        <w:tc>
          <w:tcPr>
            <w:tcW w:w="2020" w:type="dxa"/>
            <w:gridSpan w:val="2"/>
            <w:vMerge w:val="restart"/>
            <w:tcBorders>
              <w:top w:val="single" w:sz="12" w:space="0" w:color="008000"/>
              <w:left w:val="single" w:sz="6" w:space="0" w:color="008000"/>
              <w:bottom w:val="nil"/>
              <w:right w:val="single" w:sz="6" w:space="0" w:color="008000"/>
            </w:tcBorders>
            <w:shd w:val="clear" w:color="auto" w:fill="auto"/>
            <w:noWrap/>
            <w:vAlign w:val="center"/>
            <w:hideMark/>
          </w:tcPr>
          <w:p w14:paraId="66FD45C0"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Natural Impact</w:t>
            </w:r>
          </w:p>
        </w:tc>
        <w:tc>
          <w:tcPr>
            <w:tcW w:w="5720" w:type="dxa"/>
            <w:gridSpan w:val="6"/>
            <w:tcBorders>
              <w:top w:val="single" w:sz="12" w:space="0" w:color="008000"/>
              <w:left w:val="single" w:sz="6" w:space="0" w:color="008000"/>
              <w:bottom w:val="single" w:sz="6" w:space="0" w:color="008000"/>
            </w:tcBorders>
            <w:shd w:val="clear" w:color="auto" w:fill="auto"/>
            <w:noWrap/>
            <w:vAlign w:val="center"/>
            <w:hideMark/>
          </w:tcPr>
          <w:p w14:paraId="1D69BCA8"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Technological Impact</w:t>
            </w:r>
          </w:p>
        </w:tc>
      </w:tr>
      <w:tr w:rsidR="00755DD0" w:rsidRPr="00A53EE1" w14:paraId="5C28AEA8" w14:textId="77777777" w:rsidTr="00755DD0">
        <w:trPr>
          <w:trHeight w:val="288"/>
        </w:trPr>
        <w:tc>
          <w:tcPr>
            <w:tcW w:w="980" w:type="dxa"/>
            <w:vMerge/>
            <w:tcBorders>
              <w:top w:val="nil"/>
              <w:bottom w:val="nil"/>
              <w:right w:val="single" w:sz="6" w:space="0" w:color="008000"/>
            </w:tcBorders>
            <w:vAlign w:val="center"/>
            <w:hideMark/>
          </w:tcPr>
          <w:p w14:paraId="032146D5" w14:textId="77777777" w:rsidR="00755DD0" w:rsidRPr="00A53EE1" w:rsidRDefault="00755DD0" w:rsidP="00755DD0">
            <w:pPr>
              <w:tabs>
                <w:tab w:val="clear" w:pos="7100"/>
              </w:tabs>
              <w:spacing w:line="240" w:lineRule="auto"/>
              <w:jc w:val="left"/>
              <w:rPr>
                <w:rFonts w:cs="Arial"/>
                <w:b/>
                <w:bCs/>
                <w:color w:val="000000"/>
                <w:sz w:val="16"/>
                <w:szCs w:val="16"/>
                <w:lang w:val="en-US"/>
              </w:rPr>
            </w:pPr>
          </w:p>
        </w:tc>
        <w:tc>
          <w:tcPr>
            <w:tcW w:w="2020" w:type="dxa"/>
            <w:gridSpan w:val="2"/>
            <w:vMerge/>
            <w:tcBorders>
              <w:top w:val="nil"/>
              <w:left w:val="single" w:sz="6" w:space="0" w:color="008000"/>
              <w:bottom w:val="single" w:sz="6" w:space="0" w:color="008000"/>
              <w:right w:val="single" w:sz="6" w:space="0" w:color="008000"/>
            </w:tcBorders>
            <w:vAlign w:val="center"/>
            <w:hideMark/>
          </w:tcPr>
          <w:p w14:paraId="2EA71759" w14:textId="77777777" w:rsidR="00755DD0" w:rsidRPr="00A53EE1" w:rsidRDefault="00755DD0" w:rsidP="00755DD0">
            <w:pPr>
              <w:tabs>
                <w:tab w:val="clear" w:pos="7100"/>
              </w:tabs>
              <w:spacing w:line="240" w:lineRule="auto"/>
              <w:jc w:val="left"/>
              <w:rPr>
                <w:rFonts w:cs="Arial"/>
                <w:b/>
                <w:bCs/>
                <w:color w:val="000000"/>
                <w:sz w:val="16"/>
                <w:szCs w:val="16"/>
                <w:lang w:val="en-US"/>
              </w:rPr>
            </w:pPr>
          </w:p>
        </w:tc>
        <w:tc>
          <w:tcPr>
            <w:tcW w:w="1932" w:type="dxa"/>
            <w:gridSpan w:val="2"/>
            <w:tcBorders>
              <w:top w:val="single" w:sz="6" w:space="0" w:color="008000"/>
              <w:left w:val="single" w:sz="6" w:space="0" w:color="008000"/>
              <w:bottom w:val="single" w:sz="6" w:space="0" w:color="008000"/>
              <w:right w:val="single" w:sz="6" w:space="0" w:color="008000"/>
            </w:tcBorders>
            <w:shd w:val="clear" w:color="auto" w:fill="auto"/>
            <w:noWrap/>
            <w:vAlign w:val="center"/>
            <w:hideMark/>
          </w:tcPr>
          <w:p w14:paraId="5B376D20"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Industrial</w:t>
            </w:r>
          </w:p>
        </w:tc>
        <w:tc>
          <w:tcPr>
            <w:tcW w:w="1894" w:type="dxa"/>
            <w:gridSpan w:val="2"/>
            <w:tcBorders>
              <w:top w:val="single" w:sz="6" w:space="0" w:color="008000"/>
              <w:left w:val="single" w:sz="6" w:space="0" w:color="008000"/>
              <w:bottom w:val="single" w:sz="6" w:space="0" w:color="008000"/>
              <w:right w:val="single" w:sz="6" w:space="0" w:color="008000"/>
            </w:tcBorders>
            <w:shd w:val="clear" w:color="auto" w:fill="auto"/>
            <w:noWrap/>
            <w:vAlign w:val="center"/>
            <w:hideMark/>
          </w:tcPr>
          <w:p w14:paraId="78625384"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Transport</w:t>
            </w:r>
          </w:p>
        </w:tc>
        <w:tc>
          <w:tcPr>
            <w:tcW w:w="1894" w:type="dxa"/>
            <w:gridSpan w:val="2"/>
            <w:tcBorders>
              <w:top w:val="single" w:sz="6" w:space="0" w:color="008000"/>
              <w:left w:val="single" w:sz="6" w:space="0" w:color="008000"/>
              <w:bottom w:val="single" w:sz="6" w:space="0" w:color="008000"/>
            </w:tcBorders>
            <w:shd w:val="clear" w:color="auto" w:fill="auto"/>
            <w:noWrap/>
            <w:vAlign w:val="center"/>
            <w:hideMark/>
          </w:tcPr>
          <w:p w14:paraId="6F2AE88F"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Miscellaneous</w:t>
            </w:r>
          </w:p>
        </w:tc>
      </w:tr>
      <w:tr w:rsidR="00755DD0" w:rsidRPr="00A53EE1" w14:paraId="2A320DB2" w14:textId="77777777" w:rsidTr="00755DD0">
        <w:trPr>
          <w:trHeight w:val="288"/>
        </w:trPr>
        <w:tc>
          <w:tcPr>
            <w:tcW w:w="980" w:type="dxa"/>
            <w:vMerge/>
            <w:tcBorders>
              <w:top w:val="nil"/>
              <w:bottom w:val="single" w:sz="6" w:space="0" w:color="008000"/>
              <w:right w:val="single" w:sz="6" w:space="0" w:color="008000"/>
            </w:tcBorders>
            <w:vAlign w:val="center"/>
            <w:hideMark/>
          </w:tcPr>
          <w:p w14:paraId="1FC154DA" w14:textId="77777777" w:rsidR="00755DD0" w:rsidRPr="00A53EE1" w:rsidRDefault="00755DD0" w:rsidP="00755DD0">
            <w:pPr>
              <w:tabs>
                <w:tab w:val="clear" w:pos="7100"/>
              </w:tabs>
              <w:spacing w:line="240" w:lineRule="auto"/>
              <w:jc w:val="left"/>
              <w:rPr>
                <w:rFonts w:cs="Arial"/>
                <w:b/>
                <w:bCs/>
                <w:color w:val="000000"/>
                <w:sz w:val="16"/>
                <w:szCs w:val="16"/>
                <w:lang w:val="en-US"/>
              </w:rPr>
            </w:pPr>
          </w:p>
        </w:tc>
        <w:tc>
          <w:tcPr>
            <w:tcW w:w="868" w:type="dxa"/>
            <w:tcBorders>
              <w:top w:val="single" w:sz="6" w:space="0" w:color="008000"/>
              <w:left w:val="single" w:sz="6" w:space="0" w:color="008000"/>
              <w:bottom w:val="single" w:sz="6" w:space="0" w:color="008000"/>
            </w:tcBorders>
            <w:shd w:val="clear" w:color="auto" w:fill="auto"/>
            <w:noWrap/>
            <w:vAlign w:val="center"/>
            <w:hideMark/>
          </w:tcPr>
          <w:p w14:paraId="56E0DF4C"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Deaths</w:t>
            </w:r>
          </w:p>
        </w:tc>
        <w:tc>
          <w:tcPr>
            <w:tcW w:w="1152" w:type="dxa"/>
            <w:tcBorders>
              <w:top w:val="single" w:sz="6" w:space="0" w:color="008000"/>
              <w:bottom w:val="single" w:sz="6" w:space="0" w:color="008000"/>
              <w:right w:val="single" w:sz="6" w:space="0" w:color="008000"/>
            </w:tcBorders>
            <w:shd w:val="clear" w:color="auto" w:fill="auto"/>
            <w:noWrap/>
            <w:vAlign w:val="center"/>
            <w:hideMark/>
          </w:tcPr>
          <w:p w14:paraId="0BE357FB"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E. Dmg. [$]</w:t>
            </w:r>
          </w:p>
        </w:tc>
        <w:tc>
          <w:tcPr>
            <w:tcW w:w="784" w:type="dxa"/>
            <w:tcBorders>
              <w:top w:val="single" w:sz="6" w:space="0" w:color="008000"/>
              <w:left w:val="single" w:sz="6" w:space="0" w:color="008000"/>
              <w:bottom w:val="single" w:sz="6" w:space="0" w:color="008000"/>
            </w:tcBorders>
            <w:shd w:val="clear" w:color="auto" w:fill="auto"/>
            <w:noWrap/>
            <w:vAlign w:val="center"/>
            <w:hideMark/>
          </w:tcPr>
          <w:p w14:paraId="2BB2E4D8"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Deaths</w:t>
            </w:r>
          </w:p>
        </w:tc>
        <w:tc>
          <w:tcPr>
            <w:tcW w:w="1148" w:type="dxa"/>
            <w:tcBorders>
              <w:top w:val="single" w:sz="6" w:space="0" w:color="008000"/>
              <w:bottom w:val="single" w:sz="6" w:space="0" w:color="008000"/>
              <w:right w:val="single" w:sz="6" w:space="0" w:color="008000"/>
            </w:tcBorders>
            <w:shd w:val="clear" w:color="auto" w:fill="auto"/>
            <w:noWrap/>
            <w:vAlign w:val="center"/>
            <w:hideMark/>
          </w:tcPr>
          <w:p w14:paraId="0901EFD7"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E. Dmg. [$]</w:t>
            </w:r>
          </w:p>
        </w:tc>
        <w:tc>
          <w:tcPr>
            <w:tcW w:w="747" w:type="dxa"/>
            <w:tcBorders>
              <w:top w:val="single" w:sz="6" w:space="0" w:color="008000"/>
              <w:left w:val="single" w:sz="6" w:space="0" w:color="008000"/>
              <w:bottom w:val="single" w:sz="6" w:space="0" w:color="008000"/>
            </w:tcBorders>
            <w:shd w:val="clear" w:color="auto" w:fill="auto"/>
            <w:noWrap/>
            <w:vAlign w:val="center"/>
            <w:hideMark/>
          </w:tcPr>
          <w:p w14:paraId="2A5AB584"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Deaths</w:t>
            </w:r>
          </w:p>
        </w:tc>
        <w:tc>
          <w:tcPr>
            <w:tcW w:w="1147" w:type="dxa"/>
            <w:tcBorders>
              <w:top w:val="single" w:sz="6" w:space="0" w:color="008000"/>
              <w:bottom w:val="single" w:sz="6" w:space="0" w:color="008000"/>
              <w:right w:val="single" w:sz="6" w:space="0" w:color="008000"/>
            </w:tcBorders>
            <w:shd w:val="clear" w:color="auto" w:fill="auto"/>
            <w:noWrap/>
            <w:vAlign w:val="center"/>
            <w:hideMark/>
          </w:tcPr>
          <w:p w14:paraId="74F25B72"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E. Dmg. [$]</w:t>
            </w:r>
          </w:p>
        </w:tc>
        <w:tc>
          <w:tcPr>
            <w:tcW w:w="747" w:type="dxa"/>
            <w:tcBorders>
              <w:top w:val="single" w:sz="6" w:space="0" w:color="008000"/>
              <w:left w:val="single" w:sz="6" w:space="0" w:color="008000"/>
              <w:bottom w:val="single" w:sz="6" w:space="0" w:color="008000"/>
            </w:tcBorders>
            <w:shd w:val="clear" w:color="auto" w:fill="auto"/>
            <w:noWrap/>
            <w:vAlign w:val="center"/>
            <w:hideMark/>
          </w:tcPr>
          <w:p w14:paraId="10AB2418"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Deaths</w:t>
            </w:r>
          </w:p>
        </w:tc>
        <w:tc>
          <w:tcPr>
            <w:tcW w:w="1147" w:type="dxa"/>
            <w:tcBorders>
              <w:top w:val="single" w:sz="6" w:space="0" w:color="008000"/>
              <w:bottom w:val="single" w:sz="6" w:space="0" w:color="008000"/>
            </w:tcBorders>
            <w:shd w:val="clear" w:color="auto" w:fill="auto"/>
            <w:noWrap/>
            <w:vAlign w:val="center"/>
            <w:hideMark/>
          </w:tcPr>
          <w:p w14:paraId="109473FB" w14:textId="77777777" w:rsidR="00755DD0" w:rsidRPr="00A53EE1" w:rsidRDefault="00755DD0" w:rsidP="00755DD0">
            <w:pPr>
              <w:tabs>
                <w:tab w:val="clear" w:pos="7100"/>
              </w:tabs>
              <w:spacing w:line="240" w:lineRule="auto"/>
              <w:jc w:val="center"/>
              <w:rPr>
                <w:rFonts w:cs="Arial"/>
                <w:b/>
                <w:bCs/>
                <w:color w:val="000000"/>
                <w:sz w:val="16"/>
                <w:szCs w:val="16"/>
                <w:lang w:val="en-US"/>
              </w:rPr>
            </w:pPr>
            <w:r w:rsidRPr="00A53EE1">
              <w:rPr>
                <w:rFonts w:cs="Arial"/>
                <w:b/>
                <w:bCs/>
                <w:color w:val="000000"/>
                <w:sz w:val="16"/>
                <w:szCs w:val="16"/>
                <w:lang w:val="en-US"/>
              </w:rPr>
              <w:t>E. Dmg. [$]</w:t>
            </w:r>
          </w:p>
        </w:tc>
      </w:tr>
      <w:tr w:rsidR="00755DD0" w:rsidRPr="00A53EE1" w14:paraId="3C240AD4" w14:textId="77777777" w:rsidTr="00755DD0">
        <w:trPr>
          <w:trHeight w:val="288"/>
        </w:trPr>
        <w:tc>
          <w:tcPr>
            <w:tcW w:w="980" w:type="dxa"/>
            <w:tcBorders>
              <w:top w:val="single" w:sz="6" w:space="0" w:color="008000"/>
              <w:right w:val="single" w:sz="6" w:space="0" w:color="008000"/>
            </w:tcBorders>
            <w:shd w:val="clear" w:color="auto" w:fill="auto"/>
            <w:noWrap/>
            <w:vAlign w:val="center"/>
            <w:hideMark/>
          </w:tcPr>
          <w:p w14:paraId="5D443144"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Afghanistan</w:t>
            </w:r>
          </w:p>
        </w:tc>
        <w:tc>
          <w:tcPr>
            <w:tcW w:w="868" w:type="dxa"/>
            <w:tcBorders>
              <w:top w:val="single" w:sz="6" w:space="0" w:color="008000"/>
              <w:left w:val="single" w:sz="6" w:space="0" w:color="008000"/>
            </w:tcBorders>
            <w:shd w:val="clear" w:color="auto" w:fill="auto"/>
            <w:noWrap/>
            <w:vAlign w:val="center"/>
            <w:hideMark/>
          </w:tcPr>
          <w:p w14:paraId="1C22E21C" w14:textId="0FA86D70"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25</w:t>
            </w:r>
            <w:r w:rsidR="00807E64">
              <w:rPr>
                <w:rFonts w:cs="Arial"/>
                <w:color w:val="000000"/>
                <w:sz w:val="16"/>
                <w:szCs w:val="16"/>
                <w:lang w:val="en-US"/>
              </w:rPr>
              <w:t>.</w:t>
            </w:r>
            <w:r w:rsidRPr="00A53EE1">
              <w:rPr>
                <w:rFonts w:cs="Arial"/>
                <w:color w:val="000000"/>
                <w:sz w:val="16"/>
                <w:szCs w:val="16"/>
                <w:lang w:val="en-US"/>
              </w:rPr>
              <w:t>197</w:t>
            </w:r>
          </w:p>
        </w:tc>
        <w:tc>
          <w:tcPr>
            <w:tcW w:w="1152" w:type="dxa"/>
            <w:tcBorders>
              <w:top w:val="single" w:sz="6" w:space="0" w:color="008000"/>
              <w:right w:val="single" w:sz="6" w:space="0" w:color="008000"/>
            </w:tcBorders>
            <w:shd w:val="clear" w:color="auto" w:fill="auto"/>
            <w:noWrap/>
            <w:vAlign w:val="center"/>
            <w:hideMark/>
          </w:tcPr>
          <w:p w14:paraId="01490EF0" w14:textId="24A0760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603</w:t>
            </w:r>
            <w:r w:rsidR="003670FB">
              <w:rPr>
                <w:rFonts w:cs="Arial"/>
                <w:color w:val="000000"/>
                <w:sz w:val="16"/>
                <w:szCs w:val="16"/>
                <w:lang w:val="en-US"/>
              </w:rPr>
              <w:t>.</w:t>
            </w:r>
            <w:r w:rsidRPr="00A53EE1">
              <w:rPr>
                <w:rFonts w:cs="Arial"/>
                <w:color w:val="000000"/>
                <w:sz w:val="16"/>
                <w:szCs w:val="16"/>
                <w:lang w:val="en-US"/>
              </w:rPr>
              <w:t>320</w:t>
            </w:r>
          </w:p>
        </w:tc>
        <w:tc>
          <w:tcPr>
            <w:tcW w:w="784" w:type="dxa"/>
            <w:tcBorders>
              <w:top w:val="single" w:sz="6" w:space="0" w:color="008000"/>
              <w:left w:val="single" w:sz="6" w:space="0" w:color="008000"/>
            </w:tcBorders>
            <w:shd w:val="clear" w:color="auto" w:fill="auto"/>
            <w:noWrap/>
            <w:vAlign w:val="center"/>
            <w:hideMark/>
          </w:tcPr>
          <w:p w14:paraId="6ACEBA97"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280</w:t>
            </w:r>
          </w:p>
        </w:tc>
        <w:tc>
          <w:tcPr>
            <w:tcW w:w="1148" w:type="dxa"/>
            <w:tcBorders>
              <w:top w:val="single" w:sz="6" w:space="0" w:color="008000"/>
              <w:right w:val="single" w:sz="6" w:space="0" w:color="008000"/>
            </w:tcBorders>
            <w:shd w:val="clear" w:color="auto" w:fill="auto"/>
            <w:noWrap/>
            <w:vAlign w:val="center"/>
            <w:hideMark/>
          </w:tcPr>
          <w:p w14:paraId="17D935E9"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top w:val="single" w:sz="6" w:space="0" w:color="008000"/>
              <w:left w:val="single" w:sz="6" w:space="0" w:color="008000"/>
            </w:tcBorders>
            <w:shd w:val="clear" w:color="auto" w:fill="auto"/>
            <w:noWrap/>
            <w:vAlign w:val="center"/>
            <w:hideMark/>
          </w:tcPr>
          <w:p w14:paraId="02F5DED3" w14:textId="5B114A31"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184</w:t>
            </w:r>
          </w:p>
        </w:tc>
        <w:tc>
          <w:tcPr>
            <w:tcW w:w="1147" w:type="dxa"/>
            <w:tcBorders>
              <w:top w:val="single" w:sz="6" w:space="0" w:color="008000"/>
              <w:right w:val="single" w:sz="6" w:space="0" w:color="008000"/>
            </w:tcBorders>
            <w:shd w:val="clear" w:color="auto" w:fill="auto"/>
            <w:noWrap/>
            <w:vAlign w:val="center"/>
            <w:hideMark/>
          </w:tcPr>
          <w:p w14:paraId="2D71FA74"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top w:val="single" w:sz="6" w:space="0" w:color="008000"/>
              <w:left w:val="single" w:sz="6" w:space="0" w:color="008000"/>
            </w:tcBorders>
            <w:shd w:val="clear" w:color="auto" w:fill="auto"/>
            <w:noWrap/>
            <w:vAlign w:val="center"/>
            <w:hideMark/>
          </w:tcPr>
          <w:p w14:paraId="08A1F7A8"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229</w:t>
            </w:r>
          </w:p>
        </w:tc>
        <w:tc>
          <w:tcPr>
            <w:tcW w:w="1147" w:type="dxa"/>
            <w:tcBorders>
              <w:top w:val="single" w:sz="6" w:space="0" w:color="008000"/>
            </w:tcBorders>
            <w:shd w:val="clear" w:color="auto" w:fill="auto"/>
            <w:noWrap/>
            <w:vAlign w:val="center"/>
            <w:hideMark/>
          </w:tcPr>
          <w:p w14:paraId="48A6A566"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r>
      <w:tr w:rsidR="00755DD0" w:rsidRPr="00A53EE1" w14:paraId="3B8E7BA8" w14:textId="77777777" w:rsidTr="00CA2404">
        <w:trPr>
          <w:trHeight w:val="288"/>
        </w:trPr>
        <w:tc>
          <w:tcPr>
            <w:tcW w:w="980" w:type="dxa"/>
            <w:tcBorders>
              <w:right w:val="single" w:sz="6" w:space="0" w:color="008000"/>
            </w:tcBorders>
            <w:shd w:val="clear" w:color="auto" w:fill="auto"/>
            <w:noWrap/>
            <w:vAlign w:val="center"/>
            <w:hideMark/>
          </w:tcPr>
          <w:p w14:paraId="4DC03983"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Algeria</w:t>
            </w:r>
          </w:p>
        </w:tc>
        <w:tc>
          <w:tcPr>
            <w:tcW w:w="868" w:type="dxa"/>
            <w:tcBorders>
              <w:left w:val="single" w:sz="6" w:space="0" w:color="008000"/>
            </w:tcBorders>
            <w:shd w:val="clear" w:color="auto" w:fill="auto"/>
            <w:noWrap/>
            <w:vAlign w:val="center"/>
            <w:hideMark/>
          </w:tcPr>
          <w:p w14:paraId="626B2FE7" w14:textId="77AB3588"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11</w:t>
            </w:r>
            <w:r w:rsidR="00807E64">
              <w:rPr>
                <w:rFonts w:cs="Arial"/>
                <w:color w:val="000000"/>
                <w:sz w:val="16"/>
                <w:szCs w:val="16"/>
                <w:lang w:val="en-US"/>
              </w:rPr>
              <w:t>.</w:t>
            </w:r>
            <w:r w:rsidRPr="00A53EE1">
              <w:rPr>
                <w:rFonts w:cs="Arial"/>
                <w:color w:val="000000"/>
                <w:sz w:val="16"/>
                <w:szCs w:val="16"/>
                <w:lang w:val="en-US"/>
              </w:rPr>
              <w:t>874</w:t>
            </w:r>
          </w:p>
        </w:tc>
        <w:tc>
          <w:tcPr>
            <w:tcW w:w="1152" w:type="dxa"/>
            <w:tcBorders>
              <w:right w:val="single" w:sz="6" w:space="0" w:color="008000"/>
            </w:tcBorders>
            <w:shd w:val="clear" w:color="auto" w:fill="auto"/>
            <w:noWrap/>
            <w:vAlign w:val="center"/>
            <w:hideMark/>
          </w:tcPr>
          <w:p w14:paraId="45199E8A" w14:textId="69C5D316"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11</w:t>
            </w:r>
            <w:r w:rsidR="003670FB">
              <w:rPr>
                <w:rFonts w:cs="Arial"/>
                <w:color w:val="000000"/>
                <w:sz w:val="16"/>
                <w:szCs w:val="16"/>
                <w:lang w:val="en-US"/>
              </w:rPr>
              <w:t>.</w:t>
            </w:r>
            <w:r w:rsidRPr="00A53EE1">
              <w:rPr>
                <w:rFonts w:cs="Arial"/>
                <w:color w:val="000000"/>
                <w:sz w:val="16"/>
                <w:szCs w:val="16"/>
                <w:lang w:val="en-US"/>
              </w:rPr>
              <w:t>814</w:t>
            </w:r>
            <w:r w:rsidR="003670FB">
              <w:rPr>
                <w:rFonts w:cs="Arial"/>
                <w:color w:val="000000"/>
                <w:sz w:val="16"/>
                <w:szCs w:val="16"/>
                <w:lang w:val="en-US"/>
              </w:rPr>
              <w:t>.</w:t>
            </w:r>
            <w:r w:rsidRPr="00A53EE1">
              <w:rPr>
                <w:rFonts w:cs="Arial"/>
                <w:color w:val="000000"/>
                <w:sz w:val="16"/>
                <w:szCs w:val="16"/>
                <w:lang w:val="en-US"/>
              </w:rPr>
              <w:t>846</w:t>
            </w:r>
          </w:p>
        </w:tc>
        <w:tc>
          <w:tcPr>
            <w:tcW w:w="784" w:type="dxa"/>
            <w:tcBorders>
              <w:left w:val="single" w:sz="6" w:space="0" w:color="008000"/>
            </w:tcBorders>
            <w:shd w:val="clear" w:color="auto" w:fill="auto"/>
            <w:noWrap/>
            <w:vAlign w:val="center"/>
            <w:hideMark/>
          </w:tcPr>
          <w:p w14:paraId="02E3E403"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27</w:t>
            </w:r>
          </w:p>
        </w:tc>
        <w:tc>
          <w:tcPr>
            <w:tcW w:w="1148" w:type="dxa"/>
            <w:tcBorders>
              <w:right w:val="single" w:sz="6" w:space="0" w:color="008000"/>
            </w:tcBorders>
            <w:shd w:val="clear" w:color="auto" w:fill="FABF8F" w:themeFill="accent6" w:themeFillTint="99"/>
            <w:noWrap/>
            <w:vAlign w:val="center"/>
            <w:hideMark/>
          </w:tcPr>
          <w:p w14:paraId="7BAEEC53" w14:textId="4B225B0F"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800</w:t>
            </w:r>
            <w:r w:rsidR="003670FB">
              <w:rPr>
                <w:rFonts w:cs="Arial"/>
                <w:color w:val="000000"/>
                <w:sz w:val="16"/>
                <w:szCs w:val="16"/>
                <w:lang w:val="en-US"/>
              </w:rPr>
              <w:t>.</w:t>
            </w:r>
            <w:r w:rsidRPr="00A53EE1">
              <w:rPr>
                <w:rFonts w:cs="Arial"/>
                <w:color w:val="000000"/>
                <w:sz w:val="16"/>
                <w:szCs w:val="16"/>
                <w:lang w:val="en-US"/>
              </w:rPr>
              <w:t>000</w:t>
            </w:r>
          </w:p>
        </w:tc>
        <w:tc>
          <w:tcPr>
            <w:tcW w:w="747" w:type="dxa"/>
            <w:tcBorders>
              <w:left w:val="single" w:sz="6" w:space="0" w:color="008000"/>
            </w:tcBorders>
            <w:shd w:val="clear" w:color="auto" w:fill="auto"/>
            <w:noWrap/>
            <w:vAlign w:val="center"/>
            <w:hideMark/>
          </w:tcPr>
          <w:p w14:paraId="00AD36ED" w14:textId="09FC1A80"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280</w:t>
            </w:r>
          </w:p>
        </w:tc>
        <w:tc>
          <w:tcPr>
            <w:tcW w:w="1147" w:type="dxa"/>
            <w:tcBorders>
              <w:right w:val="single" w:sz="6" w:space="0" w:color="008000"/>
            </w:tcBorders>
            <w:shd w:val="clear" w:color="auto" w:fill="auto"/>
            <w:noWrap/>
            <w:vAlign w:val="center"/>
            <w:hideMark/>
          </w:tcPr>
          <w:p w14:paraId="1020D594"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56AE3A13"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201</w:t>
            </w:r>
          </w:p>
        </w:tc>
        <w:tc>
          <w:tcPr>
            <w:tcW w:w="1147" w:type="dxa"/>
            <w:shd w:val="clear" w:color="auto" w:fill="auto"/>
            <w:noWrap/>
            <w:vAlign w:val="center"/>
            <w:hideMark/>
          </w:tcPr>
          <w:p w14:paraId="74F6CFCA"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r>
      <w:tr w:rsidR="00755DD0" w:rsidRPr="00A53EE1" w14:paraId="20D2639D" w14:textId="77777777" w:rsidTr="00F5158A">
        <w:trPr>
          <w:trHeight w:val="288"/>
        </w:trPr>
        <w:tc>
          <w:tcPr>
            <w:tcW w:w="980" w:type="dxa"/>
            <w:tcBorders>
              <w:right w:val="single" w:sz="6" w:space="0" w:color="008000"/>
            </w:tcBorders>
            <w:shd w:val="clear" w:color="auto" w:fill="auto"/>
            <w:noWrap/>
            <w:vAlign w:val="center"/>
            <w:hideMark/>
          </w:tcPr>
          <w:p w14:paraId="642ABEDC"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Bangladesh</w:t>
            </w:r>
          </w:p>
        </w:tc>
        <w:tc>
          <w:tcPr>
            <w:tcW w:w="868" w:type="dxa"/>
            <w:tcBorders>
              <w:left w:val="single" w:sz="6" w:space="0" w:color="008000"/>
            </w:tcBorders>
            <w:shd w:val="clear" w:color="auto" w:fill="FF7C80"/>
            <w:noWrap/>
            <w:vAlign w:val="center"/>
            <w:hideMark/>
          </w:tcPr>
          <w:p w14:paraId="56E8EE2A" w14:textId="37B57691"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w:t>
            </w:r>
            <w:r w:rsidR="00807E64">
              <w:rPr>
                <w:rFonts w:cs="Arial"/>
                <w:color w:val="000000"/>
                <w:sz w:val="16"/>
                <w:szCs w:val="16"/>
                <w:lang w:val="en-US"/>
              </w:rPr>
              <w:t>.</w:t>
            </w:r>
            <w:r w:rsidRPr="00A53EE1">
              <w:rPr>
                <w:rFonts w:cs="Arial"/>
                <w:color w:val="000000"/>
                <w:sz w:val="16"/>
                <w:szCs w:val="16"/>
                <w:lang w:val="en-US"/>
              </w:rPr>
              <w:t>993</w:t>
            </w:r>
            <w:r w:rsidR="00807E64">
              <w:rPr>
                <w:rFonts w:cs="Arial"/>
                <w:color w:val="000000"/>
                <w:sz w:val="16"/>
                <w:szCs w:val="16"/>
                <w:lang w:val="en-US"/>
              </w:rPr>
              <w:t>.</w:t>
            </w:r>
            <w:r w:rsidRPr="00A53EE1">
              <w:rPr>
                <w:rFonts w:cs="Arial"/>
                <w:color w:val="000000"/>
                <w:sz w:val="16"/>
                <w:szCs w:val="16"/>
                <w:lang w:val="en-US"/>
              </w:rPr>
              <w:t>988</w:t>
            </w:r>
          </w:p>
        </w:tc>
        <w:tc>
          <w:tcPr>
            <w:tcW w:w="1152" w:type="dxa"/>
            <w:tcBorders>
              <w:right w:val="single" w:sz="6" w:space="0" w:color="008000"/>
            </w:tcBorders>
            <w:shd w:val="clear" w:color="auto" w:fill="auto"/>
            <w:noWrap/>
            <w:vAlign w:val="center"/>
            <w:hideMark/>
          </w:tcPr>
          <w:p w14:paraId="41059ED8" w14:textId="7B3561DA"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21</w:t>
            </w:r>
            <w:r w:rsidR="003670FB">
              <w:rPr>
                <w:rFonts w:cs="Arial"/>
                <w:color w:val="000000"/>
                <w:sz w:val="16"/>
                <w:szCs w:val="16"/>
                <w:lang w:val="en-US"/>
              </w:rPr>
              <w:t>.</w:t>
            </w:r>
            <w:r w:rsidRPr="00A53EE1">
              <w:rPr>
                <w:rFonts w:cs="Arial"/>
                <w:color w:val="000000"/>
                <w:sz w:val="16"/>
                <w:szCs w:val="16"/>
                <w:lang w:val="en-US"/>
              </w:rPr>
              <w:t>893</w:t>
            </w:r>
            <w:r w:rsidR="003670FB">
              <w:rPr>
                <w:rFonts w:cs="Arial"/>
                <w:color w:val="000000"/>
                <w:sz w:val="16"/>
                <w:szCs w:val="16"/>
                <w:lang w:val="en-US"/>
              </w:rPr>
              <w:t>.</w:t>
            </w:r>
            <w:r w:rsidRPr="00A53EE1">
              <w:rPr>
                <w:rFonts w:cs="Arial"/>
                <w:color w:val="000000"/>
                <w:sz w:val="16"/>
                <w:szCs w:val="16"/>
                <w:lang w:val="en-US"/>
              </w:rPr>
              <w:t>565</w:t>
            </w:r>
          </w:p>
        </w:tc>
        <w:tc>
          <w:tcPr>
            <w:tcW w:w="784" w:type="dxa"/>
            <w:tcBorders>
              <w:left w:val="single" w:sz="6" w:space="0" w:color="008000"/>
            </w:tcBorders>
            <w:shd w:val="clear" w:color="auto" w:fill="FF7C80"/>
            <w:noWrap/>
            <w:vAlign w:val="center"/>
            <w:hideMark/>
          </w:tcPr>
          <w:p w14:paraId="0FAB994A" w14:textId="4172F6A2"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809</w:t>
            </w:r>
          </w:p>
        </w:tc>
        <w:tc>
          <w:tcPr>
            <w:tcW w:w="1148" w:type="dxa"/>
            <w:tcBorders>
              <w:right w:val="single" w:sz="6" w:space="0" w:color="008000"/>
            </w:tcBorders>
            <w:shd w:val="clear" w:color="auto" w:fill="auto"/>
            <w:noWrap/>
            <w:vAlign w:val="center"/>
            <w:hideMark/>
          </w:tcPr>
          <w:p w14:paraId="45247709"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FF7C80"/>
            <w:noWrap/>
            <w:vAlign w:val="center"/>
            <w:hideMark/>
          </w:tcPr>
          <w:p w14:paraId="22F7753B" w14:textId="70F4236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13</w:t>
            </w:r>
            <w:r w:rsidR="003670FB">
              <w:rPr>
                <w:rFonts w:cs="Arial"/>
                <w:color w:val="000000"/>
                <w:sz w:val="16"/>
                <w:szCs w:val="16"/>
                <w:lang w:val="en-US"/>
              </w:rPr>
              <w:t>.</w:t>
            </w:r>
            <w:r w:rsidRPr="00A53EE1">
              <w:rPr>
                <w:rFonts w:cs="Arial"/>
                <w:color w:val="000000"/>
                <w:sz w:val="16"/>
                <w:szCs w:val="16"/>
                <w:lang w:val="en-US"/>
              </w:rPr>
              <w:t>261</w:t>
            </w:r>
          </w:p>
        </w:tc>
        <w:tc>
          <w:tcPr>
            <w:tcW w:w="1147" w:type="dxa"/>
            <w:tcBorders>
              <w:right w:val="single" w:sz="6" w:space="0" w:color="008000"/>
            </w:tcBorders>
            <w:shd w:val="clear" w:color="auto" w:fill="auto"/>
            <w:noWrap/>
            <w:vAlign w:val="center"/>
            <w:hideMark/>
          </w:tcPr>
          <w:p w14:paraId="0A590D90"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1569F879" w14:textId="5FCC274A"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017</w:t>
            </w:r>
          </w:p>
        </w:tc>
        <w:tc>
          <w:tcPr>
            <w:tcW w:w="1147" w:type="dxa"/>
            <w:shd w:val="clear" w:color="auto" w:fill="auto"/>
            <w:noWrap/>
            <w:vAlign w:val="center"/>
            <w:hideMark/>
          </w:tcPr>
          <w:p w14:paraId="1D6E056A"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r>
      <w:tr w:rsidR="00755DD0" w:rsidRPr="00A53EE1" w14:paraId="048BF4E7" w14:textId="77777777" w:rsidTr="00755DD0">
        <w:trPr>
          <w:trHeight w:val="288"/>
        </w:trPr>
        <w:tc>
          <w:tcPr>
            <w:tcW w:w="980" w:type="dxa"/>
            <w:tcBorders>
              <w:right w:val="single" w:sz="6" w:space="0" w:color="008000"/>
            </w:tcBorders>
            <w:shd w:val="clear" w:color="auto" w:fill="auto"/>
            <w:noWrap/>
            <w:vAlign w:val="center"/>
            <w:hideMark/>
          </w:tcPr>
          <w:p w14:paraId="4244490A"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France</w:t>
            </w:r>
          </w:p>
        </w:tc>
        <w:tc>
          <w:tcPr>
            <w:tcW w:w="868" w:type="dxa"/>
            <w:tcBorders>
              <w:left w:val="single" w:sz="6" w:space="0" w:color="008000"/>
            </w:tcBorders>
            <w:shd w:val="clear" w:color="auto" w:fill="auto"/>
            <w:noWrap/>
            <w:vAlign w:val="center"/>
            <w:hideMark/>
          </w:tcPr>
          <w:p w14:paraId="50B2D7A7" w14:textId="7C519D3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28</w:t>
            </w:r>
            <w:r w:rsidR="00807E64">
              <w:rPr>
                <w:rFonts w:cs="Arial"/>
                <w:color w:val="000000"/>
                <w:sz w:val="16"/>
                <w:szCs w:val="16"/>
                <w:lang w:val="en-US"/>
              </w:rPr>
              <w:t>.</w:t>
            </w:r>
            <w:r w:rsidRPr="00A53EE1">
              <w:rPr>
                <w:rFonts w:cs="Arial"/>
                <w:color w:val="000000"/>
                <w:sz w:val="16"/>
                <w:szCs w:val="16"/>
                <w:lang w:val="en-US"/>
              </w:rPr>
              <w:t>864</w:t>
            </w:r>
          </w:p>
        </w:tc>
        <w:tc>
          <w:tcPr>
            <w:tcW w:w="1152" w:type="dxa"/>
            <w:tcBorders>
              <w:right w:val="single" w:sz="6" w:space="0" w:color="008000"/>
            </w:tcBorders>
            <w:shd w:val="clear" w:color="auto" w:fill="auto"/>
            <w:noWrap/>
            <w:vAlign w:val="center"/>
            <w:hideMark/>
          </w:tcPr>
          <w:p w14:paraId="78080565" w14:textId="58F6548F"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45</w:t>
            </w:r>
            <w:r w:rsidR="003670FB">
              <w:rPr>
                <w:rFonts w:cs="Arial"/>
                <w:color w:val="000000"/>
                <w:sz w:val="16"/>
                <w:szCs w:val="16"/>
                <w:lang w:val="en-US"/>
              </w:rPr>
              <w:t>.</w:t>
            </w:r>
            <w:r w:rsidRPr="00A53EE1">
              <w:rPr>
                <w:rFonts w:cs="Arial"/>
                <w:color w:val="000000"/>
                <w:sz w:val="16"/>
                <w:szCs w:val="16"/>
                <w:lang w:val="en-US"/>
              </w:rPr>
              <w:t>892</w:t>
            </w:r>
            <w:r w:rsidR="003670FB">
              <w:rPr>
                <w:rFonts w:cs="Arial"/>
                <w:color w:val="000000"/>
                <w:sz w:val="16"/>
                <w:szCs w:val="16"/>
                <w:lang w:val="en-US"/>
              </w:rPr>
              <w:t>.</w:t>
            </w:r>
            <w:r w:rsidRPr="00A53EE1">
              <w:rPr>
                <w:rFonts w:cs="Arial"/>
                <w:color w:val="000000"/>
                <w:sz w:val="16"/>
                <w:szCs w:val="16"/>
                <w:lang w:val="en-US"/>
              </w:rPr>
              <w:t>700</w:t>
            </w:r>
          </w:p>
        </w:tc>
        <w:tc>
          <w:tcPr>
            <w:tcW w:w="784" w:type="dxa"/>
            <w:tcBorders>
              <w:left w:val="single" w:sz="6" w:space="0" w:color="008000"/>
            </w:tcBorders>
            <w:shd w:val="clear" w:color="auto" w:fill="auto"/>
            <w:noWrap/>
            <w:vAlign w:val="center"/>
            <w:hideMark/>
          </w:tcPr>
          <w:p w14:paraId="66C3EAD3" w14:textId="0E7F0012"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223</w:t>
            </w:r>
          </w:p>
        </w:tc>
        <w:tc>
          <w:tcPr>
            <w:tcW w:w="1148" w:type="dxa"/>
            <w:tcBorders>
              <w:right w:val="single" w:sz="6" w:space="0" w:color="008000"/>
            </w:tcBorders>
            <w:shd w:val="clear" w:color="auto" w:fill="auto"/>
            <w:noWrap/>
            <w:vAlign w:val="center"/>
            <w:hideMark/>
          </w:tcPr>
          <w:p w14:paraId="051499AA" w14:textId="12E02F5F"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36</w:t>
            </w:r>
            <w:r w:rsidR="003670FB">
              <w:rPr>
                <w:rFonts w:cs="Arial"/>
                <w:color w:val="000000"/>
                <w:sz w:val="16"/>
                <w:szCs w:val="16"/>
                <w:lang w:val="en-US"/>
              </w:rPr>
              <w:t>.</w:t>
            </w:r>
            <w:r w:rsidRPr="00A53EE1">
              <w:rPr>
                <w:rFonts w:cs="Arial"/>
                <w:color w:val="000000"/>
                <w:sz w:val="16"/>
                <w:szCs w:val="16"/>
                <w:lang w:val="en-US"/>
              </w:rPr>
              <w:t>800</w:t>
            </w:r>
          </w:p>
        </w:tc>
        <w:tc>
          <w:tcPr>
            <w:tcW w:w="747" w:type="dxa"/>
            <w:tcBorders>
              <w:left w:val="single" w:sz="6" w:space="0" w:color="008000"/>
            </w:tcBorders>
            <w:shd w:val="clear" w:color="auto" w:fill="auto"/>
            <w:noWrap/>
            <w:vAlign w:val="center"/>
            <w:hideMark/>
          </w:tcPr>
          <w:p w14:paraId="0257CFA6" w14:textId="2E003462"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3</w:t>
            </w:r>
            <w:r w:rsidR="003670FB">
              <w:rPr>
                <w:rFonts w:cs="Arial"/>
                <w:color w:val="000000"/>
                <w:sz w:val="16"/>
                <w:szCs w:val="16"/>
                <w:lang w:val="en-US"/>
              </w:rPr>
              <w:t>.</w:t>
            </w:r>
            <w:r w:rsidRPr="00A53EE1">
              <w:rPr>
                <w:rFonts w:cs="Arial"/>
                <w:color w:val="000000"/>
                <w:sz w:val="16"/>
                <w:szCs w:val="16"/>
                <w:lang w:val="en-US"/>
              </w:rPr>
              <w:t>571</w:t>
            </w:r>
          </w:p>
        </w:tc>
        <w:tc>
          <w:tcPr>
            <w:tcW w:w="1147" w:type="dxa"/>
            <w:tcBorders>
              <w:right w:val="single" w:sz="6" w:space="0" w:color="008000"/>
            </w:tcBorders>
            <w:shd w:val="clear" w:color="auto" w:fill="auto"/>
            <w:noWrap/>
            <w:vAlign w:val="center"/>
            <w:hideMark/>
          </w:tcPr>
          <w:p w14:paraId="7DC5D251"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2922646A" w14:textId="594D16E0"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519</w:t>
            </w:r>
          </w:p>
        </w:tc>
        <w:tc>
          <w:tcPr>
            <w:tcW w:w="1147" w:type="dxa"/>
            <w:shd w:val="clear" w:color="auto" w:fill="auto"/>
            <w:noWrap/>
            <w:vAlign w:val="center"/>
            <w:hideMark/>
          </w:tcPr>
          <w:p w14:paraId="27731226" w14:textId="74C34FF9"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26</w:t>
            </w:r>
            <w:r w:rsidR="003670FB">
              <w:rPr>
                <w:rFonts w:cs="Arial"/>
                <w:color w:val="000000"/>
                <w:sz w:val="16"/>
                <w:szCs w:val="16"/>
                <w:lang w:val="en-US"/>
              </w:rPr>
              <w:t>.</w:t>
            </w:r>
            <w:r w:rsidRPr="00A53EE1">
              <w:rPr>
                <w:rFonts w:cs="Arial"/>
                <w:color w:val="000000"/>
                <w:sz w:val="16"/>
                <w:szCs w:val="16"/>
                <w:lang w:val="en-US"/>
              </w:rPr>
              <w:t>600</w:t>
            </w:r>
          </w:p>
        </w:tc>
      </w:tr>
      <w:tr w:rsidR="00755DD0" w:rsidRPr="00A53EE1" w14:paraId="019C5515" w14:textId="77777777" w:rsidTr="00CA2404">
        <w:trPr>
          <w:trHeight w:val="288"/>
        </w:trPr>
        <w:tc>
          <w:tcPr>
            <w:tcW w:w="980" w:type="dxa"/>
            <w:tcBorders>
              <w:right w:val="single" w:sz="6" w:space="0" w:color="008000"/>
            </w:tcBorders>
            <w:shd w:val="clear" w:color="auto" w:fill="auto"/>
            <w:noWrap/>
            <w:vAlign w:val="center"/>
            <w:hideMark/>
          </w:tcPr>
          <w:p w14:paraId="083F0522"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Germany</w:t>
            </w:r>
          </w:p>
        </w:tc>
        <w:tc>
          <w:tcPr>
            <w:tcW w:w="868" w:type="dxa"/>
            <w:tcBorders>
              <w:left w:val="single" w:sz="6" w:space="0" w:color="008000"/>
            </w:tcBorders>
            <w:shd w:val="clear" w:color="auto" w:fill="auto"/>
            <w:noWrap/>
            <w:vAlign w:val="center"/>
            <w:hideMark/>
          </w:tcPr>
          <w:p w14:paraId="74B49A34" w14:textId="28C9B21F"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10</w:t>
            </w:r>
            <w:r w:rsidR="00807E64">
              <w:rPr>
                <w:rFonts w:cs="Arial"/>
                <w:color w:val="000000"/>
                <w:sz w:val="16"/>
                <w:szCs w:val="16"/>
                <w:lang w:val="en-US"/>
              </w:rPr>
              <w:t>.</w:t>
            </w:r>
            <w:r w:rsidRPr="00A53EE1">
              <w:rPr>
                <w:rFonts w:cs="Arial"/>
                <w:color w:val="000000"/>
                <w:sz w:val="16"/>
                <w:szCs w:val="16"/>
                <w:lang w:val="en-US"/>
              </w:rPr>
              <w:t>419</w:t>
            </w:r>
          </w:p>
        </w:tc>
        <w:tc>
          <w:tcPr>
            <w:tcW w:w="1152" w:type="dxa"/>
            <w:tcBorders>
              <w:right w:val="single" w:sz="6" w:space="0" w:color="008000"/>
            </w:tcBorders>
            <w:shd w:val="clear" w:color="auto" w:fill="auto"/>
            <w:noWrap/>
            <w:vAlign w:val="center"/>
            <w:hideMark/>
          </w:tcPr>
          <w:p w14:paraId="4F8CA737" w14:textId="0C02E601"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61</w:t>
            </w:r>
            <w:r w:rsidR="003670FB">
              <w:rPr>
                <w:rFonts w:cs="Arial"/>
                <w:color w:val="000000"/>
                <w:sz w:val="16"/>
                <w:szCs w:val="16"/>
                <w:lang w:val="en-US"/>
              </w:rPr>
              <w:t>.</w:t>
            </w:r>
            <w:r w:rsidRPr="00A53EE1">
              <w:rPr>
                <w:rFonts w:cs="Arial"/>
                <w:color w:val="000000"/>
                <w:sz w:val="16"/>
                <w:szCs w:val="16"/>
                <w:lang w:val="en-US"/>
              </w:rPr>
              <w:t>978</w:t>
            </w:r>
            <w:r w:rsidR="003670FB">
              <w:rPr>
                <w:rFonts w:cs="Arial"/>
                <w:color w:val="000000"/>
                <w:sz w:val="16"/>
                <w:szCs w:val="16"/>
                <w:lang w:val="en-US"/>
              </w:rPr>
              <w:t>.</w:t>
            </w:r>
            <w:r w:rsidRPr="00A53EE1">
              <w:rPr>
                <w:rFonts w:cs="Arial"/>
                <w:color w:val="000000"/>
                <w:sz w:val="16"/>
                <w:szCs w:val="16"/>
                <w:lang w:val="en-US"/>
              </w:rPr>
              <w:t>605</w:t>
            </w:r>
          </w:p>
        </w:tc>
        <w:tc>
          <w:tcPr>
            <w:tcW w:w="784" w:type="dxa"/>
            <w:tcBorders>
              <w:left w:val="single" w:sz="6" w:space="0" w:color="008000"/>
            </w:tcBorders>
            <w:shd w:val="clear" w:color="auto" w:fill="auto"/>
            <w:noWrap/>
            <w:vAlign w:val="center"/>
            <w:hideMark/>
          </w:tcPr>
          <w:p w14:paraId="61F7B93A" w14:textId="6B0AA6EE"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650</w:t>
            </w:r>
          </w:p>
        </w:tc>
        <w:tc>
          <w:tcPr>
            <w:tcW w:w="1148" w:type="dxa"/>
            <w:tcBorders>
              <w:right w:val="single" w:sz="6" w:space="0" w:color="008000"/>
            </w:tcBorders>
            <w:shd w:val="clear" w:color="auto" w:fill="auto"/>
            <w:noWrap/>
            <w:vAlign w:val="center"/>
            <w:hideMark/>
          </w:tcPr>
          <w:p w14:paraId="7789D483" w14:textId="1FA8FD9D"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226</w:t>
            </w:r>
            <w:r w:rsidR="003670FB">
              <w:rPr>
                <w:rFonts w:cs="Arial"/>
                <w:color w:val="000000"/>
                <w:sz w:val="16"/>
                <w:szCs w:val="16"/>
                <w:lang w:val="en-US"/>
              </w:rPr>
              <w:t>.</w:t>
            </w:r>
            <w:r w:rsidRPr="00A53EE1">
              <w:rPr>
                <w:rFonts w:cs="Arial"/>
                <w:color w:val="000000"/>
                <w:sz w:val="16"/>
                <w:szCs w:val="16"/>
                <w:lang w:val="en-US"/>
              </w:rPr>
              <w:t>300</w:t>
            </w:r>
          </w:p>
        </w:tc>
        <w:tc>
          <w:tcPr>
            <w:tcW w:w="747" w:type="dxa"/>
            <w:tcBorders>
              <w:left w:val="single" w:sz="6" w:space="0" w:color="008000"/>
            </w:tcBorders>
            <w:shd w:val="clear" w:color="auto" w:fill="auto"/>
            <w:noWrap/>
            <w:vAlign w:val="center"/>
            <w:hideMark/>
          </w:tcPr>
          <w:p w14:paraId="7DAA9BC0" w14:textId="118879AE"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618</w:t>
            </w:r>
          </w:p>
        </w:tc>
        <w:tc>
          <w:tcPr>
            <w:tcW w:w="1147" w:type="dxa"/>
            <w:tcBorders>
              <w:right w:val="single" w:sz="6" w:space="0" w:color="008000"/>
            </w:tcBorders>
            <w:shd w:val="clear" w:color="auto" w:fill="auto"/>
            <w:noWrap/>
            <w:vAlign w:val="center"/>
            <w:hideMark/>
          </w:tcPr>
          <w:p w14:paraId="1525FFD3"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6DD40ADB"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88</w:t>
            </w:r>
          </w:p>
        </w:tc>
        <w:tc>
          <w:tcPr>
            <w:tcW w:w="1147" w:type="dxa"/>
            <w:shd w:val="clear" w:color="auto" w:fill="FABF8F" w:themeFill="accent6" w:themeFillTint="99"/>
            <w:noWrap/>
            <w:vAlign w:val="center"/>
            <w:hideMark/>
          </w:tcPr>
          <w:p w14:paraId="7AB15F27" w14:textId="3FBAFB6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370</w:t>
            </w:r>
            <w:r w:rsidR="003670FB">
              <w:rPr>
                <w:rFonts w:cs="Arial"/>
                <w:color w:val="000000"/>
                <w:sz w:val="16"/>
                <w:szCs w:val="16"/>
                <w:lang w:val="en-US"/>
              </w:rPr>
              <w:t>.</w:t>
            </w:r>
            <w:r w:rsidRPr="00A53EE1">
              <w:rPr>
                <w:rFonts w:cs="Arial"/>
                <w:color w:val="000000"/>
                <w:sz w:val="16"/>
                <w:szCs w:val="16"/>
                <w:lang w:val="en-US"/>
              </w:rPr>
              <w:t>600</w:t>
            </w:r>
          </w:p>
        </w:tc>
      </w:tr>
      <w:tr w:rsidR="00755DD0" w:rsidRPr="00A53EE1" w14:paraId="3D4BC2DE" w14:textId="77777777" w:rsidTr="00755DD0">
        <w:trPr>
          <w:trHeight w:val="288"/>
        </w:trPr>
        <w:tc>
          <w:tcPr>
            <w:tcW w:w="980" w:type="dxa"/>
            <w:tcBorders>
              <w:right w:val="single" w:sz="6" w:space="0" w:color="008000"/>
            </w:tcBorders>
            <w:shd w:val="clear" w:color="auto" w:fill="auto"/>
            <w:noWrap/>
            <w:vAlign w:val="center"/>
            <w:hideMark/>
          </w:tcPr>
          <w:p w14:paraId="6578A81F"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Iran</w:t>
            </w:r>
          </w:p>
        </w:tc>
        <w:tc>
          <w:tcPr>
            <w:tcW w:w="868" w:type="dxa"/>
            <w:tcBorders>
              <w:left w:val="single" w:sz="6" w:space="0" w:color="008000"/>
            </w:tcBorders>
            <w:shd w:val="clear" w:color="auto" w:fill="auto"/>
            <w:noWrap/>
            <w:vAlign w:val="center"/>
            <w:hideMark/>
          </w:tcPr>
          <w:p w14:paraId="60D68E85" w14:textId="1677030A"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163</w:t>
            </w:r>
            <w:r w:rsidR="00807E64">
              <w:rPr>
                <w:rFonts w:cs="Arial"/>
                <w:color w:val="000000"/>
                <w:sz w:val="16"/>
                <w:szCs w:val="16"/>
                <w:lang w:val="en-US"/>
              </w:rPr>
              <w:t>.</w:t>
            </w:r>
            <w:r w:rsidRPr="00A53EE1">
              <w:rPr>
                <w:rFonts w:cs="Arial"/>
                <w:color w:val="000000"/>
                <w:sz w:val="16"/>
                <w:szCs w:val="16"/>
                <w:lang w:val="en-US"/>
              </w:rPr>
              <w:t>347</w:t>
            </w:r>
          </w:p>
        </w:tc>
        <w:tc>
          <w:tcPr>
            <w:tcW w:w="1152" w:type="dxa"/>
            <w:tcBorders>
              <w:right w:val="single" w:sz="6" w:space="0" w:color="008000"/>
            </w:tcBorders>
            <w:shd w:val="clear" w:color="auto" w:fill="auto"/>
            <w:noWrap/>
            <w:vAlign w:val="center"/>
            <w:hideMark/>
          </w:tcPr>
          <w:p w14:paraId="222660C8" w14:textId="45C6C22C"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29</w:t>
            </w:r>
            <w:r w:rsidR="003670FB">
              <w:rPr>
                <w:rFonts w:cs="Arial"/>
                <w:color w:val="000000"/>
                <w:sz w:val="16"/>
                <w:szCs w:val="16"/>
                <w:lang w:val="en-US"/>
              </w:rPr>
              <w:t>.</w:t>
            </w:r>
            <w:r w:rsidRPr="00A53EE1">
              <w:rPr>
                <w:rFonts w:cs="Arial"/>
                <w:color w:val="000000"/>
                <w:sz w:val="16"/>
                <w:szCs w:val="16"/>
                <w:lang w:val="en-US"/>
              </w:rPr>
              <w:t>899</w:t>
            </w:r>
            <w:r w:rsidR="003670FB">
              <w:rPr>
                <w:rFonts w:cs="Arial"/>
                <w:color w:val="000000"/>
                <w:sz w:val="16"/>
                <w:szCs w:val="16"/>
                <w:lang w:val="en-US"/>
              </w:rPr>
              <w:t>.</w:t>
            </w:r>
            <w:r w:rsidRPr="00A53EE1">
              <w:rPr>
                <w:rFonts w:cs="Arial"/>
                <w:color w:val="000000"/>
                <w:sz w:val="16"/>
                <w:szCs w:val="16"/>
                <w:lang w:val="en-US"/>
              </w:rPr>
              <w:t>696</w:t>
            </w:r>
          </w:p>
        </w:tc>
        <w:tc>
          <w:tcPr>
            <w:tcW w:w="784" w:type="dxa"/>
            <w:tcBorders>
              <w:left w:val="single" w:sz="6" w:space="0" w:color="008000"/>
            </w:tcBorders>
            <w:shd w:val="clear" w:color="auto" w:fill="auto"/>
            <w:noWrap/>
            <w:vAlign w:val="center"/>
            <w:hideMark/>
          </w:tcPr>
          <w:p w14:paraId="355B91AD" w14:textId="0E1E20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196</w:t>
            </w:r>
          </w:p>
        </w:tc>
        <w:tc>
          <w:tcPr>
            <w:tcW w:w="1148" w:type="dxa"/>
            <w:tcBorders>
              <w:right w:val="single" w:sz="6" w:space="0" w:color="008000"/>
            </w:tcBorders>
            <w:shd w:val="clear" w:color="auto" w:fill="auto"/>
            <w:noWrap/>
            <w:vAlign w:val="center"/>
            <w:hideMark/>
          </w:tcPr>
          <w:p w14:paraId="14F07C75"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68E3497A" w14:textId="770A0602"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4</w:t>
            </w:r>
            <w:r w:rsidR="003670FB">
              <w:rPr>
                <w:rFonts w:cs="Arial"/>
                <w:color w:val="000000"/>
                <w:sz w:val="16"/>
                <w:szCs w:val="16"/>
                <w:lang w:val="en-US"/>
              </w:rPr>
              <w:t>.</w:t>
            </w:r>
            <w:r w:rsidRPr="00A53EE1">
              <w:rPr>
                <w:rFonts w:cs="Arial"/>
                <w:color w:val="000000"/>
                <w:sz w:val="16"/>
                <w:szCs w:val="16"/>
                <w:lang w:val="en-US"/>
              </w:rPr>
              <w:t>682</w:t>
            </w:r>
          </w:p>
        </w:tc>
        <w:tc>
          <w:tcPr>
            <w:tcW w:w="1147" w:type="dxa"/>
            <w:tcBorders>
              <w:right w:val="single" w:sz="6" w:space="0" w:color="008000"/>
            </w:tcBorders>
            <w:shd w:val="clear" w:color="auto" w:fill="auto"/>
            <w:noWrap/>
            <w:vAlign w:val="center"/>
            <w:hideMark/>
          </w:tcPr>
          <w:p w14:paraId="7286B744"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3531A5C3"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717</w:t>
            </w:r>
          </w:p>
        </w:tc>
        <w:tc>
          <w:tcPr>
            <w:tcW w:w="1147" w:type="dxa"/>
            <w:shd w:val="clear" w:color="auto" w:fill="auto"/>
            <w:noWrap/>
            <w:vAlign w:val="center"/>
            <w:hideMark/>
          </w:tcPr>
          <w:p w14:paraId="4CB0FFA2" w14:textId="288804F0"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150</w:t>
            </w:r>
            <w:r w:rsidR="003670FB">
              <w:rPr>
                <w:rFonts w:cs="Arial"/>
                <w:color w:val="000000"/>
                <w:sz w:val="16"/>
                <w:szCs w:val="16"/>
                <w:lang w:val="en-US"/>
              </w:rPr>
              <w:t>.</w:t>
            </w:r>
            <w:r w:rsidRPr="00A53EE1">
              <w:rPr>
                <w:rFonts w:cs="Arial"/>
                <w:color w:val="000000"/>
                <w:sz w:val="16"/>
                <w:szCs w:val="16"/>
                <w:lang w:val="en-US"/>
              </w:rPr>
              <w:t>000</w:t>
            </w:r>
          </w:p>
        </w:tc>
      </w:tr>
      <w:tr w:rsidR="00755DD0" w:rsidRPr="00A53EE1" w14:paraId="745ABE5D" w14:textId="77777777" w:rsidTr="00CA2404">
        <w:trPr>
          <w:trHeight w:val="288"/>
        </w:trPr>
        <w:tc>
          <w:tcPr>
            <w:tcW w:w="980" w:type="dxa"/>
            <w:tcBorders>
              <w:right w:val="single" w:sz="6" w:space="0" w:color="008000"/>
            </w:tcBorders>
            <w:shd w:val="clear" w:color="auto" w:fill="auto"/>
            <w:noWrap/>
            <w:vAlign w:val="center"/>
            <w:hideMark/>
          </w:tcPr>
          <w:p w14:paraId="1E7F9066"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Japan</w:t>
            </w:r>
          </w:p>
        </w:tc>
        <w:tc>
          <w:tcPr>
            <w:tcW w:w="868" w:type="dxa"/>
            <w:tcBorders>
              <w:left w:val="single" w:sz="6" w:space="0" w:color="008000"/>
            </w:tcBorders>
            <w:shd w:val="clear" w:color="auto" w:fill="auto"/>
            <w:noWrap/>
            <w:vAlign w:val="center"/>
            <w:hideMark/>
          </w:tcPr>
          <w:p w14:paraId="1ED3530D" w14:textId="3377CDA1"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239</w:t>
            </w:r>
            <w:r w:rsidR="00807E64">
              <w:rPr>
                <w:rFonts w:cs="Arial"/>
                <w:color w:val="000000"/>
                <w:sz w:val="16"/>
                <w:szCs w:val="16"/>
                <w:lang w:val="en-US"/>
              </w:rPr>
              <w:t>.</w:t>
            </w:r>
            <w:r w:rsidRPr="00A53EE1">
              <w:rPr>
                <w:rFonts w:cs="Arial"/>
                <w:color w:val="000000"/>
                <w:sz w:val="16"/>
                <w:szCs w:val="16"/>
                <w:lang w:val="en-US"/>
              </w:rPr>
              <w:t>374</w:t>
            </w:r>
          </w:p>
        </w:tc>
        <w:tc>
          <w:tcPr>
            <w:tcW w:w="1152" w:type="dxa"/>
            <w:tcBorders>
              <w:right w:val="single" w:sz="6" w:space="0" w:color="008000"/>
            </w:tcBorders>
            <w:shd w:val="clear" w:color="auto" w:fill="FABF8F" w:themeFill="accent6" w:themeFillTint="99"/>
            <w:noWrap/>
            <w:vAlign w:val="center"/>
            <w:hideMark/>
          </w:tcPr>
          <w:p w14:paraId="2C25E3D4" w14:textId="1F0EEE53"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533</w:t>
            </w:r>
            <w:r w:rsidR="003670FB">
              <w:rPr>
                <w:rFonts w:cs="Arial"/>
                <w:color w:val="000000"/>
                <w:sz w:val="16"/>
                <w:szCs w:val="16"/>
                <w:lang w:val="en-US"/>
              </w:rPr>
              <w:t>.</w:t>
            </w:r>
            <w:r w:rsidRPr="00A53EE1">
              <w:rPr>
                <w:rFonts w:cs="Arial"/>
                <w:color w:val="000000"/>
                <w:sz w:val="16"/>
                <w:szCs w:val="16"/>
                <w:lang w:val="en-US"/>
              </w:rPr>
              <w:t>908</w:t>
            </w:r>
            <w:r w:rsidR="003670FB">
              <w:rPr>
                <w:rFonts w:cs="Arial"/>
                <w:color w:val="000000"/>
                <w:sz w:val="16"/>
                <w:szCs w:val="16"/>
                <w:lang w:val="en-US"/>
              </w:rPr>
              <w:t>.</w:t>
            </w:r>
            <w:r w:rsidRPr="00A53EE1">
              <w:rPr>
                <w:rFonts w:cs="Arial"/>
                <w:color w:val="000000"/>
                <w:sz w:val="16"/>
                <w:szCs w:val="16"/>
                <w:lang w:val="en-US"/>
              </w:rPr>
              <w:t>500</w:t>
            </w:r>
          </w:p>
        </w:tc>
        <w:tc>
          <w:tcPr>
            <w:tcW w:w="784" w:type="dxa"/>
            <w:tcBorders>
              <w:left w:val="single" w:sz="6" w:space="0" w:color="008000"/>
            </w:tcBorders>
            <w:shd w:val="clear" w:color="auto" w:fill="auto"/>
            <w:noWrap/>
            <w:vAlign w:val="center"/>
            <w:hideMark/>
          </w:tcPr>
          <w:p w14:paraId="44A20825" w14:textId="0AAF9CC6"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41</w:t>
            </w:r>
          </w:p>
        </w:tc>
        <w:tc>
          <w:tcPr>
            <w:tcW w:w="1148" w:type="dxa"/>
            <w:tcBorders>
              <w:right w:val="single" w:sz="6" w:space="0" w:color="008000"/>
            </w:tcBorders>
            <w:shd w:val="clear" w:color="auto" w:fill="auto"/>
            <w:noWrap/>
            <w:vAlign w:val="center"/>
            <w:hideMark/>
          </w:tcPr>
          <w:p w14:paraId="171F3BE6" w14:textId="694CD535"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160</w:t>
            </w:r>
            <w:r w:rsidR="003670FB">
              <w:rPr>
                <w:rFonts w:cs="Arial"/>
                <w:color w:val="000000"/>
                <w:sz w:val="16"/>
                <w:szCs w:val="16"/>
                <w:lang w:val="en-US"/>
              </w:rPr>
              <w:t>.</w:t>
            </w:r>
            <w:r w:rsidRPr="00A53EE1">
              <w:rPr>
                <w:rFonts w:cs="Arial"/>
                <w:color w:val="000000"/>
                <w:sz w:val="16"/>
                <w:szCs w:val="16"/>
                <w:lang w:val="en-US"/>
              </w:rPr>
              <w:t>500</w:t>
            </w:r>
          </w:p>
        </w:tc>
        <w:tc>
          <w:tcPr>
            <w:tcW w:w="747" w:type="dxa"/>
            <w:tcBorders>
              <w:left w:val="single" w:sz="6" w:space="0" w:color="008000"/>
            </w:tcBorders>
            <w:shd w:val="clear" w:color="auto" w:fill="auto"/>
            <w:noWrap/>
            <w:vAlign w:val="center"/>
            <w:hideMark/>
          </w:tcPr>
          <w:p w14:paraId="2449B2D5" w14:textId="1220A68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4</w:t>
            </w:r>
            <w:r w:rsidR="003670FB">
              <w:rPr>
                <w:rFonts w:cs="Arial"/>
                <w:color w:val="000000"/>
                <w:sz w:val="16"/>
                <w:szCs w:val="16"/>
                <w:lang w:val="en-US"/>
              </w:rPr>
              <w:t>.</w:t>
            </w:r>
            <w:r w:rsidRPr="00A53EE1">
              <w:rPr>
                <w:rFonts w:cs="Arial"/>
                <w:color w:val="000000"/>
                <w:sz w:val="16"/>
                <w:szCs w:val="16"/>
                <w:lang w:val="en-US"/>
              </w:rPr>
              <w:t>150</w:t>
            </w:r>
          </w:p>
        </w:tc>
        <w:tc>
          <w:tcPr>
            <w:tcW w:w="1147" w:type="dxa"/>
            <w:tcBorders>
              <w:right w:val="single" w:sz="6" w:space="0" w:color="008000"/>
            </w:tcBorders>
            <w:shd w:val="clear" w:color="auto" w:fill="auto"/>
            <w:noWrap/>
            <w:vAlign w:val="center"/>
            <w:hideMark/>
          </w:tcPr>
          <w:p w14:paraId="3A5E6BC6" w14:textId="457F1520"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16</w:t>
            </w:r>
            <w:r w:rsidR="003670FB">
              <w:rPr>
                <w:rFonts w:cs="Arial"/>
                <w:color w:val="000000"/>
                <w:sz w:val="16"/>
                <w:szCs w:val="16"/>
                <w:lang w:val="en-US"/>
              </w:rPr>
              <w:t>.</w:t>
            </w:r>
            <w:r w:rsidRPr="00A53EE1">
              <w:rPr>
                <w:rFonts w:cs="Arial"/>
                <w:color w:val="000000"/>
                <w:sz w:val="16"/>
                <w:szCs w:val="16"/>
                <w:lang w:val="en-US"/>
              </w:rPr>
              <w:t>500</w:t>
            </w:r>
          </w:p>
        </w:tc>
        <w:tc>
          <w:tcPr>
            <w:tcW w:w="747" w:type="dxa"/>
            <w:tcBorders>
              <w:left w:val="single" w:sz="6" w:space="0" w:color="008000"/>
            </w:tcBorders>
            <w:shd w:val="clear" w:color="auto" w:fill="FF7C80"/>
            <w:noWrap/>
            <w:vAlign w:val="center"/>
            <w:hideMark/>
          </w:tcPr>
          <w:p w14:paraId="53594EF7" w14:textId="3BAA8D0F"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5</w:t>
            </w:r>
            <w:r w:rsidR="003670FB">
              <w:rPr>
                <w:rFonts w:cs="Arial"/>
                <w:color w:val="000000"/>
                <w:sz w:val="16"/>
                <w:szCs w:val="16"/>
                <w:lang w:val="en-US"/>
              </w:rPr>
              <w:t>.</w:t>
            </w:r>
            <w:r w:rsidRPr="00A53EE1">
              <w:rPr>
                <w:rFonts w:cs="Arial"/>
                <w:color w:val="000000"/>
                <w:sz w:val="16"/>
                <w:szCs w:val="16"/>
                <w:lang w:val="en-US"/>
              </w:rPr>
              <w:t>840</w:t>
            </w:r>
          </w:p>
        </w:tc>
        <w:tc>
          <w:tcPr>
            <w:tcW w:w="1147" w:type="dxa"/>
            <w:shd w:val="clear" w:color="auto" w:fill="auto"/>
            <w:noWrap/>
            <w:vAlign w:val="center"/>
            <w:hideMark/>
          </w:tcPr>
          <w:p w14:paraId="243730E0" w14:textId="4F00E64A"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6</w:t>
            </w:r>
            <w:r w:rsidR="003670FB">
              <w:rPr>
                <w:rFonts w:cs="Arial"/>
                <w:color w:val="000000"/>
                <w:sz w:val="16"/>
                <w:szCs w:val="16"/>
                <w:lang w:val="en-US"/>
              </w:rPr>
              <w:t>.</w:t>
            </w:r>
            <w:r w:rsidRPr="00A53EE1">
              <w:rPr>
                <w:rFonts w:cs="Arial"/>
                <w:color w:val="000000"/>
                <w:sz w:val="16"/>
                <w:szCs w:val="16"/>
                <w:lang w:val="en-US"/>
              </w:rPr>
              <w:t>000</w:t>
            </w:r>
          </w:p>
        </w:tc>
      </w:tr>
      <w:tr w:rsidR="00755DD0" w:rsidRPr="00A53EE1" w14:paraId="71C873FA" w14:textId="77777777" w:rsidTr="00755DD0">
        <w:trPr>
          <w:trHeight w:val="288"/>
        </w:trPr>
        <w:tc>
          <w:tcPr>
            <w:tcW w:w="980" w:type="dxa"/>
            <w:tcBorders>
              <w:right w:val="single" w:sz="6" w:space="0" w:color="008000"/>
            </w:tcBorders>
            <w:shd w:val="clear" w:color="auto" w:fill="auto"/>
            <w:noWrap/>
            <w:vAlign w:val="center"/>
            <w:hideMark/>
          </w:tcPr>
          <w:p w14:paraId="5845F071"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Nepal</w:t>
            </w:r>
          </w:p>
        </w:tc>
        <w:tc>
          <w:tcPr>
            <w:tcW w:w="868" w:type="dxa"/>
            <w:tcBorders>
              <w:left w:val="single" w:sz="6" w:space="0" w:color="008000"/>
            </w:tcBorders>
            <w:shd w:val="clear" w:color="auto" w:fill="auto"/>
            <w:noWrap/>
            <w:vAlign w:val="center"/>
            <w:hideMark/>
          </w:tcPr>
          <w:p w14:paraId="0E26063B" w14:textId="171596BE"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24</w:t>
            </w:r>
            <w:r w:rsidR="00807E64">
              <w:rPr>
                <w:rFonts w:cs="Arial"/>
                <w:color w:val="000000"/>
                <w:sz w:val="16"/>
                <w:szCs w:val="16"/>
                <w:lang w:val="en-US"/>
              </w:rPr>
              <w:t>.</w:t>
            </w:r>
            <w:r w:rsidRPr="00A53EE1">
              <w:rPr>
                <w:rFonts w:cs="Arial"/>
                <w:color w:val="000000"/>
                <w:sz w:val="16"/>
                <w:szCs w:val="16"/>
                <w:lang w:val="en-US"/>
              </w:rPr>
              <w:t>871</w:t>
            </w:r>
          </w:p>
        </w:tc>
        <w:tc>
          <w:tcPr>
            <w:tcW w:w="1152" w:type="dxa"/>
            <w:tcBorders>
              <w:right w:val="single" w:sz="6" w:space="0" w:color="008000"/>
            </w:tcBorders>
            <w:shd w:val="clear" w:color="auto" w:fill="auto"/>
            <w:noWrap/>
            <w:vAlign w:val="center"/>
            <w:hideMark/>
          </w:tcPr>
          <w:p w14:paraId="63C9BD7A" w14:textId="2A460076"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6</w:t>
            </w:r>
            <w:r w:rsidR="003670FB">
              <w:rPr>
                <w:rFonts w:cs="Arial"/>
                <w:color w:val="000000"/>
                <w:sz w:val="16"/>
                <w:szCs w:val="16"/>
                <w:lang w:val="en-US"/>
              </w:rPr>
              <w:t>.</w:t>
            </w:r>
            <w:r w:rsidRPr="00A53EE1">
              <w:rPr>
                <w:rFonts w:cs="Arial"/>
                <w:color w:val="000000"/>
                <w:sz w:val="16"/>
                <w:szCs w:val="16"/>
                <w:lang w:val="en-US"/>
              </w:rPr>
              <w:t>835</w:t>
            </w:r>
            <w:r w:rsidR="003670FB">
              <w:rPr>
                <w:rFonts w:cs="Arial"/>
                <w:color w:val="000000"/>
                <w:sz w:val="16"/>
                <w:szCs w:val="16"/>
                <w:lang w:val="en-US"/>
              </w:rPr>
              <w:t>.</w:t>
            </w:r>
            <w:r w:rsidRPr="00A53EE1">
              <w:rPr>
                <w:rFonts w:cs="Arial"/>
                <w:color w:val="000000"/>
                <w:sz w:val="16"/>
                <w:szCs w:val="16"/>
                <w:lang w:val="en-US"/>
              </w:rPr>
              <w:t>155</w:t>
            </w:r>
          </w:p>
        </w:tc>
        <w:tc>
          <w:tcPr>
            <w:tcW w:w="784" w:type="dxa"/>
            <w:tcBorders>
              <w:left w:val="single" w:sz="6" w:space="0" w:color="008000"/>
            </w:tcBorders>
            <w:shd w:val="clear" w:color="auto" w:fill="auto"/>
            <w:noWrap/>
            <w:vAlign w:val="center"/>
            <w:hideMark/>
          </w:tcPr>
          <w:p w14:paraId="4D76EC6D"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No data</w:t>
            </w:r>
          </w:p>
        </w:tc>
        <w:tc>
          <w:tcPr>
            <w:tcW w:w="1148" w:type="dxa"/>
            <w:tcBorders>
              <w:right w:val="single" w:sz="6" w:space="0" w:color="008000"/>
            </w:tcBorders>
            <w:shd w:val="clear" w:color="auto" w:fill="auto"/>
            <w:noWrap/>
            <w:vAlign w:val="center"/>
            <w:hideMark/>
          </w:tcPr>
          <w:p w14:paraId="6658FC25"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7ECDFC84" w14:textId="585F25C2"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w:t>
            </w:r>
            <w:r w:rsidR="003670FB">
              <w:rPr>
                <w:rFonts w:cs="Arial"/>
                <w:color w:val="000000"/>
                <w:sz w:val="16"/>
                <w:szCs w:val="16"/>
                <w:lang w:val="en-US"/>
              </w:rPr>
              <w:t>.</w:t>
            </w:r>
            <w:r w:rsidRPr="00A53EE1">
              <w:rPr>
                <w:rFonts w:cs="Arial"/>
                <w:color w:val="000000"/>
                <w:sz w:val="16"/>
                <w:szCs w:val="16"/>
                <w:lang w:val="en-US"/>
              </w:rPr>
              <w:t>159</w:t>
            </w:r>
          </w:p>
        </w:tc>
        <w:tc>
          <w:tcPr>
            <w:tcW w:w="1147" w:type="dxa"/>
            <w:tcBorders>
              <w:right w:val="single" w:sz="6" w:space="0" w:color="008000"/>
            </w:tcBorders>
            <w:shd w:val="clear" w:color="auto" w:fill="auto"/>
            <w:noWrap/>
            <w:vAlign w:val="center"/>
            <w:hideMark/>
          </w:tcPr>
          <w:p w14:paraId="3F5D556E"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7AA33200"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194</w:t>
            </w:r>
          </w:p>
        </w:tc>
        <w:tc>
          <w:tcPr>
            <w:tcW w:w="1147" w:type="dxa"/>
            <w:shd w:val="clear" w:color="auto" w:fill="auto"/>
            <w:noWrap/>
            <w:vAlign w:val="center"/>
            <w:hideMark/>
          </w:tcPr>
          <w:p w14:paraId="61C2306B" w14:textId="59C6C8B8"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260</w:t>
            </w:r>
          </w:p>
        </w:tc>
      </w:tr>
      <w:tr w:rsidR="00755DD0" w:rsidRPr="00A53EE1" w14:paraId="5A8E66B6" w14:textId="77777777" w:rsidTr="00755DD0">
        <w:trPr>
          <w:trHeight w:val="288"/>
        </w:trPr>
        <w:tc>
          <w:tcPr>
            <w:tcW w:w="980" w:type="dxa"/>
            <w:tcBorders>
              <w:right w:val="single" w:sz="6" w:space="0" w:color="008000"/>
            </w:tcBorders>
            <w:shd w:val="clear" w:color="auto" w:fill="auto"/>
            <w:noWrap/>
            <w:vAlign w:val="center"/>
            <w:hideMark/>
          </w:tcPr>
          <w:p w14:paraId="3216285F"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Pakistan</w:t>
            </w:r>
          </w:p>
        </w:tc>
        <w:tc>
          <w:tcPr>
            <w:tcW w:w="868" w:type="dxa"/>
            <w:tcBorders>
              <w:left w:val="single" w:sz="6" w:space="0" w:color="008000"/>
            </w:tcBorders>
            <w:shd w:val="clear" w:color="auto" w:fill="auto"/>
            <w:noWrap/>
            <w:vAlign w:val="center"/>
            <w:hideMark/>
          </w:tcPr>
          <w:p w14:paraId="17178361" w14:textId="79CA6165"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178</w:t>
            </w:r>
            <w:r w:rsidR="00807E64">
              <w:rPr>
                <w:rFonts w:cs="Arial"/>
                <w:color w:val="000000"/>
                <w:sz w:val="16"/>
                <w:szCs w:val="16"/>
                <w:lang w:val="en-US"/>
              </w:rPr>
              <w:t>.</w:t>
            </w:r>
            <w:r w:rsidRPr="00A53EE1">
              <w:rPr>
                <w:rFonts w:cs="Arial"/>
                <w:color w:val="000000"/>
                <w:sz w:val="16"/>
                <w:szCs w:val="16"/>
                <w:lang w:val="en-US"/>
              </w:rPr>
              <w:t>840</w:t>
            </w:r>
          </w:p>
        </w:tc>
        <w:tc>
          <w:tcPr>
            <w:tcW w:w="1152" w:type="dxa"/>
            <w:tcBorders>
              <w:right w:val="single" w:sz="6" w:space="0" w:color="008000"/>
            </w:tcBorders>
            <w:shd w:val="clear" w:color="auto" w:fill="auto"/>
            <w:noWrap/>
            <w:vAlign w:val="center"/>
            <w:hideMark/>
          </w:tcPr>
          <w:p w14:paraId="7C17E2EC" w14:textId="5567EFFE"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29</w:t>
            </w:r>
            <w:r w:rsidR="003670FB">
              <w:rPr>
                <w:rFonts w:cs="Arial"/>
                <w:color w:val="000000"/>
                <w:sz w:val="16"/>
                <w:szCs w:val="16"/>
                <w:lang w:val="en-US"/>
              </w:rPr>
              <w:t>.</w:t>
            </w:r>
            <w:r w:rsidRPr="00A53EE1">
              <w:rPr>
                <w:rFonts w:cs="Arial"/>
                <w:color w:val="000000"/>
                <w:sz w:val="16"/>
                <w:szCs w:val="16"/>
                <w:lang w:val="en-US"/>
              </w:rPr>
              <w:t>955</w:t>
            </w:r>
            <w:r w:rsidR="003670FB">
              <w:rPr>
                <w:rFonts w:cs="Arial"/>
                <w:color w:val="000000"/>
                <w:sz w:val="16"/>
                <w:szCs w:val="16"/>
                <w:lang w:val="en-US"/>
              </w:rPr>
              <w:t>.</w:t>
            </w:r>
            <w:r w:rsidRPr="00A53EE1">
              <w:rPr>
                <w:rFonts w:cs="Arial"/>
                <w:color w:val="000000"/>
                <w:sz w:val="16"/>
                <w:szCs w:val="16"/>
                <w:lang w:val="en-US"/>
              </w:rPr>
              <w:t>969</w:t>
            </w:r>
          </w:p>
        </w:tc>
        <w:tc>
          <w:tcPr>
            <w:tcW w:w="784" w:type="dxa"/>
            <w:tcBorders>
              <w:left w:val="single" w:sz="6" w:space="0" w:color="008000"/>
            </w:tcBorders>
            <w:shd w:val="clear" w:color="auto" w:fill="auto"/>
            <w:noWrap/>
            <w:vAlign w:val="center"/>
            <w:hideMark/>
          </w:tcPr>
          <w:p w14:paraId="3B696AE6"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861</w:t>
            </w:r>
          </w:p>
        </w:tc>
        <w:tc>
          <w:tcPr>
            <w:tcW w:w="1148" w:type="dxa"/>
            <w:tcBorders>
              <w:right w:val="single" w:sz="6" w:space="0" w:color="008000"/>
            </w:tcBorders>
            <w:shd w:val="clear" w:color="auto" w:fill="auto"/>
            <w:noWrap/>
            <w:vAlign w:val="center"/>
            <w:hideMark/>
          </w:tcPr>
          <w:p w14:paraId="5636DA70" w14:textId="4519D5BC"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179</w:t>
            </w:r>
            <w:r w:rsidR="003670FB">
              <w:rPr>
                <w:rFonts w:cs="Arial"/>
                <w:color w:val="000000"/>
                <w:sz w:val="16"/>
                <w:szCs w:val="16"/>
                <w:lang w:val="en-US"/>
              </w:rPr>
              <w:t>.</w:t>
            </w:r>
            <w:r w:rsidRPr="00A53EE1">
              <w:rPr>
                <w:rFonts w:cs="Arial"/>
                <w:color w:val="000000"/>
                <w:sz w:val="16"/>
                <w:szCs w:val="16"/>
                <w:lang w:val="en-US"/>
              </w:rPr>
              <w:t>080</w:t>
            </w:r>
          </w:p>
        </w:tc>
        <w:tc>
          <w:tcPr>
            <w:tcW w:w="747" w:type="dxa"/>
            <w:tcBorders>
              <w:left w:val="single" w:sz="6" w:space="0" w:color="008000"/>
            </w:tcBorders>
            <w:shd w:val="clear" w:color="auto" w:fill="auto"/>
            <w:noWrap/>
            <w:vAlign w:val="center"/>
            <w:hideMark/>
          </w:tcPr>
          <w:p w14:paraId="1166CF36" w14:textId="0F6C438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6</w:t>
            </w:r>
            <w:r w:rsidR="003670FB">
              <w:rPr>
                <w:rFonts w:cs="Arial"/>
                <w:color w:val="000000"/>
                <w:sz w:val="16"/>
                <w:szCs w:val="16"/>
                <w:lang w:val="en-US"/>
              </w:rPr>
              <w:t>.</w:t>
            </w:r>
            <w:r w:rsidRPr="00A53EE1">
              <w:rPr>
                <w:rFonts w:cs="Arial"/>
                <w:color w:val="000000"/>
                <w:sz w:val="16"/>
                <w:szCs w:val="16"/>
                <w:lang w:val="en-US"/>
              </w:rPr>
              <w:t>184</w:t>
            </w:r>
          </w:p>
        </w:tc>
        <w:tc>
          <w:tcPr>
            <w:tcW w:w="1147" w:type="dxa"/>
            <w:tcBorders>
              <w:right w:val="single" w:sz="6" w:space="0" w:color="008000"/>
            </w:tcBorders>
            <w:shd w:val="clear" w:color="auto" w:fill="auto"/>
            <w:noWrap/>
            <w:vAlign w:val="center"/>
            <w:hideMark/>
          </w:tcPr>
          <w:p w14:paraId="3027F9E6"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08AAB7A3" w14:textId="3AB16EB8"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058</w:t>
            </w:r>
          </w:p>
        </w:tc>
        <w:tc>
          <w:tcPr>
            <w:tcW w:w="1147" w:type="dxa"/>
            <w:shd w:val="clear" w:color="auto" w:fill="auto"/>
            <w:noWrap/>
            <w:vAlign w:val="center"/>
            <w:hideMark/>
          </w:tcPr>
          <w:p w14:paraId="18539BD8" w14:textId="4E1A9313"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22</w:t>
            </w:r>
            <w:r w:rsidR="003670FB">
              <w:rPr>
                <w:rFonts w:cs="Arial"/>
                <w:color w:val="000000"/>
                <w:sz w:val="16"/>
                <w:szCs w:val="16"/>
                <w:lang w:val="en-US"/>
              </w:rPr>
              <w:t>.</w:t>
            </w:r>
            <w:r w:rsidRPr="00A53EE1">
              <w:rPr>
                <w:rFonts w:cs="Arial"/>
                <w:color w:val="000000"/>
                <w:sz w:val="16"/>
                <w:szCs w:val="16"/>
                <w:lang w:val="en-US"/>
              </w:rPr>
              <w:t>060</w:t>
            </w:r>
          </w:p>
        </w:tc>
      </w:tr>
      <w:tr w:rsidR="00755DD0" w:rsidRPr="00A53EE1" w14:paraId="6D76F375" w14:textId="77777777" w:rsidTr="00755DD0">
        <w:trPr>
          <w:trHeight w:val="288"/>
        </w:trPr>
        <w:tc>
          <w:tcPr>
            <w:tcW w:w="980" w:type="dxa"/>
            <w:tcBorders>
              <w:right w:val="single" w:sz="6" w:space="0" w:color="008000"/>
            </w:tcBorders>
            <w:shd w:val="clear" w:color="auto" w:fill="auto"/>
            <w:noWrap/>
            <w:vAlign w:val="center"/>
            <w:hideMark/>
          </w:tcPr>
          <w:p w14:paraId="24074BA1"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Romania</w:t>
            </w:r>
          </w:p>
        </w:tc>
        <w:tc>
          <w:tcPr>
            <w:tcW w:w="868" w:type="dxa"/>
            <w:tcBorders>
              <w:left w:val="single" w:sz="6" w:space="0" w:color="008000"/>
            </w:tcBorders>
            <w:shd w:val="clear" w:color="auto" w:fill="auto"/>
            <w:noWrap/>
            <w:vAlign w:val="center"/>
            <w:hideMark/>
          </w:tcPr>
          <w:p w14:paraId="46ED2E76" w14:textId="3DF92ADC"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4</w:t>
            </w:r>
            <w:r w:rsidR="00807E64">
              <w:rPr>
                <w:rFonts w:cs="Arial"/>
                <w:color w:val="000000"/>
                <w:sz w:val="16"/>
                <w:szCs w:val="16"/>
                <w:lang w:val="en-US"/>
              </w:rPr>
              <w:t>.</w:t>
            </w:r>
            <w:r w:rsidRPr="00A53EE1">
              <w:rPr>
                <w:rFonts w:cs="Arial"/>
                <w:color w:val="000000"/>
                <w:sz w:val="16"/>
                <w:szCs w:val="16"/>
                <w:lang w:val="en-US"/>
              </w:rPr>
              <w:t>939</w:t>
            </w:r>
          </w:p>
        </w:tc>
        <w:tc>
          <w:tcPr>
            <w:tcW w:w="1152" w:type="dxa"/>
            <w:tcBorders>
              <w:right w:val="single" w:sz="6" w:space="0" w:color="008000"/>
            </w:tcBorders>
            <w:shd w:val="clear" w:color="auto" w:fill="auto"/>
            <w:noWrap/>
            <w:vAlign w:val="center"/>
            <w:hideMark/>
          </w:tcPr>
          <w:p w14:paraId="141C4FF1" w14:textId="12083E83"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6</w:t>
            </w:r>
            <w:r w:rsidR="003670FB">
              <w:rPr>
                <w:rFonts w:cs="Arial"/>
                <w:color w:val="000000"/>
                <w:sz w:val="16"/>
                <w:szCs w:val="16"/>
                <w:lang w:val="en-US"/>
              </w:rPr>
              <w:t>.</w:t>
            </w:r>
            <w:r w:rsidRPr="00A53EE1">
              <w:rPr>
                <w:rFonts w:cs="Arial"/>
                <w:color w:val="000000"/>
                <w:sz w:val="16"/>
                <w:szCs w:val="16"/>
                <w:lang w:val="en-US"/>
              </w:rPr>
              <w:t>199</w:t>
            </w:r>
            <w:r w:rsidR="003670FB">
              <w:rPr>
                <w:rFonts w:cs="Arial"/>
                <w:color w:val="000000"/>
                <w:sz w:val="16"/>
                <w:szCs w:val="16"/>
                <w:lang w:val="en-US"/>
              </w:rPr>
              <w:t>.</w:t>
            </w:r>
            <w:r w:rsidRPr="00A53EE1">
              <w:rPr>
                <w:rFonts w:cs="Arial"/>
                <w:color w:val="000000"/>
                <w:sz w:val="16"/>
                <w:szCs w:val="16"/>
                <w:lang w:val="en-US"/>
              </w:rPr>
              <w:t>920</w:t>
            </w:r>
          </w:p>
        </w:tc>
        <w:tc>
          <w:tcPr>
            <w:tcW w:w="784" w:type="dxa"/>
            <w:tcBorders>
              <w:left w:val="single" w:sz="6" w:space="0" w:color="008000"/>
            </w:tcBorders>
            <w:shd w:val="clear" w:color="auto" w:fill="auto"/>
            <w:noWrap/>
            <w:vAlign w:val="center"/>
            <w:hideMark/>
          </w:tcPr>
          <w:p w14:paraId="1D3399AF"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60</w:t>
            </w:r>
          </w:p>
        </w:tc>
        <w:tc>
          <w:tcPr>
            <w:tcW w:w="1148" w:type="dxa"/>
            <w:tcBorders>
              <w:right w:val="single" w:sz="6" w:space="0" w:color="008000"/>
            </w:tcBorders>
            <w:shd w:val="clear" w:color="auto" w:fill="auto"/>
            <w:noWrap/>
            <w:vAlign w:val="center"/>
            <w:hideMark/>
          </w:tcPr>
          <w:p w14:paraId="5F9B8CD7"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6D76EBC5"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587</w:t>
            </w:r>
          </w:p>
        </w:tc>
        <w:tc>
          <w:tcPr>
            <w:tcW w:w="1147" w:type="dxa"/>
            <w:tcBorders>
              <w:right w:val="single" w:sz="6" w:space="0" w:color="008000"/>
            </w:tcBorders>
            <w:shd w:val="clear" w:color="auto" w:fill="auto"/>
            <w:noWrap/>
            <w:vAlign w:val="center"/>
            <w:hideMark/>
          </w:tcPr>
          <w:p w14:paraId="063FD257"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59750B20"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95</w:t>
            </w:r>
          </w:p>
        </w:tc>
        <w:tc>
          <w:tcPr>
            <w:tcW w:w="1147" w:type="dxa"/>
            <w:shd w:val="clear" w:color="auto" w:fill="auto"/>
            <w:noWrap/>
            <w:vAlign w:val="center"/>
            <w:hideMark/>
          </w:tcPr>
          <w:p w14:paraId="7A38BB50"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r>
      <w:tr w:rsidR="00755DD0" w:rsidRPr="00A53EE1" w14:paraId="40EF147F" w14:textId="77777777" w:rsidTr="00CA2404">
        <w:trPr>
          <w:trHeight w:val="288"/>
        </w:trPr>
        <w:tc>
          <w:tcPr>
            <w:tcW w:w="980" w:type="dxa"/>
            <w:tcBorders>
              <w:right w:val="single" w:sz="6" w:space="0" w:color="008000"/>
            </w:tcBorders>
            <w:shd w:val="clear" w:color="auto" w:fill="auto"/>
            <w:noWrap/>
            <w:vAlign w:val="center"/>
            <w:hideMark/>
          </w:tcPr>
          <w:p w14:paraId="0766B20A" w14:textId="7AECD611"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S</w:t>
            </w:r>
            <w:r w:rsidR="00F45F2D" w:rsidRPr="00A53EE1">
              <w:rPr>
                <w:rFonts w:cs="Arial"/>
                <w:color w:val="000000"/>
                <w:sz w:val="16"/>
                <w:szCs w:val="16"/>
                <w:lang w:val="en-US"/>
              </w:rPr>
              <w:t>.</w:t>
            </w:r>
            <w:r w:rsidRPr="00A53EE1">
              <w:rPr>
                <w:rFonts w:cs="Arial"/>
                <w:color w:val="000000"/>
                <w:sz w:val="16"/>
                <w:szCs w:val="16"/>
                <w:lang w:val="en-US"/>
              </w:rPr>
              <w:t xml:space="preserve"> Korea</w:t>
            </w:r>
          </w:p>
        </w:tc>
        <w:tc>
          <w:tcPr>
            <w:tcW w:w="868" w:type="dxa"/>
            <w:tcBorders>
              <w:left w:val="single" w:sz="6" w:space="0" w:color="008000"/>
            </w:tcBorders>
            <w:shd w:val="clear" w:color="auto" w:fill="auto"/>
            <w:noWrap/>
            <w:vAlign w:val="center"/>
            <w:hideMark/>
          </w:tcPr>
          <w:p w14:paraId="09C8D7B8" w14:textId="29C0704F"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9</w:t>
            </w:r>
            <w:r w:rsidR="00807E64">
              <w:rPr>
                <w:rFonts w:cs="Arial"/>
                <w:color w:val="000000"/>
                <w:sz w:val="16"/>
                <w:szCs w:val="16"/>
                <w:lang w:val="en-US"/>
              </w:rPr>
              <w:t>.</w:t>
            </w:r>
            <w:r w:rsidRPr="00A53EE1">
              <w:rPr>
                <w:rFonts w:cs="Arial"/>
                <w:color w:val="000000"/>
                <w:sz w:val="16"/>
                <w:szCs w:val="16"/>
                <w:lang w:val="en-US"/>
              </w:rPr>
              <w:t>111</w:t>
            </w:r>
          </w:p>
        </w:tc>
        <w:tc>
          <w:tcPr>
            <w:tcW w:w="1152" w:type="dxa"/>
            <w:tcBorders>
              <w:right w:val="single" w:sz="6" w:space="0" w:color="008000"/>
            </w:tcBorders>
            <w:shd w:val="clear" w:color="auto" w:fill="auto"/>
            <w:noWrap/>
            <w:vAlign w:val="center"/>
            <w:hideMark/>
          </w:tcPr>
          <w:p w14:paraId="79085627" w14:textId="3C64379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18</w:t>
            </w:r>
            <w:r w:rsidR="003670FB">
              <w:rPr>
                <w:rFonts w:cs="Arial"/>
                <w:color w:val="000000"/>
                <w:sz w:val="16"/>
                <w:szCs w:val="16"/>
                <w:lang w:val="en-US"/>
              </w:rPr>
              <w:t>.</w:t>
            </w:r>
            <w:r w:rsidRPr="00A53EE1">
              <w:rPr>
                <w:rFonts w:cs="Arial"/>
                <w:color w:val="000000"/>
                <w:sz w:val="16"/>
                <w:szCs w:val="16"/>
                <w:lang w:val="en-US"/>
              </w:rPr>
              <w:t>516</w:t>
            </w:r>
            <w:r w:rsidR="003670FB">
              <w:rPr>
                <w:rFonts w:cs="Arial"/>
                <w:color w:val="000000"/>
                <w:sz w:val="16"/>
                <w:szCs w:val="16"/>
                <w:lang w:val="en-US"/>
              </w:rPr>
              <w:t>.</w:t>
            </w:r>
            <w:r w:rsidRPr="00A53EE1">
              <w:rPr>
                <w:rFonts w:cs="Arial"/>
                <w:color w:val="000000"/>
                <w:sz w:val="16"/>
                <w:szCs w:val="16"/>
                <w:lang w:val="en-US"/>
              </w:rPr>
              <w:t>257</w:t>
            </w:r>
          </w:p>
        </w:tc>
        <w:tc>
          <w:tcPr>
            <w:tcW w:w="784" w:type="dxa"/>
            <w:tcBorders>
              <w:left w:val="single" w:sz="6" w:space="0" w:color="008000"/>
            </w:tcBorders>
            <w:shd w:val="clear" w:color="auto" w:fill="auto"/>
            <w:noWrap/>
            <w:vAlign w:val="center"/>
            <w:hideMark/>
          </w:tcPr>
          <w:p w14:paraId="4FDE0BBB"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303</w:t>
            </w:r>
          </w:p>
        </w:tc>
        <w:tc>
          <w:tcPr>
            <w:tcW w:w="1148" w:type="dxa"/>
            <w:tcBorders>
              <w:right w:val="single" w:sz="6" w:space="0" w:color="008000"/>
            </w:tcBorders>
            <w:shd w:val="clear" w:color="auto" w:fill="auto"/>
            <w:noWrap/>
            <w:vAlign w:val="center"/>
            <w:hideMark/>
          </w:tcPr>
          <w:p w14:paraId="1474DEA0" w14:textId="74892BBE"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167</w:t>
            </w:r>
            <w:r w:rsidR="003670FB">
              <w:rPr>
                <w:rFonts w:cs="Arial"/>
                <w:color w:val="000000"/>
                <w:sz w:val="16"/>
                <w:szCs w:val="16"/>
                <w:lang w:val="en-US"/>
              </w:rPr>
              <w:t>.</w:t>
            </w:r>
            <w:r w:rsidRPr="00A53EE1">
              <w:rPr>
                <w:rFonts w:cs="Arial"/>
                <w:color w:val="000000"/>
                <w:sz w:val="16"/>
                <w:szCs w:val="16"/>
                <w:lang w:val="en-US"/>
              </w:rPr>
              <w:t>300</w:t>
            </w:r>
          </w:p>
        </w:tc>
        <w:tc>
          <w:tcPr>
            <w:tcW w:w="747" w:type="dxa"/>
            <w:tcBorders>
              <w:left w:val="single" w:sz="6" w:space="0" w:color="008000"/>
            </w:tcBorders>
            <w:shd w:val="clear" w:color="auto" w:fill="auto"/>
            <w:noWrap/>
            <w:vAlign w:val="center"/>
            <w:hideMark/>
          </w:tcPr>
          <w:p w14:paraId="628D63DC" w14:textId="617D0BC8"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658</w:t>
            </w:r>
          </w:p>
        </w:tc>
        <w:tc>
          <w:tcPr>
            <w:tcW w:w="1147" w:type="dxa"/>
            <w:tcBorders>
              <w:right w:val="single" w:sz="6" w:space="0" w:color="008000"/>
            </w:tcBorders>
            <w:shd w:val="clear" w:color="auto" w:fill="FABF8F" w:themeFill="accent6" w:themeFillTint="99"/>
            <w:noWrap/>
            <w:vAlign w:val="center"/>
            <w:hideMark/>
          </w:tcPr>
          <w:p w14:paraId="653CD08D" w14:textId="68D04A3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shd w:val="clear" w:color="auto" w:fill="FABF8F" w:themeFill="accent6" w:themeFillTint="99"/>
                <w:lang w:val="en-US"/>
              </w:rPr>
              <w:t>38</w:t>
            </w:r>
            <w:r w:rsidR="003670FB">
              <w:rPr>
                <w:rFonts w:cs="Arial"/>
                <w:color w:val="000000"/>
                <w:sz w:val="16"/>
                <w:szCs w:val="16"/>
                <w:shd w:val="clear" w:color="auto" w:fill="FABF8F" w:themeFill="accent6" w:themeFillTint="99"/>
                <w:lang w:val="en-US"/>
              </w:rPr>
              <w:t>.</w:t>
            </w:r>
            <w:r w:rsidRPr="00A53EE1">
              <w:rPr>
                <w:rFonts w:cs="Arial"/>
                <w:color w:val="000000"/>
                <w:sz w:val="16"/>
                <w:szCs w:val="16"/>
                <w:shd w:val="clear" w:color="auto" w:fill="FABF8F" w:themeFill="accent6" w:themeFillTint="99"/>
                <w:lang w:val="en-US"/>
              </w:rPr>
              <w:t>40</w:t>
            </w:r>
            <w:r w:rsidRPr="00A53EE1">
              <w:rPr>
                <w:rFonts w:cs="Arial"/>
                <w:color w:val="000000"/>
                <w:sz w:val="16"/>
                <w:szCs w:val="16"/>
                <w:lang w:val="en-US"/>
              </w:rPr>
              <w:t>0</w:t>
            </w:r>
          </w:p>
        </w:tc>
        <w:tc>
          <w:tcPr>
            <w:tcW w:w="747" w:type="dxa"/>
            <w:tcBorders>
              <w:left w:val="single" w:sz="6" w:space="0" w:color="008000"/>
            </w:tcBorders>
            <w:shd w:val="clear" w:color="auto" w:fill="auto"/>
            <w:noWrap/>
            <w:vAlign w:val="center"/>
            <w:hideMark/>
          </w:tcPr>
          <w:p w14:paraId="6919A50F" w14:textId="2A6BAD93"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662</w:t>
            </w:r>
          </w:p>
        </w:tc>
        <w:tc>
          <w:tcPr>
            <w:tcW w:w="1147" w:type="dxa"/>
            <w:shd w:val="clear" w:color="auto" w:fill="auto"/>
            <w:noWrap/>
            <w:vAlign w:val="center"/>
            <w:hideMark/>
          </w:tcPr>
          <w:p w14:paraId="17DE299C" w14:textId="4A22A72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26</w:t>
            </w:r>
            <w:r w:rsidR="003670FB">
              <w:rPr>
                <w:rFonts w:cs="Arial"/>
                <w:color w:val="000000"/>
                <w:sz w:val="16"/>
                <w:szCs w:val="16"/>
                <w:lang w:val="en-US"/>
              </w:rPr>
              <w:t>.</w:t>
            </w:r>
            <w:r w:rsidRPr="00A53EE1">
              <w:rPr>
                <w:rFonts w:cs="Arial"/>
                <w:color w:val="000000"/>
                <w:sz w:val="16"/>
                <w:szCs w:val="16"/>
                <w:lang w:val="en-US"/>
              </w:rPr>
              <w:t>077</w:t>
            </w:r>
          </w:p>
        </w:tc>
      </w:tr>
      <w:tr w:rsidR="00755DD0" w:rsidRPr="00A53EE1" w14:paraId="51EC74AA" w14:textId="77777777" w:rsidTr="00755DD0">
        <w:trPr>
          <w:trHeight w:val="288"/>
        </w:trPr>
        <w:tc>
          <w:tcPr>
            <w:tcW w:w="980" w:type="dxa"/>
            <w:tcBorders>
              <w:right w:val="single" w:sz="6" w:space="0" w:color="008000"/>
            </w:tcBorders>
            <w:shd w:val="clear" w:color="auto" w:fill="auto"/>
            <w:noWrap/>
            <w:vAlign w:val="center"/>
            <w:hideMark/>
          </w:tcPr>
          <w:p w14:paraId="2EF22946"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Sri Lanka</w:t>
            </w:r>
          </w:p>
        </w:tc>
        <w:tc>
          <w:tcPr>
            <w:tcW w:w="868" w:type="dxa"/>
            <w:tcBorders>
              <w:left w:val="single" w:sz="6" w:space="0" w:color="008000"/>
            </w:tcBorders>
            <w:shd w:val="clear" w:color="auto" w:fill="auto"/>
            <w:noWrap/>
            <w:vAlign w:val="center"/>
            <w:hideMark/>
          </w:tcPr>
          <w:p w14:paraId="1B2633CE" w14:textId="58C53B82"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40</w:t>
            </w:r>
            <w:r w:rsidR="00807E64">
              <w:rPr>
                <w:rFonts w:cs="Arial"/>
                <w:color w:val="000000"/>
                <w:sz w:val="16"/>
                <w:szCs w:val="16"/>
                <w:lang w:val="en-US"/>
              </w:rPr>
              <w:t>.</w:t>
            </w:r>
            <w:r w:rsidRPr="00A53EE1">
              <w:rPr>
                <w:rFonts w:cs="Arial"/>
                <w:color w:val="000000"/>
                <w:sz w:val="16"/>
                <w:szCs w:val="16"/>
                <w:lang w:val="en-US"/>
              </w:rPr>
              <w:t>057</w:t>
            </w:r>
          </w:p>
        </w:tc>
        <w:tc>
          <w:tcPr>
            <w:tcW w:w="1152" w:type="dxa"/>
            <w:tcBorders>
              <w:right w:val="single" w:sz="6" w:space="0" w:color="008000"/>
            </w:tcBorders>
            <w:shd w:val="clear" w:color="auto" w:fill="auto"/>
            <w:noWrap/>
            <w:vAlign w:val="center"/>
            <w:hideMark/>
          </w:tcPr>
          <w:p w14:paraId="239E235B" w14:textId="31761E06"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4</w:t>
            </w:r>
            <w:r w:rsidR="003670FB">
              <w:rPr>
                <w:rFonts w:cs="Arial"/>
                <w:color w:val="000000"/>
                <w:sz w:val="16"/>
                <w:szCs w:val="16"/>
                <w:lang w:val="en-US"/>
              </w:rPr>
              <w:t>.</w:t>
            </w:r>
            <w:r w:rsidRPr="00A53EE1">
              <w:rPr>
                <w:rFonts w:cs="Arial"/>
                <w:color w:val="000000"/>
                <w:sz w:val="16"/>
                <w:szCs w:val="16"/>
                <w:lang w:val="en-US"/>
              </w:rPr>
              <w:t>475</w:t>
            </w:r>
            <w:r w:rsidR="003670FB">
              <w:rPr>
                <w:rFonts w:cs="Arial"/>
                <w:color w:val="000000"/>
                <w:sz w:val="16"/>
                <w:szCs w:val="16"/>
                <w:lang w:val="en-US"/>
              </w:rPr>
              <w:t>.</w:t>
            </w:r>
            <w:r w:rsidRPr="00A53EE1">
              <w:rPr>
                <w:rFonts w:cs="Arial"/>
                <w:color w:val="000000"/>
                <w:sz w:val="16"/>
                <w:szCs w:val="16"/>
                <w:lang w:val="en-US"/>
              </w:rPr>
              <w:t>364</w:t>
            </w:r>
          </w:p>
        </w:tc>
        <w:tc>
          <w:tcPr>
            <w:tcW w:w="784" w:type="dxa"/>
            <w:tcBorders>
              <w:left w:val="single" w:sz="6" w:space="0" w:color="008000"/>
            </w:tcBorders>
            <w:shd w:val="clear" w:color="auto" w:fill="auto"/>
            <w:noWrap/>
            <w:vAlign w:val="center"/>
            <w:hideMark/>
          </w:tcPr>
          <w:p w14:paraId="04BF1269"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25</w:t>
            </w:r>
          </w:p>
        </w:tc>
        <w:tc>
          <w:tcPr>
            <w:tcW w:w="1148" w:type="dxa"/>
            <w:tcBorders>
              <w:right w:val="single" w:sz="6" w:space="0" w:color="008000"/>
            </w:tcBorders>
            <w:shd w:val="clear" w:color="auto" w:fill="auto"/>
            <w:noWrap/>
            <w:vAlign w:val="center"/>
            <w:hideMark/>
          </w:tcPr>
          <w:p w14:paraId="3131EA09"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62EC3555"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871</w:t>
            </w:r>
          </w:p>
        </w:tc>
        <w:tc>
          <w:tcPr>
            <w:tcW w:w="1147" w:type="dxa"/>
            <w:tcBorders>
              <w:right w:val="single" w:sz="6" w:space="0" w:color="008000"/>
            </w:tcBorders>
            <w:shd w:val="clear" w:color="auto" w:fill="auto"/>
            <w:noWrap/>
            <w:vAlign w:val="center"/>
            <w:hideMark/>
          </w:tcPr>
          <w:p w14:paraId="1AC6E475"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5B372987"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93</w:t>
            </w:r>
          </w:p>
        </w:tc>
        <w:tc>
          <w:tcPr>
            <w:tcW w:w="1147" w:type="dxa"/>
            <w:shd w:val="clear" w:color="auto" w:fill="auto"/>
            <w:noWrap/>
            <w:vAlign w:val="center"/>
            <w:hideMark/>
          </w:tcPr>
          <w:p w14:paraId="6E4115C1"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r>
      <w:tr w:rsidR="00755DD0" w:rsidRPr="00A53EE1" w14:paraId="4CBEB3D6" w14:textId="77777777" w:rsidTr="00755DD0">
        <w:trPr>
          <w:trHeight w:val="288"/>
        </w:trPr>
        <w:tc>
          <w:tcPr>
            <w:tcW w:w="980" w:type="dxa"/>
            <w:tcBorders>
              <w:right w:val="single" w:sz="6" w:space="0" w:color="008000"/>
            </w:tcBorders>
            <w:shd w:val="clear" w:color="auto" w:fill="auto"/>
            <w:noWrap/>
            <w:vAlign w:val="center"/>
            <w:hideMark/>
          </w:tcPr>
          <w:p w14:paraId="774478CB"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Turkey</w:t>
            </w:r>
          </w:p>
        </w:tc>
        <w:tc>
          <w:tcPr>
            <w:tcW w:w="868" w:type="dxa"/>
            <w:tcBorders>
              <w:left w:val="single" w:sz="6" w:space="0" w:color="008000"/>
            </w:tcBorders>
            <w:shd w:val="clear" w:color="auto" w:fill="auto"/>
            <w:noWrap/>
            <w:vAlign w:val="center"/>
            <w:hideMark/>
          </w:tcPr>
          <w:p w14:paraId="18DAF830" w14:textId="638B67BE"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97</w:t>
            </w:r>
            <w:r w:rsidR="00807E64">
              <w:rPr>
                <w:rFonts w:cs="Arial"/>
                <w:color w:val="000000"/>
                <w:sz w:val="16"/>
                <w:szCs w:val="16"/>
                <w:lang w:val="en-US"/>
              </w:rPr>
              <w:t>.</w:t>
            </w:r>
            <w:r w:rsidRPr="00A53EE1">
              <w:rPr>
                <w:rFonts w:cs="Arial"/>
                <w:color w:val="000000"/>
                <w:sz w:val="16"/>
                <w:szCs w:val="16"/>
                <w:lang w:val="en-US"/>
              </w:rPr>
              <w:t>086</w:t>
            </w:r>
          </w:p>
        </w:tc>
        <w:tc>
          <w:tcPr>
            <w:tcW w:w="1152" w:type="dxa"/>
            <w:tcBorders>
              <w:right w:val="single" w:sz="6" w:space="0" w:color="008000"/>
            </w:tcBorders>
            <w:shd w:val="clear" w:color="auto" w:fill="auto"/>
            <w:noWrap/>
            <w:vAlign w:val="center"/>
            <w:hideMark/>
          </w:tcPr>
          <w:p w14:paraId="23700768" w14:textId="037611D0"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28</w:t>
            </w:r>
            <w:r w:rsidR="003670FB">
              <w:rPr>
                <w:rFonts w:cs="Arial"/>
                <w:color w:val="000000"/>
                <w:sz w:val="16"/>
                <w:szCs w:val="16"/>
                <w:lang w:val="en-US"/>
              </w:rPr>
              <w:t>.</w:t>
            </w:r>
            <w:r w:rsidRPr="00A53EE1">
              <w:rPr>
                <w:rFonts w:cs="Arial"/>
                <w:color w:val="000000"/>
                <w:sz w:val="16"/>
                <w:szCs w:val="16"/>
                <w:lang w:val="en-US"/>
              </w:rPr>
              <w:t>708</w:t>
            </w:r>
            <w:r w:rsidR="003670FB">
              <w:rPr>
                <w:rFonts w:cs="Arial"/>
                <w:color w:val="000000"/>
                <w:sz w:val="16"/>
                <w:szCs w:val="16"/>
                <w:lang w:val="en-US"/>
              </w:rPr>
              <w:t>.</w:t>
            </w:r>
            <w:r w:rsidRPr="00A53EE1">
              <w:rPr>
                <w:rFonts w:cs="Arial"/>
                <w:color w:val="000000"/>
                <w:sz w:val="16"/>
                <w:szCs w:val="16"/>
                <w:lang w:val="en-US"/>
              </w:rPr>
              <w:t>670</w:t>
            </w:r>
          </w:p>
        </w:tc>
        <w:tc>
          <w:tcPr>
            <w:tcW w:w="784" w:type="dxa"/>
            <w:tcBorders>
              <w:left w:val="single" w:sz="6" w:space="0" w:color="008000"/>
            </w:tcBorders>
            <w:shd w:val="clear" w:color="auto" w:fill="auto"/>
            <w:noWrap/>
            <w:vAlign w:val="center"/>
            <w:hideMark/>
          </w:tcPr>
          <w:p w14:paraId="1BD8DC94" w14:textId="7C268B91"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239</w:t>
            </w:r>
          </w:p>
        </w:tc>
        <w:tc>
          <w:tcPr>
            <w:tcW w:w="1148" w:type="dxa"/>
            <w:tcBorders>
              <w:right w:val="single" w:sz="6" w:space="0" w:color="008000"/>
            </w:tcBorders>
            <w:shd w:val="clear" w:color="auto" w:fill="auto"/>
            <w:noWrap/>
            <w:vAlign w:val="center"/>
            <w:hideMark/>
          </w:tcPr>
          <w:p w14:paraId="6992CB4B"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3F8DD88F" w14:textId="42D240BD"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3</w:t>
            </w:r>
            <w:r w:rsidR="003670FB">
              <w:rPr>
                <w:rFonts w:cs="Arial"/>
                <w:color w:val="000000"/>
                <w:sz w:val="16"/>
                <w:szCs w:val="16"/>
                <w:lang w:val="en-US"/>
              </w:rPr>
              <w:t>.</w:t>
            </w:r>
            <w:r w:rsidRPr="00A53EE1">
              <w:rPr>
                <w:rFonts w:cs="Arial"/>
                <w:color w:val="000000"/>
                <w:sz w:val="16"/>
                <w:szCs w:val="16"/>
                <w:lang w:val="en-US"/>
              </w:rPr>
              <w:t>084</w:t>
            </w:r>
          </w:p>
        </w:tc>
        <w:tc>
          <w:tcPr>
            <w:tcW w:w="1147" w:type="dxa"/>
            <w:tcBorders>
              <w:right w:val="single" w:sz="6" w:space="0" w:color="008000"/>
            </w:tcBorders>
            <w:shd w:val="clear" w:color="auto" w:fill="auto"/>
            <w:noWrap/>
            <w:vAlign w:val="center"/>
            <w:hideMark/>
          </w:tcPr>
          <w:p w14:paraId="3FB9B766"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52BD888A" w14:textId="2221457B"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w:t>
            </w:r>
            <w:r w:rsidR="003670FB">
              <w:rPr>
                <w:rFonts w:cs="Arial"/>
                <w:color w:val="000000"/>
                <w:sz w:val="16"/>
                <w:szCs w:val="16"/>
                <w:lang w:val="en-US"/>
              </w:rPr>
              <w:t>.</w:t>
            </w:r>
            <w:r w:rsidRPr="00A53EE1">
              <w:rPr>
                <w:rFonts w:cs="Arial"/>
                <w:color w:val="000000"/>
                <w:sz w:val="16"/>
                <w:szCs w:val="16"/>
                <w:lang w:val="en-US"/>
              </w:rPr>
              <w:t>587</w:t>
            </w:r>
          </w:p>
        </w:tc>
        <w:tc>
          <w:tcPr>
            <w:tcW w:w="1147" w:type="dxa"/>
            <w:shd w:val="clear" w:color="auto" w:fill="auto"/>
            <w:noWrap/>
            <w:vAlign w:val="center"/>
            <w:hideMark/>
          </w:tcPr>
          <w:p w14:paraId="4C2BF0B8" w14:textId="67050D56"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27</w:t>
            </w:r>
            <w:r w:rsidR="00B5784D" w:rsidRPr="00A53EE1">
              <w:rPr>
                <w:rFonts w:cs="Arial"/>
                <w:color w:val="000000"/>
                <w:sz w:val="16"/>
                <w:szCs w:val="16"/>
                <w:lang w:val="en-US"/>
              </w:rPr>
              <w:t>8</w:t>
            </w:r>
            <w:r w:rsidR="003670FB">
              <w:rPr>
                <w:rFonts w:cs="Arial"/>
                <w:color w:val="000000"/>
                <w:sz w:val="16"/>
                <w:szCs w:val="16"/>
                <w:lang w:val="en-US"/>
              </w:rPr>
              <w:t>.</w:t>
            </w:r>
            <w:r w:rsidR="00D92DAE" w:rsidRPr="00A53EE1">
              <w:rPr>
                <w:rFonts w:cs="Arial"/>
                <w:color w:val="000000"/>
                <w:sz w:val="16"/>
                <w:szCs w:val="16"/>
                <w:lang w:val="en-US"/>
              </w:rPr>
              <w:t>0</w:t>
            </w:r>
            <w:r w:rsidRPr="00A53EE1">
              <w:rPr>
                <w:rFonts w:cs="Arial"/>
                <w:color w:val="000000"/>
                <w:sz w:val="16"/>
                <w:szCs w:val="16"/>
                <w:lang w:val="en-US"/>
              </w:rPr>
              <w:t>00</w:t>
            </w:r>
          </w:p>
        </w:tc>
      </w:tr>
      <w:tr w:rsidR="00755DD0" w:rsidRPr="00A53EE1" w14:paraId="25B76446" w14:textId="77777777" w:rsidTr="00755DD0">
        <w:trPr>
          <w:trHeight w:val="288"/>
        </w:trPr>
        <w:tc>
          <w:tcPr>
            <w:tcW w:w="980" w:type="dxa"/>
            <w:tcBorders>
              <w:right w:val="single" w:sz="6" w:space="0" w:color="008000"/>
            </w:tcBorders>
            <w:shd w:val="clear" w:color="auto" w:fill="auto"/>
            <w:noWrap/>
            <w:vAlign w:val="center"/>
            <w:hideMark/>
          </w:tcPr>
          <w:p w14:paraId="4B05EF49"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Vietnam</w:t>
            </w:r>
          </w:p>
        </w:tc>
        <w:tc>
          <w:tcPr>
            <w:tcW w:w="868" w:type="dxa"/>
            <w:tcBorders>
              <w:left w:val="single" w:sz="6" w:space="0" w:color="008000"/>
            </w:tcBorders>
            <w:shd w:val="clear" w:color="auto" w:fill="auto"/>
            <w:noWrap/>
            <w:vAlign w:val="center"/>
            <w:hideMark/>
          </w:tcPr>
          <w:p w14:paraId="3DB9957E" w14:textId="31DFB759"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27</w:t>
            </w:r>
            <w:r w:rsidR="00807E64">
              <w:rPr>
                <w:rFonts w:cs="Arial"/>
                <w:color w:val="000000"/>
                <w:sz w:val="16"/>
                <w:szCs w:val="16"/>
                <w:lang w:val="en-US"/>
              </w:rPr>
              <w:t>.</w:t>
            </w:r>
            <w:r w:rsidRPr="00A53EE1">
              <w:rPr>
                <w:rFonts w:cs="Arial"/>
                <w:color w:val="000000"/>
                <w:sz w:val="16"/>
                <w:szCs w:val="16"/>
                <w:lang w:val="en-US"/>
              </w:rPr>
              <w:t>240</w:t>
            </w:r>
          </w:p>
        </w:tc>
        <w:tc>
          <w:tcPr>
            <w:tcW w:w="1152" w:type="dxa"/>
            <w:tcBorders>
              <w:right w:val="single" w:sz="6" w:space="0" w:color="008000"/>
            </w:tcBorders>
            <w:shd w:val="clear" w:color="auto" w:fill="auto"/>
            <w:noWrap/>
            <w:vAlign w:val="center"/>
            <w:hideMark/>
          </w:tcPr>
          <w:p w14:paraId="13A8D1AD" w14:textId="75E3A47C"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23</w:t>
            </w:r>
            <w:r w:rsidR="003670FB">
              <w:rPr>
                <w:rFonts w:cs="Arial"/>
                <w:color w:val="000000"/>
                <w:sz w:val="16"/>
                <w:szCs w:val="16"/>
                <w:lang w:val="en-US"/>
              </w:rPr>
              <w:t>.</w:t>
            </w:r>
            <w:r w:rsidRPr="00A53EE1">
              <w:rPr>
                <w:rFonts w:cs="Arial"/>
                <w:color w:val="000000"/>
                <w:sz w:val="16"/>
                <w:szCs w:val="16"/>
                <w:lang w:val="en-US"/>
              </w:rPr>
              <w:t>399</w:t>
            </w:r>
            <w:r w:rsidR="003670FB">
              <w:rPr>
                <w:rFonts w:cs="Arial"/>
                <w:color w:val="000000"/>
                <w:sz w:val="16"/>
                <w:szCs w:val="16"/>
                <w:lang w:val="en-US"/>
              </w:rPr>
              <w:t>.</w:t>
            </w:r>
            <w:r w:rsidRPr="00A53EE1">
              <w:rPr>
                <w:rFonts w:cs="Arial"/>
                <w:color w:val="000000"/>
                <w:sz w:val="16"/>
                <w:szCs w:val="16"/>
                <w:lang w:val="en-US"/>
              </w:rPr>
              <w:t>566</w:t>
            </w:r>
          </w:p>
        </w:tc>
        <w:tc>
          <w:tcPr>
            <w:tcW w:w="784" w:type="dxa"/>
            <w:tcBorders>
              <w:left w:val="single" w:sz="6" w:space="0" w:color="008000"/>
            </w:tcBorders>
            <w:shd w:val="clear" w:color="auto" w:fill="auto"/>
            <w:noWrap/>
            <w:vAlign w:val="center"/>
            <w:hideMark/>
          </w:tcPr>
          <w:p w14:paraId="4E809797"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762</w:t>
            </w:r>
          </w:p>
        </w:tc>
        <w:tc>
          <w:tcPr>
            <w:tcW w:w="1148" w:type="dxa"/>
            <w:tcBorders>
              <w:right w:val="single" w:sz="6" w:space="0" w:color="008000"/>
            </w:tcBorders>
            <w:shd w:val="clear" w:color="auto" w:fill="auto"/>
            <w:noWrap/>
            <w:vAlign w:val="center"/>
            <w:hideMark/>
          </w:tcPr>
          <w:p w14:paraId="3644491C" w14:textId="5E9560D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w:t>
            </w:r>
            <w:r w:rsidR="003670FB">
              <w:rPr>
                <w:rFonts w:cs="Arial"/>
                <w:color w:val="000000"/>
                <w:sz w:val="16"/>
                <w:szCs w:val="16"/>
                <w:lang w:val="en-US"/>
              </w:rPr>
              <w:t>.</w:t>
            </w:r>
            <w:r w:rsidRPr="00A53EE1">
              <w:rPr>
                <w:rFonts w:cs="Arial"/>
                <w:color w:val="000000"/>
                <w:sz w:val="16"/>
                <w:szCs w:val="16"/>
                <w:lang w:val="en-US"/>
              </w:rPr>
              <w:t>000</w:t>
            </w:r>
          </w:p>
        </w:tc>
        <w:tc>
          <w:tcPr>
            <w:tcW w:w="747" w:type="dxa"/>
            <w:tcBorders>
              <w:left w:val="single" w:sz="6" w:space="0" w:color="008000"/>
            </w:tcBorders>
            <w:shd w:val="clear" w:color="auto" w:fill="auto"/>
            <w:noWrap/>
            <w:vAlign w:val="center"/>
            <w:hideMark/>
          </w:tcPr>
          <w:p w14:paraId="74B5750F" w14:textId="1305CC6E"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354</w:t>
            </w:r>
          </w:p>
        </w:tc>
        <w:tc>
          <w:tcPr>
            <w:tcW w:w="1147" w:type="dxa"/>
            <w:tcBorders>
              <w:right w:val="single" w:sz="6" w:space="0" w:color="008000"/>
            </w:tcBorders>
            <w:shd w:val="clear" w:color="auto" w:fill="auto"/>
            <w:noWrap/>
            <w:vAlign w:val="center"/>
            <w:hideMark/>
          </w:tcPr>
          <w:p w14:paraId="7058C1FF"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tcBorders>
            <w:shd w:val="clear" w:color="auto" w:fill="auto"/>
            <w:noWrap/>
            <w:vAlign w:val="center"/>
            <w:hideMark/>
          </w:tcPr>
          <w:p w14:paraId="18175617"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189</w:t>
            </w:r>
          </w:p>
        </w:tc>
        <w:tc>
          <w:tcPr>
            <w:tcW w:w="1147" w:type="dxa"/>
            <w:shd w:val="clear" w:color="auto" w:fill="auto"/>
            <w:noWrap/>
            <w:vAlign w:val="center"/>
            <w:hideMark/>
          </w:tcPr>
          <w:p w14:paraId="524E6CF9" w14:textId="41BC386E"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2</w:t>
            </w:r>
            <w:r w:rsidR="003670FB">
              <w:rPr>
                <w:rFonts w:cs="Arial"/>
                <w:color w:val="000000"/>
                <w:sz w:val="16"/>
                <w:szCs w:val="16"/>
                <w:lang w:val="en-US"/>
              </w:rPr>
              <w:t>.</w:t>
            </w:r>
            <w:r w:rsidRPr="00A53EE1">
              <w:rPr>
                <w:rFonts w:cs="Arial"/>
                <w:color w:val="000000"/>
                <w:sz w:val="16"/>
                <w:szCs w:val="16"/>
                <w:lang w:val="en-US"/>
              </w:rPr>
              <w:t>500</w:t>
            </w:r>
          </w:p>
        </w:tc>
      </w:tr>
      <w:tr w:rsidR="00755DD0" w:rsidRPr="00A53EE1" w14:paraId="59AC00D7" w14:textId="77777777" w:rsidTr="00755DD0">
        <w:trPr>
          <w:trHeight w:val="288"/>
        </w:trPr>
        <w:tc>
          <w:tcPr>
            <w:tcW w:w="980" w:type="dxa"/>
            <w:tcBorders>
              <w:bottom w:val="single" w:sz="12" w:space="0" w:color="008000"/>
              <w:right w:val="single" w:sz="6" w:space="0" w:color="008000"/>
            </w:tcBorders>
            <w:shd w:val="clear" w:color="auto" w:fill="auto"/>
            <w:noWrap/>
            <w:vAlign w:val="center"/>
            <w:hideMark/>
          </w:tcPr>
          <w:p w14:paraId="078EA6C7"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Yemen</w:t>
            </w:r>
          </w:p>
        </w:tc>
        <w:tc>
          <w:tcPr>
            <w:tcW w:w="868" w:type="dxa"/>
            <w:tcBorders>
              <w:left w:val="single" w:sz="6" w:space="0" w:color="008000"/>
              <w:bottom w:val="single" w:sz="12" w:space="0" w:color="008000"/>
            </w:tcBorders>
            <w:shd w:val="clear" w:color="auto" w:fill="auto"/>
            <w:noWrap/>
            <w:vAlign w:val="center"/>
            <w:hideMark/>
          </w:tcPr>
          <w:p w14:paraId="06A0CF80" w14:textId="555A832A"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5</w:t>
            </w:r>
            <w:r w:rsidR="00807E64">
              <w:rPr>
                <w:rFonts w:cs="Arial"/>
                <w:color w:val="000000"/>
                <w:sz w:val="16"/>
                <w:szCs w:val="16"/>
                <w:lang w:val="en-US"/>
              </w:rPr>
              <w:t>.</w:t>
            </w:r>
            <w:r w:rsidRPr="00A53EE1">
              <w:rPr>
                <w:rFonts w:cs="Arial"/>
                <w:color w:val="000000"/>
                <w:sz w:val="16"/>
                <w:szCs w:val="16"/>
                <w:lang w:val="en-US"/>
              </w:rPr>
              <w:t>623</w:t>
            </w:r>
          </w:p>
        </w:tc>
        <w:tc>
          <w:tcPr>
            <w:tcW w:w="1152" w:type="dxa"/>
            <w:tcBorders>
              <w:bottom w:val="single" w:sz="12" w:space="0" w:color="008000"/>
              <w:right w:val="single" w:sz="6" w:space="0" w:color="008000"/>
            </w:tcBorders>
            <w:shd w:val="clear" w:color="auto" w:fill="auto"/>
            <w:noWrap/>
            <w:vAlign w:val="center"/>
            <w:hideMark/>
          </w:tcPr>
          <w:p w14:paraId="6245259C" w14:textId="16AD5E34"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4</w:t>
            </w:r>
            <w:r w:rsidR="003670FB">
              <w:rPr>
                <w:rFonts w:cs="Arial"/>
                <w:color w:val="000000"/>
                <w:sz w:val="16"/>
                <w:szCs w:val="16"/>
                <w:lang w:val="en-US"/>
              </w:rPr>
              <w:t>.</w:t>
            </w:r>
            <w:r w:rsidRPr="00A53EE1">
              <w:rPr>
                <w:rFonts w:cs="Arial"/>
                <w:color w:val="000000"/>
                <w:sz w:val="16"/>
                <w:szCs w:val="16"/>
                <w:lang w:val="en-US"/>
              </w:rPr>
              <w:t>894</w:t>
            </w:r>
            <w:r w:rsidR="00807E64">
              <w:rPr>
                <w:rFonts w:cs="Arial"/>
                <w:color w:val="000000"/>
                <w:sz w:val="16"/>
                <w:szCs w:val="16"/>
                <w:lang w:val="en-US"/>
              </w:rPr>
              <w:t>.</w:t>
            </w:r>
            <w:r w:rsidRPr="00A53EE1">
              <w:rPr>
                <w:rFonts w:cs="Arial"/>
                <w:color w:val="000000"/>
                <w:sz w:val="16"/>
                <w:szCs w:val="16"/>
                <w:lang w:val="en-US"/>
              </w:rPr>
              <w:t>400</w:t>
            </w:r>
          </w:p>
        </w:tc>
        <w:tc>
          <w:tcPr>
            <w:tcW w:w="784" w:type="dxa"/>
            <w:tcBorders>
              <w:left w:val="single" w:sz="6" w:space="0" w:color="008000"/>
              <w:bottom w:val="single" w:sz="12" w:space="0" w:color="008000"/>
            </w:tcBorders>
            <w:shd w:val="clear" w:color="auto" w:fill="auto"/>
            <w:noWrap/>
            <w:vAlign w:val="center"/>
            <w:hideMark/>
          </w:tcPr>
          <w:p w14:paraId="11C0AFC9"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129</w:t>
            </w:r>
          </w:p>
        </w:tc>
        <w:tc>
          <w:tcPr>
            <w:tcW w:w="1148" w:type="dxa"/>
            <w:tcBorders>
              <w:bottom w:val="single" w:sz="12" w:space="0" w:color="008000"/>
              <w:right w:val="single" w:sz="6" w:space="0" w:color="008000"/>
            </w:tcBorders>
            <w:shd w:val="clear" w:color="auto" w:fill="auto"/>
            <w:noWrap/>
            <w:vAlign w:val="center"/>
            <w:hideMark/>
          </w:tcPr>
          <w:p w14:paraId="28246AE4"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bottom w:val="single" w:sz="12" w:space="0" w:color="008000"/>
            </w:tcBorders>
            <w:shd w:val="clear" w:color="auto" w:fill="auto"/>
            <w:noWrap/>
            <w:vAlign w:val="center"/>
            <w:hideMark/>
          </w:tcPr>
          <w:p w14:paraId="18258180" w14:textId="4AFCFEA6"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w:t>
            </w:r>
            <w:r w:rsidR="003670FB">
              <w:rPr>
                <w:rFonts w:cs="Arial"/>
                <w:color w:val="000000"/>
                <w:sz w:val="16"/>
                <w:szCs w:val="16"/>
                <w:lang w:val="en-US"/>
              </w:rPr>
              <w:t>.</w:t>
            </w:r>
            <w:r w:rsidRPr="00A53EE1">
              <w:rPr>
                <w:rFonts w:cs="Arial"/>
                <w:color w:val="000000"/>
                <w:sz w:val="16"/>
                <w:szCs w:val="16"/>
                <w:lang w:val="en-US"/>
              </w:rPr>
              <w:t>647</w:t>
            </w:r>
          </w:p>
        </w:tc>
        <w:tc>
          <w:tcPr>
            <w:tcW w:w="1147" w:type="dxa"/>
            <w:tcBorders>
              <w:bottom w:val="single" w:sz="12" w:space="0" w:color="008000"/>
              <w:right w:val="single" w:sz="6" w:space="0" w:color="008000"/>
            </w:tcBorders>
            <w:shd w:val="clear" w:color="auto" w:fill="auto"/>
            <w:noWrap/>
            <w:vAlign w:val="center"/>
            <w:hideMark/>
          </w:tcPr>
          <w:p w14:paraId="71E5C8B7"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c>
          <w:tcPr>
            <w:tcW w:w="747" w:type="dxa"/>
            <w:tcBorders>
              <w:left w:val="single" w:sz="6" w:space="0" w:color="008000"/>
              <w:bottom w:val="single" w:sz="12" w:space="0" w:color="008000"/>
            </w:tcBorders>
            <w:shd w:val="clear" w:color="auto" w:fill="auto"/>
            <w:noWrap/>
            <w:vAlign w:val="center"/>
            <w:hideMark/>
          </w:tcPr>
          <w:p w14:paraId="1751FDAF" w14:textId="77777777" w:rsidR="00755DD0" w:rsidRPr="00A53EE1" w:rsidRDefault="00755DD0" w:rsidP="00755DD0">
            <w:pPr>
              <w:tabs>
                <w:tab w:val="clear" w:pos="7100"/>
              </w:tabs>
              <w:spacing w:line="240" w:lineRule="auto"/>
              <w:jc w:val="center"/>
              <w:rPr>
                <w:rFonts w:cs="Arial"/>
                <w:color w:val="000000"/>
                <w:sz w:val="16"/>
                <w:szCs w:val="16"/>
                <w:lang w:val="en-US"/>
              </w:rPr>
            </w:pPr>
            <w:r w:rsidRPr="00A53EE1">
              <w:rPr>
                <w:rFonts w:cs="Arial"/>
                <w:color w:val="000000"/>
                <w:sz w:val="16"/>
                <w:szCs w:val="16"/>
                <w:lang w:val="en-US"/>
              </w:rPr>
              <w:t>140</w:t>
            </w:r>
          </w:p>
        </w:tc>
        <w:tc>
          <w:tcPr>
            <w:tcW w:w="1147" w:type="dxa"/>
            <w:tcBorders>
              <w:bottom w:val="single" w:sz="12" w:space="0" w:color="008000"/>
            </w:tcBorders>
            <w:shd w:val="clear" w:color="auto" w:fill="auto"/>
            <w:noWrap/>
            <w:vAlign w:val="center"/>
            <w:hideMark/>
          </w:tcPr>
          <w:p w14:paraId="3F7DD6F3" w14:textId="77777777" w:rsidR="00755DD0" w:rsidRPr="00A53EE1" w:rsidRDefault="00755DD0" w:rsidP="00755DD0">
            <w:pPr>
              <w:tabs>
                <w:tab w:val="clear" w:pos="7100"/>
              </w:tabs>
              <w:spacing w:line="240" w:lineRule="auto"/>
              <w:jc w:val="center"/>
              <w:rPr>
                <w:rFonts w:cs="Arial"/>
                <w:i/>
                <w:iCs/>
                <w:color w:val="000000"/>
                <w:sz w:val="16"/>
                <w:szCs w:val="16"/>
                <w:lang w:val="en-US"/>
              </w:rPr>
            </w:pPr>
            <w:r w:rsidRPr="00A53EE1">
              <w:rPr>
                <w:rFonts w:cs="Arial"/>
                <w:i/>
                <w:iCs/>
                <w:color w:val="000000"/>
                <w:sz w:val="16"/>
                <w:szCs w:val="16"/>
                <w:lang w:val="en-US"/>
              </w:rPr>
              <w:t>No data</w:t>
            </w:r>
          </w:p>
        </w:tc>
      </w:tr>
    </w:tbl>
    <w:p w14:paraId="04AD4ED4" w14:textId="77777777" w:rsidR="001622D3" w:rsidRPr="00A53EE1" w:rsidRDefault="001622D3" w:rsidP="00302B91">
      <w:pPr>
        <w:pStyle w:val="CETBodytext"/>
      </w:pPr>
    </w:p>
    <w:p w14:paraId="413B87ED" w14:textId="321DE0FD" w:rsidR="00D15C42" w:rsidRPr="00D21E16" w:rsidRDefault="00D1588A" w:rsidP="00483AA4">
      <w:pPr>
        <w:pStyle w:val="CETBodytext"/>
      </w:pPr>
      <w:r w:rsidRPr="00A53EE1">
        <w:fldChar w:fldCharType="begin"/>
      </w:r>
      <w:r w:rsidRPr="00A53EE1">
        <w:instrText xml:space="preserve"> REF _Ref90895508 \h  \* MERGEFORMAT </w:instrText>
      </w:r>
      <w:r w:rsidRPr="00A53EE1">
        <w:fldChar w:fldCharType="separate"/>
      </w:r>
      <w:r w:rsidRPr="00A53EE1">
        <w:t xml:space="preserve">Figure </w:t>
      </w:r>
      <w:r w:rsidRPr="00A53EE1">
        <w:rPr>
          <w:noProof/>
        </w:rPr>
        <w:t>2</w:t>
      </w:r>
      <w:r w:rsidRPr="00A53EE1">
        <w:fldChar w:fldCharType="end"/>
      </w:r>
      <w:r>
        <w:t xml:space="preserve"> </w:t>
      </w:r>
      <w:r w:rsidR="00D15C42" w:rsidRPr="00A53EE1">
        <w:t xml:space="preserve">represents a </w:t>
      </w:r>
      <w:r w:rsidR="001379E2" w:rsidRPr="00A53EE1">
        <w:t xml:space="preserve">combined </w:t>
      </w:r>
      <w:r w:rsidR="00D15C42" w:rsidRPr="00A53EE1">
        <w:t>line chart describ</w:t>
      </w:r>
      <w:r w:rsidR="005E17CC" w:rsidRPr="00A53EE1">
        <w:t xml:space="preserve">ing </w:t>
      </w:r>
      <w:r w:rsidR="00D15C42" w:rsidRPr="00A53EE1">
        <w:t xml:space="preserve">the count of natural hazard accidents </w:t>
      </w:r>
      <w:r w:rsidR="001379E2" w:rsidRPr="00A53EE1">
        <w:t xml:space="preserve">and </w:t>
      </w:r>
      <w:r w:rsidR="00D15C42" w:rsidRPr="00A53EE1">
        <w:t>the economic damage</w:t>
      </w:r>
      <w:r w:rsidR="008D09CA" w:rsidRPr="00A53EE1">
        <w:t xml:space="preserve"> </w:t>
      </w:r>
      <w:r w:rsidR="001D627F" w:rsidRPr="00A53EE1">
        <w:t xml:space="preserve">(logarithmic scale to facilitate comparison) </w:t>
      </w:r>
      <w:r w:rsidR="008D09CA" w:rsidRPr="00A53EE1">
        <w:t>over time</w:t>
      </w:r>
      <w:r w:rsidR="00D15C42" w:rsidRPr="00A53EE1">
        <w:t xml:space="preserve">. </w:t>
      </w:r>
      <w:r w:rsidR="002072E5" w:rsidRPr="00A53EE1">
        <w:t>I</w:t>
      </w:r>
      <w:r w:rsidR="00D15C42" w:rsidRPr="00A53EE1">
        <w:t>t is possible</w:t>
      </w:r>
      <w:r w:rsidR="008A3FFA" w:rsidRPr="00A53EE1">
        <w:t xml:space="preserve"> to</w:t>
      </w:r>
      <w:r w:rsidR="00D15C42" w:rsidRPr="00A53EE1">
        <w:t xml:space="preserve"> </w:t>
      </w:r>
      <w:r w:rsidR="008A3FFA" w:rsidRPr="00A53EE1">
        <w:t>notice</w:t>
      </w:r>
      <w:r w:rsidR="00D15C42" w:rsidRPr="00A53EE1">
        <w:t xml:space="preserve"> the economic losses reported </w:t>
      </w:r>
      <w:r w:rsidR="002072E5" w:rsidRPr="00A53EE1">
        <w:t xml:space="preserve">for the clusters being analyzed </w:t>
      </w:r>
      <w:r w:rsidR="009A5E1D">
        <w:rPr>
          <w:lang w:val="en-GB"/>
        </w:rPr>
        <w:t>show</w:t>
      </w:r>
      <w:r w:rsidR="009A5E1D" w:rsidRPr="00A53EE1">
        <w:rPr>
          <w:lang w:val="en-GB"/>
        </w:rPr>
        <w:t xml:space="preserve"> </w:t>
      </w:r>
      <w:r w:rsidR="008A3FFA" w:rsidRPr="00A53EE1">
        <w:rPr>
          <w:lang w:val="en-GB"/>
        </w:rPr>
        <w:t>a</w:t>
      </w:r>
      <w:r w:rsidR="007A6EAE" w:rsidRPr="00A53EE1">
        <w:rPr>
          <w:lang w:val="en-GB"/>
        </w:rPr>
        <w:t>n</w:t>
      </w:r>
      <w:r w:rsidR="008A3FFA" w:rsidRPr="00A53EE1">
        <w:rPr>
          <w:lang w:val="en-GB"/>
        </w:rPr>
        <w:t xml:space="preserve"> exponential </w:t>
      </w:r>
      <w:r w:rsidR="007A6EAE" w:rsidRPr="00A53EE1">
        <w:rPr>
          <w:lang w:val="en-GB"/>
        </w:rPr>
        <w:t xml:space="preserve">trend </w:t>
      </w:r>
      <w:r w:rsidR="008A3FFA" w:rsidRPr="00A53EE1">
        <w:rPr>
          <w:lang w:val="en-GB"/>
        </w:rPr>
        <w:t xml:space="preserve">over time, </w:t>
      </w:r>
      <w:r w:rsidR="007A6EAE" w:rsidRPr="00A53EE1">
        <w:rPr>
          <w:lang w:val="en-GB"/>
        </w:rPr>
        <w:t xml:space="preserve">differently from </w:t>
      </w:r>
      <w:r w:rsidR="008A3FFA" w:rsidRPr="00A53EE1">
        <w:rPr>
          <w:lang w:val="en-GB"/>
        </w:rPr>
        <w:t>deaths losses.</w:t>
      </w:r>
      <w:r w:rsidR="00FB3CE9">
        <w:rPr>
          <w:lang w:val="en-GB"/>
        </w:rPr>
        <w:t xml:space="preserve"> Moreover, </w:t>
      </w:r>
      <w:r w:rsidR="008A4938">
        <w:rPr>
          <w:lang w:val="en-GB"/>
        </w:rPr>
        <w:t>it is possible to observe how t</w:t>
      </w:r>
      <w:r w:rsidR="00A94477">
        <w:rPr>
          <w:lang w:val="en-GB"/>
        </w:rPr>
        <w:t xml:space="preserve">he society and countries has been enhance the safety constrains in the industrial processes </w:t>
      </w:r>
      <w:r w:rsidR="00790CD2">
        <w:rPr>
          <w:lang w:val="en-GB"/>
        </w:rPr>
        <w:t xml:space="preserve">affected by the natural hazards accidents </w:t>
      </w:r>
      <w:r w:rsidR="00A94477">
        <w:rPr>
          <w:lang w:val="en-GB"/>
        </w:rPr>
        <w:t xml:space="preserve">to reduce the occupational losses, instead, economic damage </w:t>
      </w:r>
      <w:r w:rsidR="00790CD2">
        <w:rPr>
          <w:lang w:val="en-GB"/>
        </w:rPr>
        <w:t xml:space="preserve">related by them </w:t>
      </w:r>
      <w:r w:rsidR="00A94477">
        <w:rPr>
          <w:lang w:val="en-GB"/>
        </w:rPr>
        <w:t>has increased over the year.</w:t>
      </w:r>
      <w:r w:rsidR="00FF5326">
        <w:rPr>
          <w:lang w:val="en-GB"/>
        </w:rPr>
        <w:t xml:space="preserve"> </w:t>
      </w:r>
      <w:r w:rsidR="00FF5326">
        <w:t>These results</w:t>
      </w:r>
      <w:r w:rsidR="00FF5326" w:rsidRPr="00A53EE1">
        <w:t xml:space="preserve"> could be a signal of the increased quality of reporting</w:t>
      </w:r>
      <w:r w:rsidR="00FF5326">
        <w:t xml:space="preserve"> over years as well as potential improvements in safety management and risk assessment of natural hazards. </w:t>
      </w:r>
      <w:r w:rsidR="00141D61">
        <w:t xml:space="preserve"> </w:t>
      </w:r>
      <w:r w:rsidR="00FF5326" w:rsidRPr="00141D61">
        <w:rPr>
          <w:iCs/>
        </w:rPr>
        <w:t xml:space="preserve">More specifically, a larger number of events with smaller losses in EM-DAT may be used for analytics and support strategic decision-making also in relation and comparison with world risk indexes </w:t>
      </w:r>
      <w:r w:rsidR="00DD45D5">
        <w:rPr>
          <w:iCs/>
        </w:rPr>
        <w:fldChar w:fldCharType="begin" w:fldLock="1"/>
      </w:r>
      <w:r w:rsidR="00DD45D5">
        <w:rPr>
          <w:iCs/>
        </w:rPr>
        <w:instrText>ADDIN CSL_CITATION {"citationItems":[{"id":"ITEM-1","itemData":{"ISBN":"9783946785125","author":[{"dropping-particle":"","family":"Aleksandrova","given":"Mariya","non-dropping-particle":"","parse-names":false,"suffix":""},{"dropping-particle":"","family":"Balasko","given":"Sascha","non-dropping-particle":"","parse-names":false,"suffix":""},{"dropping-particle":"","family":"Kaltenborn","given":"Markus","non-dropping-particle":"","parse-names":false,"suffix":""},{"dropping-particle":"","family":"Malerba","given":"Daniele","non-dropping-particle":"","parse-names":false,"suffix":""},{"dropping-particle":"","family":"Mucke","given":"Peter","non-dropping-particle":"","parse-names":false,"suffix":""},{"dropping-particle":"","family":"Neuschafter","given":"Oliver","non-dropping-particle":"","parse-names":false,"suffix":""},{"dropping-particle":"","family":"Radtke","given":"Katrin","non-dropping-particle":"","parse-names":false,"suffix":""},{"dropping-particle":"","family":"Prutz","given":"Ruben","non-dropping-particle":"","parse-names":false,"suffix":""},{"dropping-particle":"","family":"Strupat","given":"Christoph","non-dropping-particle":"","parse-names":false,"suffix":""},{"dropping-particle":"","family":"Weller","given":"Daniel","non-dropping-particle":"","parse-names":false,"suffix":""},{"dropping-particle":"","family":"Wiebe","given":"Nicola","non-dropping-particle":"","parse-names":false,"suffix":""}],"container-title":"World Risk Report 2021 F","id":"ITEM-1","issued":{"date-parts":[["2021"]]},"number-of-pages":"74","title":"The World Risk Index 2021","type":"report"},"uris":["http://www.mendeley.com/documents/?uuid=ca62aeae-9234-4f3c-8c5d-4f8ada035a86"]}],"mendeley":{"formattedCitation":"(Aleksandrova et al., 2021)","plainTextFormattedCitation":"(Aleksandrova et al., 2021)","previouslyFormattedCitation":"(Aleksandrova et al., 2021)"},"properties":{"noteIndex":0},"schema":"https://github.com/citation-style-language/schema/raw/master/csl-citation.json"}</w:instrText>
      </w:r>
      <w:r w:rsidR="00DD45D5">
        <w:rPr>
          <w:iCs/>
        </w:rPr>
        <w:fldChar w:fldCharType="separate"/>
      </w:r>
      <w:r w:rsidR="00DD45D5" w:rsidRPr="00DD45D5">
        <w:rPr>
          <w:iCs/>
          <w:noProof/>
        </w:rPr>
        <w:t>(Aleksandrova et al., 2021)</w:t>
      </w:r>
      <w:r w:rsidR="00DD45D5">
        <w:rPr>
          <w:iCs/>
        </w:rPr>
        <w:fldChar w:fldCharType="end"/>
      </w:r>
    </w:p>
    <w:p w14:paraId="12062914" w14:textId="53BE90F0" w:rsidR="004D7ED1" w:rsidRPr="00A53EE1" w:rsidRDefault="009D4237" w:rsidP="004D7ED1">
      <w:pPr>
        <w:pStyle w:val="CETBodytext"/>
        <w:keepNext/>
      </w:pPr>
      <w:r w:rsidRPr="00A53EE1">
        <w:rPr>
          <w:noProof/>
        </w:rPr>
        <w:drawing>
          <wp:inline distT="0" distB="0" distL="0" distR="0" wp14:anchorId="50CB3867" wp14:editId="7AC97ECE">
            <wp:extent cx="5556136" cy="1536192"/>
            <wp:effectExtent l="0" t="0" r="6985" b="6985"/>
            <wp:docPr id="1" name="Picture 1"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 line chart&#10;&#10;Description automatically generated"/>
                    <pic:cNvPicPr/>
                  </pic:nvPicPr>
                  <pic:blipFill rotWithShape="1">
                    <a:blip r:embed="rId14"/>
                    <a:srcRect l="390"/>
                    <a:stretch/>
                  </pic:blipFill>
                  <pic:spPr bwMode="auto">
                    <a:xfrm>
                      <a:off x="0" y="0"/>
                      <a:ext cx="5556136" cy="1536192"/>
                    </a:xfrm>
                    <a:prstGeom prst="rect">
                      <a:avLst/>
                    </a:prstGeom>
                    <a:ln>
                      <a:noFill/>
                    </a:ln>
                    <a:extLst>
                      <a:ext uri="{53640926-AAD7-44D8-BBD7-CCE9431645EC}">
                        <a14:shadowObscured xmlns:a14="http://schemas.microsoft.com/office/drawing/2010/main"/>
                      </a:ext>
                    </a:extLst>
                  </pic:spPr>
                </pic:pic>
              </a:graphicData>
            </a:graphic>
          </wp:inline>
        </w:drawing>
      </w:r>
    </w:p>
    <w:p w14:paraId="1162AF92" w14:textId="2FF0158D" w:rsidR="004D7ED1" w:rsidRDefault="004D7ED1" w:rsidP="001846E8">
      <w:pPr>
        <w:pStyle w:val="CETTabletitle"/>
        <w:spacing w:before="0"/>
        <w:rPr>
          <w:lang w:val="en-US"/>
        </w:rPr>
      </w:pPr>
      <w:bookmarkStart w:id="4" w:name="_Ref90895508"/>
      <w:r w:rsidRPr="00A53EE1">
        <w:rPr>
          <w:lang w:val="en-US"/>
        </w:rPr>
        <w:t xml:space="preserve">Figure </w:t>
      </w:r>
      <w:r w:rsidRPr="00A53EE1">
        <w:rPr>
          <w:b/>
          <w:bCs/>
          <w:lang w:val="en-US"/>
        </w:rPr>
        <w:fldChar w:fldCharType="begin"/>
      </w:r>
      <w:r w:rsidRPr="00A53EE1">
        <w:rPr>
          <w:lang w:val="en-US"/>
        </w:rPr>
        <w:instrText xml:space="preserve"> SEQ Figure \* ARABIC </w:instrText>
      </w:r>
      <w:r w:rsidRPr="00A53EE1">
        <w:rPr>
          <w:b/>
          <w:bCs/>
          <w:lang w:val="en-US"/>
        </w:rPr>
        <w:fldChar w:fldCharType="separate"/>
      </w:r>
      <w:r w:rsidRPr="00A53EE1">
        <w:rPr>
          <w:noProof/>
          <w:lang w:val="en-US"/>
        </w:rPr>
        <w:t>2</w:t>
      </w:r>
      <w:r w:rsidRPr="00A53EE1">
        <w:rPr>
          <w:b/>
          <w:bCs/>
          <w:lang w:val="en-US"/>
        </w:rPr>
        <w:fldChar w:fldCharType="end"/>
      </w:r>
      <w:bookmarkEnd w:id="4"/>
      <w:r w:rsidRPr="00A53EE1">
        <w:rPr>
          <w:lang w:val="en-US"/>
        </w:rPr>
        <w:t xml:space="preserve">. </w:t>
      </w:r>
      <w:r w:rsidR="00E80451" w:rsidRPr="00A53EE1">
        <w:t>Trend over time of the number of natural hazards accidents (blue line) and economic damage</w:t>
      </w:r>
      <w:r w:rsidR="00F63FEB" w:rsidRPr="00A53EE1">
        <w:t xml:space="preserve"> </w:t>
      </w:r>
      <w:r w:rsidR="002F1886" w:rsidRPr="00A53EE1">
        <w:t xml:space="preserve">(dark blue line) for the two clusters being </w:t>
      </w:r>
      <w:r w:rsidR="001428FD">
        <w:t>analysed</w:t>
      </w:r>
      <w:r w:rsidR="009A5E1D" w:rsidRPr="00A53EE1">
        <w:t xml:space="preserve"> </w:t>
      </w:r>
      <w:r w:rsidR="00E80451" w:rsidRPr="00A53EE1">
        <w:t>(cluster 12, cluster 32)</w:t>
      </w:r>
      <w:r w:rsidR="00BE7BA5" w:rsidRPr="00A53EE1">
        <w:rPr>
          <w:lang w:val="en-US"/>
        </w:rPr>
        <w:t>.</w:t>
      </w:r>
    </w:p>
    <w:p w14:paraId="2F2D3AD3" w14:textId="022D92C7" w:rsidR="00D949BF" w:rsidRPr="00A53EE1" w:rsidRDefault="00D949BF" w:rsidP="00D21E16">
      <w:pPr>
        <w:pStyle w:val="CETHeading1"/>
        <w:tabs>
          <w:tab w:val="num" w:pos="360"/>
        </w:tabs>
      </w:pPr>
      <w:r w:rsidRPr="00A53EE1">
        <w:t>Conclusions</w:t>
      </w:r>
    </w:p>
    <w:p w14:paraId="18CE6696" w14:textId="55E9A98B" w:rsidR="00015863" w:rsidRPr="00A53EE1" w:rsidRDefault="006B6059" w:rsidP="00015863">
      <w:pPr>
        <w:pStyle w:val="CETBodytext"/>
      </w:pPr>
      <w:r w:rsidRPr="00A53EE1">
        <w:t xml:space="preserve">The overall goal of the analysis </w:t>
      </w:r>
      <w:r w:rsidR="00570EF1" w:rsidRPr="00A53EE1">
        <w:t xml:space="preserve">presented in this paper </w:t>
      </w:r>
      <w:r w:rsidRPr="00A53EE1">
        <w:t xml:space="preserve">is to </w:t>
      </w:r>
      <w:r w:rsidR="00570EF1" w:rsidRPr="00A53EE1">
        <w:t>demonstrate the possible usage of data about natural disasters and their implications for societal safety and industrial management.</w:t>
      </w:r>
      <w:r w:rsidRPr="00A53EE1">
        <w:t xml:space="preserve"> The work presents methodological </w:t>
      </w:r>
      <w:r w:rsidR="00570EF1" w:rsidRPr="00A53EE1">
        <w:t xml:space="preserve">results obtained from </w:t>
      </w:r>
      <w:r w:rsidRPr="00A53EE1">
        <w:t xml:space="preserve">clustering </w:t>
      </w:r>
      <w:r w:rsidR="009A5E1D">
        <w:t>algorithms</w:t>
      </w:r>
      <w:r w:rsidR="009A5E1D" w:rsidRPr="00A53EE1">
        <w:t xml:space="preserve"> </w:t>
      </w:r>
      <w:r w:rsidR="00570EF1" w:rsidRPr="00A53EE1">
        <w:t xml:space="preserve">and analytics referred to fatalities and economic </w:t>
      </w:r>
      <w:r w:rsidR="00570EF1" w:rsidRPr="00A53EE1">
        <w:lastRenderedPageBreak/>
        <w:t xml:space="preserve">damage. </w:t>
      </w:r>
      <w:r w:rsidRPr="00A53EE1">
        <w:t xml:space="preserve">The purpose of the clustering was to find a relevant group of countries that could facilitate </w:t>
      </w:r>
      <w:r w:rsidR="00570EF1" w:rsidRPr="00A53EE1">
        <w:t>inter-</w:t>
      </w:r>
      <w:r w:rsidR="0024760D" w:rsidRPr="00A53EE1">
        <w:t>country</w:t>
      </w:r>
      <w:r w:rsidRPr="00A53EE1">
        <w:t xml:space="preserve"> learning </w:t>
      </w:r>
      <w:r w:rsidR="00570EF1" w:rsidRPr="00A53EE1">
        <w:t xml:space="preserve">opportunities </w:t>
      </w:r>
      <w:r w:rsidRPr="00A53EE1">
        <w:t>and create actionable insights. The defined similarity is based on a set of general exposure</w:t>
      </w:r>
      <w:r w:rsidR="00570EF1" w:rsidRPr="00A53EE1">
        <w:t xml:space="preserve"> and </w:t>
      </w:r>
      <w:r w:rsidRPr="00A53EE1">
        <w:t>sensitivity features. Further</w:t>
      </w:r>
      <w:r w:rsidR="00570EF1" w:rsidRPr="00A53EE1">
        <w:t>more</w:t>
      </w:r>
      <w:r w:rsidRPr="00A53EE1">
        <w:t xml:space="preserve">, the purpose of the </w:t>
      </w:r>
      <w:r w:rsidR="00570EF1" w:rsidRPr="00A53EE1">
        <w:t xml:space="preserve">proposed analytics may be helpful for </w:t>
      </w:r>
      <w:r w:rsidR="009A5E1D">
        <w:t>policymaker</w:t>
      </w:r>
      <w:r w:rsidR="009A5E1D" w:rsidRPr="00A53EE1">
        <w:t xml:space="preserve"> </w:t>
      </w:r>
      <w:r w:rsidR="00570EF1" w:rsidRPr="00A53EE1">
        <w:t xml:space="preserve">to </w:t>
      </w:r>
      <w:r w:rsidRPr="00A53EE1">
        <w:t>facilitate comparative analysis of fatality patterns and external factors that affect mortality</w:t>
      </w:r>
      <w:r w:rsidR="00570EF1" w:rsidRPr="00A53EE1">
        <w:t xml:space="preserve"> subsequent to natural and technological events</w:t>
      </w:r>
      <w:r w:rsidRPr="00A53EE1">
        <w:t>.</w:t>
      </w:r>
      <w:r w:rsidR="0024760D" w:rsidRPr="00A53EE1">
        <w:t xml:space="preserve"> </w:t>
      </w:r>
      <w:r w:rsidR="00015863" w:rsidRPr="00A53EE1">
        <w:t xml:space="preserve">Overall, the extension of these results to the entire EM-DAT database proves how natural hazards generate </w:t>
      </w:r>
      <w:r w:rsidR="009A5E1D">
        <w:t>more</w:t>
      </w:r>
      <w:r w:rsidR="009A5E1D" w:rsidRPr="00A53EE1">
        <w:t xml:space="preserve"> </w:t>
      </w:r>
      <w:r w:rsidR="00015863" w:rsidRPr="00A53EE1">
        <w:t xml:space="preserve">impactful consequences than technological disasters. While from a societal point of view, this result shall motivate the need to invest </w:t>
      </w:r>
      <w:r w:rsidR="009A5E1D">
        <w:t>in</w:t>
      </w:r>
      <w:r w:rsidR="009A5E1D" w:rsidRPr="00A53EE1">
        <w:t xml:space="preserve"> </w:t>
      </w:r>
      <w:r w:rsidR="00015863" w:rsidRPr="00A53EE1">
        <w:t xml:space="preserve">both protective and preventive mitigating measures, the extent of natural hazards should also push for specific interest on industrial safety, especially to prevent disastrous cascading consequences. </w:t>
      </w:r>
    </w:p>
    <w:p w14:paraId="2F377C3B" w14:textId="5FF064B5" w:rsidR="009248A6" w:rsidRPr="00A53EE1" w:rsidRDefault="0024760D" w:rsidP="006B6059">
      <w:pPr>
        <w:pStyle w:val="CETBodytext"/>
      </w:pPr>
      <w:r w:rsidRPr="00A53EE1">
        <w:t xml:space="preserve">These </w:t>
      </w:r>
      <w:r w:rsidR="00570EF1" w:rsidRPr="00A53EE1">
        <w:t xml:space="preserve">early </w:t>
      </w:r>
      <w:r w:rsidRPr="00A53EE1">
        <w:t xml:space="preserve">results </w:t>
      </w:r>
      <w:r w:rsidR="00570EF1" w:rsidRPr="00A53EE1">
        <w:t xml:space="preserve">require further refinement and improvements to further shape future </w:t>
      </w:r>
      <w:r w:rsidRPr="00A53EE1">
        <w:t>risk learning process</w:t>
      </w:r>
      <w:r w:rsidR="00570EF1" w:rsidRPr="00A53EE1">
        <w:t>es</w:t>
      </w:r>
      <w:r w:rsidRPr="00A53EE1">
        <w:t xml:space="preserve">. In this regard, they also constitute the basis for </w:t>
      </w:r>
      <w:r w:rsidR="0093729E" w:rsidRPr="00A53EE1">
        <w:t>potential additional analyses, (</w:t>
      </w:r>
      <w:r w:rsidRPr="00A53EE1">
        <w:t>e.g.</w:t>
      </w:r>
      <w:r w:rsidR="0093729E" w:rsidRPr="00A53EE1">
        <w:t xml:space="preserve">) using </w:t>
      </w:r>
      <w:r w:rsidR="00B2286C" w:rsidRPr="00A53EE1">
        <w:t>generative model</w:t>
      </w:r>
      <w:r w:rsidR="001845D4" w:rsidRPr="00A53EE1">
        <w:t>, anomaly detection</w:t>
      </w:r>
      <w:r w:rsidRPr="00A53EE1">
        <w:t>,</w:t>
      </w:r>
      <w:r w:rsidR="001845D4" w:rsidRPr="00A53EE1">
        <w:t xml:space="preserve"> </w:t>
      </w:r>
      <w:r w:rsidRPr="00A53EE1">
        <w:t xml:space="preserve">as for promising research in this area </w:t>
      </w:r>
      <w:r w:rsidR="003F0583" w:rsidRPr="00A53EE1">
        <w:fldChar w:fldCharType="begin" w:fldLock="1"/>
      </w:r>
      <w:r w:rsidR="00DD45D5">
        <w:instrText>ADDIN CSL_CITATION {"citationItems":[{"id":"ITEM-1","itemData":{"DOI":"10.3303/CET2186039","ISSN":"22839216","abstract":"Reducing the frequency and severity of accidents in industrial processes is a continuous open challenge. Learning from previous events represents a crucial instrument to ensure an improved design of industrial plants, especially considering the complexity arising in everyday operations. This article is grounded on a database of industrial accidents involving hazardous substances and materials. The Major Hazard Incident Data Service (MHIDAS) was developed in 1986 by the Health and Safety Executive (HSE) to provide a reliable source of data on major hazard incidents and to learn for the past accidents. The database has more than 9000 accident reports covering the periods from 1950 to the end of the 1990s caused by hazardous substances/materials. This paper aims are to provide an understanding of MHIDAS data through quantitative analyses that can be obtained by exploiting the information collected through appropriate data management tools. Therefore, Information Technology (IT) services such as Business Intelligence (BI) tools have been used in this research. The paper describes the process of creating a BI model for data management on MHIDAS database to generate useful information on previous industrial safety events, allowing a detailed search engine as well through any event stored in MHIDAS.","author":[{"dropping-particle":"","family":"Nakhal A.","given":"A. J.","non-dropping-particle":"","parse-names":false,"suffix":""},{"dropping-particle":"","family":"Patriarca","given":"R.","non-dropping-particle":"","parse-names":false,"suffix":""},{"dropping-particle":"","family":"Gravio","given":"G.","non-dropping-particle":"Di","parse-names":false,"suffix":""},{"dropping-particle":"","family":"Antonioni","given":"G.","non-dropping-particle":"","parse-names":false,"suffix":""},{"dropping-particle":"","family":"Paltrinieri","given":"N.","non-dropping-particle":"","parse-names":false,"suffix":""}],"container-title":"Chemical Engineering Transactions","id":"ITEM-1","issued":{"date-parts":[["2021"]]},"page":"229-234","publisher":"Italian Association of Chemical Engineering - AIDIC","title":"Business intelligence for the analysis of industrial accidents based on MHIDAS database","type":"article-journal","volume":"86"},"uris":["http://www.mendeley.com/documents/?uuid=42c9408f-78f8-337e-bbf8-975edb683766"]},{"id":"ITEM-2","itemData":{"DOI":"10.1016/j.ssci.2021.105530","ISSN":"09257535","abstract":"The ways in which Air Navigation Service Providers (ANSPs) monitor safety performance is strongly influenced by international regulations, standards, and agreements, although each State may also add its own local requirements. Particularly in the case of more mature ANSPs, the regulatory safety performance obligations are merely the tip of the iceberg in the undertaken safety performance activities. Much of the indicators, methods and tools are over and above what is required by regulations, either national or international. In modern settings, the usage of Business Intelligence and Machine Learning solutions can be enumerated under the continuous chasing of strategies to foster ANSPs’ safety intelligence capacities towards higher standards. This manuscript shows the development process of an integrated data-driven framework for self-service BI and ML on safety reporting data for the air traffic management system. The proposed framework firstly focuses on the development process of a BI architecture to extract meaningful knowledge from multiple data sources. Then, it progresses discussing how ML solutions may support gaining a deeper understanding of system's performance and delineating specific safety recommendations. The explorative application of the proposed framework in multiple European ANSPs provides the basis for sharing lessons learned and outlining a possible path to start democratizing safety intelligence in aviation.","author":[{"dropping-particle":"","family":"Patriarca","given":"R.","non-dropping-particle":"","parse-names":false,"suffix":""},{"dropping-particle":"","family":"Gravio","given":"G.","non-dropping-particle":"Di","parse-names":false,"suffix":""},{"dropping-particle":"","family":"Cioponea","given":"R.","non-dropping-particle":"","parse-names":false,"suffix":""},{"dropping-particle":"","family":"Licu","given":"A.","non-dropping-particle":"","parse-names":false,"suffix":""}],"container-title":"Safety Science","id":"ITEM-2","issue":"August 2021","issued":{"date-parts":[["2022","2","1"]]},"page":"105530","publisher":"Elsevier Ltd","title":"Democratizing business intelligence and machine learning for air traffic management safety","type":"article-journal","volume":"146"},"uris":["http://www.mendeley.com/documents/?uuid=44d39ee6-e988-4cb2-863b-857e60ab79b3"]}],"mendeley":{"formattedCitation":"(Nakhal A. et al., 2021; Patriarca et al., 2022)","plainTextFormattedCitation":"(Nakhal A. et al., 2021; Patriarca et al., 2022)","previouslyFormattedCitation":"(Nakhal A. et al., 2021; Patriarca et al., 2022)"},"properties":{"noteIndex":0},"schema":"https://github.com/citation-style-language/schema/raw/master/csl-citation.json"}</w:instrText>
      </w:r>
      <w:r w:rsidR="003F0583" w:rsidRPr="00A53EE1">
        <w:fldChar w:fldCharType="separate"/>
      </w:r>
      <w:r w:rsidR="00A53EE1" w:rsidRPr="007D0DC0">
        <w:rPr>
          <w:noProof/>
        </w:rPr>
        <w:t>(Nakhal A. et al., 2021; Patriarca et al., 2022)</w:t>
      </w:r>
      <w:r w:rsidR="003F0583" w:rsidRPr="00A53EE1">
        <w:fldChar w:fldCharType="end"/>
      </w:r>
      <w:r w:rsidRPr="00A53EE1">
        <w:t xml:space="preserve">. </w:t>
      </w:r>
      <w:r w:rsidR="00C00C75" w:rsidRPr="00A53EE1">
        <w:t xml:space="preserve">The analytics may also be used in larger </w:t>
      </w:r>
      <w:r w:rsidR="00060D0D" w:rsidRPr="00A53EE1">
        <w:t>Business Intelligence (BI)</w:t>
      </w:r>
      <w:r w:rsidR="00C00C75" w:rsidRPr="00A53EE1">
        <w:t xml:space="preserve"> solutions to </w:t>
      </w:r>
      <w:r w:rsidR="00060D0D" w:rsidRPr="00A53EE1">
        <w:t>support</w:t>
      </w:r>
      <w:r w:rsidR="00C00C75" w:rsidRPr="00A53EE1">
        <w:t xml:space="preserve"> </w:t>
      </w:r>
      <w:r w:rsidR="00060D0D" w:rsidRPr="00A53EE1">
        <w:t>a multi</w:t>
      </w:r>
      <w:r w:rsidR="00C00C75" w:rsidRPr="00A53EE1">
        <w:t>-</w:t>
      </w:r>
      <w:r w:rsidR="00060D0D" w:rsidRPr="00A53EE1">
        <w:t>varia</w:t>
      </w:r>
      <w:r w:rsidR="00C00C75" w:rsidRPr="00A53EE1">
        <w:t xml:space="preserve">te </w:t>
      </w:r>
      <w:r w:rsidR="00060D0D" w:rsidRPr="00A53EE1">
        <w:t xml:space="preserve">dynamic analysis </w:t>
      </w:r>
      <w:r w:rsidR="003E6D8C" w:rsidRPr="00A53EE1">
        <w:t xml:space="preserve">both descriptive and predictive </w:t>
      </w:r>
      <w:r w:rsidR="003E6D8C" w:rsidRPr="00A53EE1">
        <w:fldChar w:fldCharType="begin" w:fldLock="1"/>
      </w:r>
      <w:r w:rsidR="00DD45D5">
        <w:instrText>ADDIN CSL_CITATION {"citationItems":[{"id":"ITEM-1","itemData":{"DOI":"10.3303/CET2186039","ISSN":"22839216","abstract":"Reducing the frequency and severity of accidents in industrial processes is a continuous open challenge. Learning from previous events represents a crucial instrument to ensure an improved design of industrial plants, especially considering the complexity arising in everyday operations. This article is grounded on a database of industrial accidents involving hazardous substances and materials. The Major Hazard Incident Data Service (MHIDAS) was developed in 1986 by the Health and Safety Executive (HSE) to provide a reliable source of data on major hazard incidents and to learn for the past accidents. The database has more than 9000 accident reports covering the periods from 1950 to the end of the 1990s caused by hazardous substances/materials. This paper aims are to provide an understanding of MHIDAS data through quantitative analyses that can be obtained by exploiting the information collected through appropriate data management tools. Therefore, Information Technology (IT) services such as Business Intelligence (BI) tools have been used in this research. The paper describes the process of creating a BI model for data management on MHIDAS database to generate useful information on previous industrial safety events, allowing a detailed search engine as well through any event stored in MHIDAS.","author":[{"dropping-particle":"","family":"Nakhal A.","given":"A. J.","non-dropping-particle":"","parse-names":false,"suffix":""},{"dropping-particle":"","family":"Patriarca","given":"R.","non-dropping-particle":"","parse-names":false,"suffix":""},{"dropping-particle":"","family":"Gravio","given":"G.","non-dropping-particle":"Di","parse-names":false,"suffix":""},{"dropping-particle":"","family":"Antonioni","given":"G.","non-dropping-particle":"","parse-names":false,"suffix":""},{"dropping-particle":"","family":"Paltrinieri","given":"N.","non-dropping-particle":"","parse-names":false,"suffix":""}],"container-title":"Chemical Engineering Transactions","id":"ITEM-1","issued":{"date-parts":[["2021"]]},"page":"229-234","publisher":"Italian Association of Chemical Engineering - AIDIC","title":"Business intelligence for the analysis of industrial accidents based on MHIDAS database","type":"article-journal","volume":"86"},"uris":["http://www.mendeley.com/documents/?uuid=42c9408f-78f8-337e-bbf8-975edb683766"]}],"mendeley":{"formattedCitation":"(Nakhal A. et al., 2021)","plainTextFormattedCitation":"(Nakhal A. et al., 2021)","previouslyFormattedCitation":"(Nakhal A. et al., 2021)"},"properties":{"noteIndex":0},"schema":"https://github.com/citation-style-language/schema/raw/master/csl-citation.json"}</w:instrText>
      </w:r>
      <w:r w:rsidR="003E6D8C" w:rsidRPr="00A53EE1">
        <w:fldChar w:fldCharType="separate"/>
      </w:r>
      <w:r w:rsidR="00A53EE1" w:rsidRPr="007D0DC0">
        <w:rPr>
          <w:noProof/>
        </w:rPr>
        <w:t>(Nakhal A. et al., 2021)</w:t>
      </w:r>
      <w:r w:rsidR="003E6D8C" w:rsidRPr="00A53EE1">
        <w:fldChar w:fldCharType="end"/>
      </w:r>
      <w:r w:rsidR="003E6D8C" w:rsidRPr="00A53EE1">
        <w:t xml:space="preserve"> if incorporating other ML solutions.</w:t>
      </w:r>
      <w:r w:rsidR="00060D0D" w:rsidRPr="00A53EE1">
        <w:t xml:space="preserve"> </w:t>
      </w:r>
      <w:r w:rsidR="007E2AB4" w:rsidRPr="00A53EE1">
        <w:t xml:space="preserve">A joint </w:t>
      </w:r>
      <w:r w:rsidR="00155411" w:rsidRPr="00A53EE1">
        <w:t>BI</w:t>
      </w:r>
      <w:r w:rsidR="007E2AB4" w:rsidRPr="00A53EE1">
        <w:t xml:space="preserve">-ML development </w:t>
      </w:r>
      <w:r w:rsidR="003E6D8C" w:rsidRPr="00A53EE1">
        <w:t xml:space="preserve">may </w:t>
      </w:r>
      <w:r w:rsidR="007E2AB4" w:rsidRPr="00A53EE1">
        <w:t xml:space="preserve">indeed </w:t>
      </w:r>
      <w:r w:rsidR="003E6D8C" w:rsidRPr="00A53EE1">
        <w:t xml:space="preserve">be </w:t>
      </w:r>
      <w:r w:rsidR="007E2AB4" w:rsidRPr="00A53EE1">
        <w:t xml:space="preserve">a crucial </w:t>
      </w:r>
      <w:r w:rsidR="00D96238" w:rsidRPr="00A53EE1">
        <w:t xml:space="preserve">instrument </w:t>
      </w:r>
      <w:r w:rsidR="00060D0D" w:rsidRPr="00A53EE1">
        <w:t xml:space="preserve">to </w:t>
      </w:r>
      <w:r w:rsidR="00025530" w:rsidRPr="00A53EE1">
        <w:t xml:space="preserve">support decision-makers at having a </w:t>
      </w:r>
      <w:r w:rsidR="007E2AB4" w:rsidRPr="00A53EE1">
        <w:t xml:space="preserve">comprehensive understanding </w:t>
      </w:r>
      <w:r w:rsidR="00E653B1" w:rsidRPr="00A53EE1">
        <w:t xml:space="preserve">of natural hazards to shape risk </w:t>
      </w:r>
      <w:r w:rsidR="007E2AB4" w:rsidRPr="00A53EE1">
        <w:t>prevention</w:t>
      </w:r>
      <w:r w:rsidR="00E653B1" w:rsidRPr="00A53EE1">
        <w:t xml:space="preserve"> and mitigation programs</w:t>
      </w:r>
      <w:r w:rsidR="00060D0D" w:rsidRPr="00A53EE1">
        <w:t>.</w:t>
      </w:r>
    </w:p>
    <w:p w14:paraId="19C4FC68" w14:textId="4C09739B" w:rsidR="004628D2" w:rsidRPr="00A53EE1" w:rsidRDefault="00600535" w:rsidP="00917A52">
      <w:pPr>
        <w:pStyle w:val="CETReference"/>
        <w:rPr>
          <w:lang w:val="en-US"/>
        </w:rPr>
      </w:pPr>
      <w:r w:rsidRPr="00A53EE1">
        <w:rPr>
          <w:lang w:val="en-US"/>
        </w:rPr>
        <w:t>References</w:t>
      </w:r>
    </w:p>
    <w:p w14:paraId="090F805D" w14:textId="0A617B41" w:rsidR="00DD45D5" w:rsidRPr="00DD45D5" w:rsidRDefault="00917A52" w:rsidP="004C0B9D">
      <w:pPr>
        <w:pStyle w:val="CETReferencetext"/>
        <w:rPr>
          <w:noProof/>
        </w:rPr>
      </w:pPr>
      <w:r w:rsidRPr="00A53EE1">
        <w:fldChar w:fldCharType="begin" w:fldLock="1"/>
      </w:r>
      <w:r w:rsidRPr="00A53EE1">
        <w:instrText xml:space="preserve">ADDIN Mendeley Bibliography CSL_BIBLIOGRAPHY </w:instrText>
      </w:r>
      <w:r w:rsidRPr="00A53EE1">
        <w:fldChar w:fldCharType="separate"/>
      </w:r>
      <w:r w:rsidR="00DD45D5" w:rsidRPr="00DD45D5">
        <w:rPr>
          <w:noProof/>
        </w:rPr>
        <w:t>Aleksandrova, M., Balasko, S., Kaltenborn, M., Malerba, D., Mucke, P., Neuschafter, O., Radtke, K., Prutz, R., Strupat, C., Weller, D., Wiebe, N., 2021. The World Risk Index 2021, World Risk Report 2021 F.</w:t>
      </w:r>
    </w:p>
    <w:p w14:paraId="32BC2C07" w14:textId="77777777" w:rsidR="00DD45D5" w:rsidRPr="00DD45D5" w:rsidRDefault="00DD45D5" w:rsidP="004C0B9D">
      <w:pPr>
        <w:pStyle w:val="CETReferencetext"/>
        <w:rPr>
          <w:noProof/>
        </w:rPr>
      </w:pPr>
      <w:r w:rsidRPr="00DD45D5">
        <w:rPr>
          <w:noProof/>
        </w:rPr>
        <w:t>Burkov, A., 2019. Machine Learning Engineering. ISSN 2502-3632 ISSN 2356-0304 J. Online Int. Nas. Vol. 7 No.1, Januari – Juni 2019 Univ. 17 Agustus 1945 Jakarta 53 9 , 1689–1699.</w:t>
      </w:r>
    </w:p>
    <w:p w14:paraId="77F1E3E1" w14:textId="77777777" w:rsidR="00DD45D5" w:rsidRPr="00DD45D5" w:rsidRDefault="00DD45D5" w:rsidP="004C0B9D">
      <w:pPr>
        <w:pStyle w:val="CETReferencetext"/>
        <w:rPr>
          <w:noProof/>
        </w:rPr>
      </w:pPr>
      <w:r w:rsidRPr="00DD45D5">
        <w:rPr>
          <w:noProof/>
        </w:rPr>
        <w:t>Center for research on the Epidemiology of Disasters, C., 2021. The international Disaster Database [WWW Document]. URL https://www.emdat.be/ (accessed 12.2.21).</w:t>
      </w:r>
    </w:p>
    <w:p w14:paraId="15C018B1" w14:textId="77777777" w:rsidR="00DD45D5" w:rsidRPr="00DD45D5" w:rsidRDefault="00DD45D5" w:rsidP="004C0B9D">
      <w:pPr>
        <w:pStyle w:val="CETReferencetext"/>
        <w:rPr>
          <w:noProof/>
        </w:rPr>
      </w:pPr>
      <w:r w:rsidRPr="00DD45D5">
        <w:rPr>
          <w:noProof/>
        </w:rPr>
        <w:t>Chen, T.S., Tsai, T.H., Chen, Y.T., Lin, C.C., Chen, R.C., Li, S.Y., Chen, H.Y., 2005. A combined K-means and hierarchical clustering method for improving the clustering efficiency of microarray. Proc. 2005 Int. Symp. Intell. Signal Process. Commun. Syst. ISPACS 2005 2005, 405–408. doi:10.1109/ispacs.2005.1595432</w:t>
      </w:r>
    </w:p>
    <w:p w14:paraId="057FEBC9" w14:textId="77777777" w:rsidR="00DD45D5" w:rsidRPr="00DD45D5" w:rsidRDefault="00DD45D5" w:rsidP="004C0B9D">
      <w:pPr>
        <w:pStyle w:val="CETReferencetext"/>
        <w:rPr>
          <w:noProof/>
        </w:rPr>
      </w:pPr>
      <w:r w:rsidRPr="00DD45D5">
        <w:rPr>
          <w:noProof/>
        </w:rPr>
        <w:t>Cruz, A.M., Steinberg, L.J., Vetere-Arellano, A.L., 2006. Emerging issues for natech disaster risk management in Europe. J. Risk Res. 9 5 , 483–501. doi:10.1080/13669870600717657</w:t>
      </w:r>
    </w:p>
    <w:p w14:paraId="17853B50" w14:textId="77777777" w:rsidR="00DD45D5" w:rsidRPr="00DD45D5" w:rsidRDefault="00DD45D5" w:rsidP="004C0B9D">
      <w:pPr>
        <w:pStyle w:val="CETReferencetext"/>
        <w:rPr>
          <w:noProof/>
        </w:rPr>
      </w:pPr>
      <w:r w:rsidRPr="00DD45D5">
        <w:rPr>
          <w:noProof/>
        </w:rPr>
        <w:t>Department of Regional Development and Environment Executive Secretariat for Economic and Social Affairs, O., 1991. Chapter 2 - Natural Hazard Risk Reduction in roject Formaulation and Evaluation [WWW Document]. URL https://www.oas.org/dsd/publications/Unit/oea66e/ch02.htm#chapter 2   natural hazard risk reduction in project formulation and evaluation (accessed 12.13.21).</w:t>
      </w:r>
    </w:p>
    <w:p w14:paraId="6D4135DD" w14:textId="77777777" w:rsidR="00DD45D5" w:rsidRPr="00DD45D5" w:rsidRDefault="00DD45D5" w:rsidP="004C0B9D">
      <w:pPr>
        <w:pStyle w:val="CETReferencetext"/>
        <w:rPr>
          <w:noProof/>
        </w:rPr>
      </w:pPr>
      <w:r w:rsidRPr="00DD45D5">
        <w:rPr>
          <w:noProof/>
        </w:rPr>
        <w:t>Jacobsson, A., Sales, J., Mushtaq, F., 2009. A sequential method to identify underlying causes from industrial accidents reported to the MARS database. J. Loss Prev. Process Ind. 22 2 , 197–203. doi:10.1016/j.jlp.2008.12.009</w:t>
      </w:r>
    </w:p>
    <w:p w14:paraId="79BC5C43" w14:textId="77777777" w:rsidR="00DD45D5" w:rsidRPr="00DD45D5" w:rsidRDefault="00DD45D5" w:rsidP="004C0B9D">
      <w:pPr>
        <w:pStyle w:val="CETReferencetext"/>
        <w:rPr>
          <w:noProof/>
        </w:rPr>
      </w:pPr>
      <w:r w:rsidRPr="00DD45D5">
        <w:rPr>
          <w:noProof/>
        </w:rPr>
        <w:t>Kingrani, S.K., Levene, M., Zhang, D., 2017. Estimating the number of clusters using diversity. Artif. Intell. Res. 7 1 , 15. doi:10.5430/air.v7n1p15</w:t>
      </w:r>
    </w:p>
    <w:p w14:paraId="4A2C75A5" w14:textId="77777777" w:rsidR="00DD45D5" w:rsidRPr="00DD45D5" w:rsidRDefault="00DD45D5" w:rsidP="004C0B9D">
      <w:pPr>
        <w:pStyle w:val="CETReferencetext"/>
        <w:rPr>
          <w:noProof/>
        </w:rPr>
      </w:pPr>
      <w:r w:rsidRPr="00DD45D5">
        <w:rPr>
          <w:noProof/>
        </w:rPr>
        <w:t>Masika, R., 2013. Gender, Development and Climate Change. Oxfam GB, Oxford.</w:t>
      </w:r>
    </w:p>
    <w:p w14:paraId="26AA05CC" w14:textId="77777777" w:rsidR="00DD45D5" w:rsidRPr="00DD45D5" w:rsidRDefault="00DD45D5" w:rsidP="004C0B9D">
      <w:pPr>
        <w:pStyle w:val="CETReferencetext"/>
        <w:rPr>
          <w:noProof/>
        </w:rPr>
      </w:pPr>
      <w:r w:rsidRPr="00DD45D5">
        <w:rPr>
          <w:noProof/>
        </w:rPr>
        <w:t>Milligan, G.W., Cooper, M.C., 1985. An examination of procedures for determining the number of clusters in a data set. Psychometrika 50 2 , 159–179. doi:10.1007/BF02294245</w:t>
      </w:r>
    </w:p>
    <w:p w14:paraId="63AD2831" w14:textId="77777777" w:rsidR="00DD45D5" w:rsidRPr="00DD45D5" w:rsidRDefault="00DD45D5" w:rsidP="004C0B9D">
      <w:pPr>
        <w:pStyle w:val="CETReferencetext"/>
        <w:rPr>
          <w:noProof/>
        </w:rPr>
      </w:pPr>
      <w:r w:rsidRPr="00DD45D5">
        <w:rPr>
          <w:noProof/>
        </w:rPr>
        <w:t>Murtagh, F., Contreras, P., 2012. Algorithms for hierarchical clustering: an overview. WIREs Data Min. Knowl. Discov. 2 1 , 86–97. doi:10.1002/widm.53</w:t>
      </w:r>
    </w:p>
    <w:p w14:paraId="04EBCBC7" w14:textId="77777777" w:rsidR="00DD45D5" w:rsidRPr="00DD45D5" w:rsidRDefault="00DD45D5" w:rsidP="004C0B9D">
      <w:pPr>
        <w:pStyle w:val="CETReferencetext"/>
        <w:rPr>
          <w:noProof/>
        </w:rPr>
      </w:pPr>
      <w:r w:rsidRPr="00DD45D5">
        <w:rPr>
          <w:noProof/>
        </w:rPr>
        <w:t>Nakhal A., A.J., Patriarca, R., Di Gravio, G., Antonioni, G., Paltrinieri, N., 2021. Business intelligence for the analysis of industrial accidents based on MHIDAS database. Chem. Eng. Trans. 86, 229–234. doi:10.3303/CET2186039</w:t>
      </w:r>
    </w:p>
    <w:p w14:paraId="64F53AF4" w14:textId="77777777" w:rsidR="00DD45D5" w:rsidRPr="00DD45D5" w:rsidRDefault="00DD45D5" w:rsidP="004C0B9D">
      <w:pPr>
        <w:pStyle w:val="CETReferencetext"/>
        <w:rPr>
          <w:noProof/>
        </w:rPr>
      </w:pPr>
      <w:r w:rsidRPr="00DD45D5">
        <w:rPr>
          <w:noProof/>
        </w:rPr>
        <w:t>Patriarca, R., Di Gravio, G., Cioponea, R., Licu, A., 2022. Democratizing business intelligence and machine learning for air traffic management safety. Saf. Sci. 146 August 2021 , 105530. doi:10.1016/j.ssci.2021.105530</w:t>
      </w:r>
    </w:p>
    <w:p w14:paraId="2EE37C2E" w14:textId="77777777" w:rsidR="00DD45D5" w:rsidRPr="00DD45D5" w:rsidRDefault="00DD45D5" w:rsidP="004C0B9D">
      <w:pPr>
        <w:pStyle w:val="CETReferencetext"/>
        <w:rPr>
          <w:noProof/>
        </w:rPr>
      </w:pPr>
      <w:r w:rsidRPr="00DD45D5">
        <w:rPr>
          <w:noProof/>
        </w:rPr>
        <w:t>Sarkar, S., Maiti, J., 2020. Machine learning in occupational accident analysis: A review using science mapping approach with citation network analysis. Saf. Sci. 131, 104900. doi:10.1016/j.ssci.2020.104900</w:t>
      </w:r>
    </w:p>
    <w:p w14:paraId="681FCCDF" w14:textId="77777777" w:rsidR="00DD45D5" w:rsidRPr="00DD45D5" w:rsidRDefault="00DD45D5" w:rsidP="004C0B9D">
      <w:pPr>
        <w:pStyle w:val="CETReferencetext"/>
        <w:rPr>
          <w:noProof/>
        </w:rPr>
      </w:pPr>
      <w:r w:rsidRPr="00DD45D5">
        <w:rPr>
          <w:noProof/>
        </w:rPr>
        <w:t>Sharda, R., Delen, D., Efraim, T., 2019. Analytics, Data Science, &amp; Artificial Intelligence: Systems for Decision Support, Eleventh e. ed. Pearson, Hoboken, NJ.</w:t>
      </w:r>
    </w:p>
    <w:p w14:paraId="270370E3" w14:textId="77777777" w:rsidR="00DD45D5" w:rsidRPr="00DD45D5" w:rsidRDefault="00DD45D5" w:rsidP="004C0B9D">
      <w:pPr>
        <w:pStyle w:val="CETReferencetext"/>
        <w:rPr>
          <w:noProof/>
        </w:rPr>
      </w:pPr>
      <w:r w:rsidRPr="00DD45D5">
        <w:rPr>
          <w:noProof/>
        </w:rPr>
        <w:t>Suarez-Paba, M.C., Cruz, A.M., 2022. A paradigm shift in Natech risk management: Development of a rating system framework for evaluating the performance of industry. J. Loss Prev. Process Ind. 74. doi:10.1016/J.JLP.2021.104615</w:t>
      </w:r>
    </w:p>
    <w:p w14:paraId="4A0E8131" w14:textId="77777777" w:rsidR="00DD45D5" w:rsidRPr="00DD45D5" w:rsidRDefault="00DD45D5" w:rsidP="004C0B9D">
      <w:pPr>
        <w:pStyle w:val="CETReferencetext"/>
        <w:rPr>
          <w:noProof/>
        </w:rPr>
      </w:pPr>
      <w:r w:rsidRPr="00DD45D5">
        <w:rPr>
          <w:noProof/>
        </w:rPr>
        <w:t>Zhang, Y., Mańdziuk, J., Quek, C.H., Goh, B.W., 2017. Curvature-based method for determining the number of clusters. Inf. Sci. (Ny). 415–416, 414–428. doi:10.1016/j.ins.2017.05.024</w:t>
      </w:r>
    </w:p>
    <w:p w14:paraId="14BA5A90" w14:textId="1EF2A526" w:rsidR="00141D61" w:rsidRPr="001622D3" w:rsidRDefault="00917A52" w:rsidP="0004750B">
      <w:pPr>
        <w:pStyle w:val="CETReferencetext"/>
        <w:ind w:left="0" w:firstLine="0"/>
      </w:pPr>
      <w:r w:rsidRPr="00A53EE1">
        <w:lastRenderedPageBreak/>
        <w:fldChar w:fldCharType="end"/>
      </w:r>
    </w:p>
    <w:sectPr w:rsidR="00141D61" w:rsidRPr="001622D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59AB" w14:textId="77777777" w:rsidR="0079539F" w:rsidRDefault="0079539F" w:rsidP="004F5E36">
      <w:r>
        <w:separator/>
      </w:r>
    </w:p>
  </w:endnote>
  <w:endnote w:type="continuationSeparator" w:id="0">
    <w:p w14:paraId="2491FE86" w14:textId="77777777" w:rsidR="0079539F" w:rsidRDefault="0079539F" w:rsidP="004F5E36">
      <w:r>
        <w:continuationSeparator/>
      </w:r>
    </w:p>
  </w:endnote>
  <w:endnote w:type="continuationNotice" w:id="1">
    <w:p w14:paraId="5627F6D0" w14:textId="77777777" w:rsidR="0079539F" w:rsidRDefault="007953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A2B3" w14:textId="77777777" w:rsidR="0079539F" w:rsidRDefault="0079539F" w:rsidP="004F5E36">
      <w:r>
        <w:separator/>
      </w:r>
    </w:p>
  </w:footnote>
  <w:footnote w:type="continuationSeparator" w:id="0">
    <w:p w14:paraId="6E43C348" w14:textId="77777777" w:rsidR="0079539F" w:rsidRDefault="0079539F" w:rsidP="004F5E36">
      <w:r>
        <w:continuationSeparator/>
      </w:r>
    </w:p>
  </w:footnote>
  <w:footnote w:type="continuationNotice" w:id="1">
    <w:p w14:paraId="12A3CFA3" w14:textId="77777777" w:rsidR="0079539F" w:rsidRDefault="0079539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085140D"/>
    <w:multiLevelType w:val="hybridMultilevel"/>
    <w:tmpl w:val="E90E6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AA6971"/>
    <w:multiLevelType w:val="hybridMultilevel"/>
    <w:tmpl w:val="63F413E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6E41F6"/>
    <w:multiLevelType w:val="hybridMultilevel"/>
    <w:tmpl w:val="06D6B39A"/>
    <w:lvl w:ilvl="0" w:tplc="08420C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11"/>
  </w:num>
  <w:num w:numId="24">
    <w:abstractNumId w:val="16"/>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AA"/>
    <w:rsid w:val="000027C0"/>
    <w:rsid w:val="0000491D"/>
    <w:rsid w:val="000052FB"/>
    <w:rsid w:val="000117CB"/>
    <w:rsid w:val="00015863"/>
    <w:rsid w:val="00015DF2"/>
    <w:rsid w:val="000166DB"/>
    <w:rsid w:val="00020E5C"/>
    <w:rsid w:val="00025530"/>
    <w:rsid w:val="0003148D"/>
    <w:rsid w:val="00031EEC"/>
    <w:rsid w:val="00033ABD"/>
    <w:rsid w:val="0004750B"/>
    <w:rsid w:val="00051566"/>
    <w:rsid w:val="0005258D"/>
    <w:rsid w:val="00060A1B"/>
    <w:rsid w:val="00060D0D"/>
    <w:rsid w:val="00062A9A"/>
    <w:rsid w:val="00065058"/>
    <w:rsid w:val="000663D4"/>
    <w:rsid w:val="000673F6"/>
    <w:rsid w:val="0008010F"/>
    <w:rsid w:val="000841B2"/>
    <w:rsid w:val="00086C39"/>
    <w:rsid w:val="00090D1D"/>
    <w:rsid w:val="000A03B2"/>
    <w:rsid w:val="000A582C"/>
    <w:rsid w:val="000D0268"/>
    <w:rsid w:val="000D34BE"/>
    <w:rsid w:val="000D4779"/>
    <w:rsid w:val="000E102F"/>
    <w:rsid w:val="000E2F11"/>
    <w:rsid w:val="000E36F1"/>
    <w:rsid w:val="000E3A73"/>
    <w:rsid w:val="000E414A"/>
    <w:rsid w:val="000F093C"/>
    <w:rsid w:val="000F175E"/>
    <w:rsid w:val="000F24EC"/>
    <w:rsid w:val="000F45D3"/>
    <w:rsid w:val="000F4D1B"/>
    <w:rsid w:val="000F5CAF"/>
    <w:rsid w:val="000F787B"/>
    <w:rsid w:val="0010447C"/>
    <w:rsid w:val="00104E01"/>
    <w:rsid w:val="00106C05"/>
    <w:rsid w:val="00112012"/>
    <w:rsid w:val="00120740"/>
    <w:rsid w:val="0012091F"/>
    <w:rsid w:val="00122C2B"/>
    <w:rsid w:val="00126BC2"/>
    <w:rsid w:val="00126ED8"/>
    <w:rsid w:val="00127D7E"/>
    <w:rsid w:val="001308B6"/>
    <w:rsid w:val="0013121F"/>
    <w:rsid w:val="00131FE6"/>
    <w:rsid w:val="0013263F"/>
    <w:rsid w:val="001331DF"/>
    <w:rsid w:val="00133DE8"/>
    <w:rsid w:val="00134DE4"/>
    <w:rsid w:val="00136B4F"/>
    <w:rsid w:val="001379E2"/>
    <w:rsid w:val="0014034D"/>
    <w:rsid w:val="00141D61"/>
    <w:rsid w:val="001424A6"/>
    <w:rsid w:val="001428FD"/>
    <w:rsid w:val="00144D16"/>
    <w:rsid w:val="00147AE7"/>
    <w:rsid w:val="00150E59"/>
    <w:rsid w:val="00152DE3"/>
    <w:rsid w:val="00155411"/>
    <w:rsid w:val="00161277"/>
    <w:rsid w:val="001622D3"/>
    <w:rsid w:val="00164CF9"/>
    <w:rsid w:val="001667A6"/>
    <w:rsid w:val="00167788"/>
    <w:rsid w:val="001715D9"/>
    <w:rsid w:val="001721F8"/>
    <w:rsid w:val="001806AB"/>
    <w:rsid w:val="001822CB"/>
    <w:rsid w:val="00184202"/>
    <w:rsid w:val="001845D4"/>
    <w:rsid w:val="001846E8"/>
    <w:rsid w:val="00184AD6"/>
    <w:rsid w:val="0018501D"/>
    <w:rsid w:val="00196511"/>
    <w:rsid w:val="001A11D5"/>
    <w:rsid w:val="001A30AC"/>
    <w:rsid w:val="001A4AF7"/>
    <w:rsid w:val="001A5DF7"/>
    <w:rsid w:val="001B0349"/>
    <w:rsid w:val="001B1E93"/>
    <w:rsid w:val="001B65C1"/>
    <w:rsid w:val="001B7B1E"/>
    <w:rsid w:val="001C684B"/>
    <w:rsid w:val="001D0CFB"/>
    <w:rsid w:val="001D30EE"/>
    <w:rsid w:val="001D53FC"/>
    <w:rsid w:val="001D627F"/>
    <w:rsid w:val="001E2F5B"/>
    <w:rsid w:val="001E5EF3"/>
    <w:rsid w:val="001F0A2B"/>
    <w:rsid w:val="001F42A5"/>
    <w:rsid w:val="001F6776"/>
    <w:rsid w:val="001F6882"/>
    <w:rsid w:val="001F7B9D"/>
    <w:rsid w:val="0020023D"/>
    <w:rsid w:val="002006C5"/>
    <w:rsid w:val="00201C93"/>
    <w:rsid w:val="00204D82"/>
    <w:rsid w:val="002072E5"/>
    <w:rsid w:val="002209E3"/>
    <w:rsid w:val="00220C53"/>
    <w:rsid w:val="002224B4"/>
    <w:rsid w:val="00222C98"/>
    <w:rsid w:val="00223FA1"/>
    <w:rsid w:val="0023428A"/>
    <w:rsid w:val="00234416"/>
    <w:rsid w:val="0023669E"/>
    <w:rsid w:val="002447EF"/>
    <w:rsid w:val="0024760D"/>
    <w:rsid w:val="00250048"/>
    <w:rsid w:val="00250410"/>
    <w:rsid w:val="00251550"/>
    <w:rsid w:val="00252DE5"/>
    <w:rsid w:val="002553AC"/>
    <w:rsid w:val="002618D6"/>
    <w:rsid w:val="002625FD"/>
    <w:rsid w:val="00263B05"/>
    <w:rsid w:val="00263B9C"/>
    <w:rsid w:val="00264962"/>
    <w:rsid w:val="0027221A"/>
    <w:rsid w:val="002727AB"/>
    <w:rsid w:val="00275B16"/>
    <w:rsid w:val="00275B61"/>
    <w:rsid w:val="00277CEE"/>
    <w:rsid w:val="00280FAF"/>
    <w:rsid w:val="00282656"/>
    <w:rsid w:val="002904C6"/>
    <w:rsid w:val="00294C99"/>
    <w:rsid w:val="002957F5"/>
    <w:rsid w:val="002965C8"/>
    <w:rsid w:val="00296B83"/>
    <w:rsid w:val="002A781E"/>
    <w:rsid w:val="002B13F5"/>
    <w:rsid w:val="002B4015"/>
    <w:rsid w:val="002B473B"/>
    <w:rsid w:val="002B78CE"/>
    <w:rsid w:val="002C030D"/>
    <w:rsid w:val="002C1EA9"/>
    <w:rsid w:val="002C2FB6"/>
    <w:rsid w:val="002C6C59"/>
    <w:rsid w:val="002C6C76"/>
    <w:rsid w:val="002D0691"/>
    <w:rsid w:val="002D78B0"/>
    <w:rsid w:val="002E15CE"/>
    <w:rsid w:val="002E49ED"/>
    <w:rsid w:val="002E5FA7"/>
    <w:rsid w:val="002E6848"/>
    <w:rsid w:val="002F1886"/>
    <w:rsid w:val="002F32F7"/>
    <w:rsid w:val="002F3309"/>
    <w:rsid w:val="002F5421"/>
    <w:rsid w:val="003008CE"/>
    <w:rsid w:val="003009B7"/>
    <w:rsid w:val="00300E56"/>
    <w:rsid w:val="00302B91"/>
    <w:rsid w:val="0030469C"/>
    <w:rsid w:val="00315409"/>
    <w:rsid w:val="00321CA6"/>
    <w:rsid w:val="00323763"/>
    <w:rsid w:val="00334C09"/>
    <w:rsid w:val="00354265"/>
    <w:rsid w:val="003546F1"/>
    <w:rsid w:val="003548C0"/>
    <w:rsid w:val="00357B0E"/>
    <w:rsid w:val="00361BF7"/>
    <w:rsid w:val="00363655"/>
    <w:rsid w:val="00363950"/>
    <w:rsid w:val="003670FB"/>
    <w:rsid w:val="00371DF3"/>
    <w:rsid w:val="003723B2"/>
    <w:rsid w:val="003723D4"/>
    <w:rsid w:val="00373EF6"/>
    <w:rsid w:val="00381905"/>
    <w:rsid w:val="00384CC8"/>
    <w:rsid w:val="003871FD"/>
    <w:rsid w:val="003922B2"/>
    <w:rsid w:val="003929F9"/>
    <w:rsid w:val="003956C6"/>
    <w:rsid w:val="003A1E30"/>
    <w:rsid w:val="003A2829"/>
    <w:rsid w:val="003A3049"/>
    <w:rsid w:val="003A30F8"/>
    <w:rsid w:val="003A7D1C"/>
    <w:rsid w:val="003B26C7"/>
    <w:rsid w:val="003B304B"/>
    <w:rsid w:val="003B3146"/>
    <w:rsid w:val="003B3DD3"/>
    <w:rsid w:val="003C036E"/>
    <w:rsid w:val="003D1E03"/>
    <w:rsid w:val="003E66C0"/>
    <w:rsid w:val="003E6D8C"/>
    <w:rsid w:val="003F015E"/>
    <w:rsid w:val="003F0583"/>
    <w:rsid w:val="003F15A3"/>
    <w:rsid w:val="003F72FB"/>
    <w:rsid w:val="00400414"/>
    <w:rsid w:val="00404937"/>
    <w:rsid w:val="0040546E"/>
    <w:rsid w:val="004106C3"/>
    <w:rsid w:val="00413654"/>
    <w:rsid w:val="0041446B"/>
    <w:rsid w:val="00431AF5"/>
    <w:rsid w:val="00431B53"/>
    <w:rsid w:val="00441F75"/>
    <w:rsid w:val="0044329C"/>
    <w:rsid w:val="00453E24"/>
    <w:rsid w:val="004541A7"/>
    <w:rsid w:val="004542A8"/>
    <w:rsid w:val="00455DDB"/>
    <w:rsid w:val="00455FA8"/>
    <w:rsid w:val="00457456"/>
    <w:rsid w:val="004577FE"/>
    <w:rsid w:val="00457B9C"/>
    <w:rsid w:val="00460BFD"/>
    <w:rsid w:val="0046164A"/>
    <w:rsid w:val="004628D2"/>
    <w:rsid w:val="00462DCD"/>
    <w:rsid w:val="004648AD"/>
    <w:rsid w:val="004703A9"/>
    <w:rsid w:val="00472A5B"/>
    <w:rsid w:val="004760DE"/>
    <w:rsid w:val="004763D7"/>
    <w:rsid w:val="004773EE"/>
    <w:rsid w:val="00480D1F"/>
    <w:rsid w:val="00481BB9"/>
    <w:rsid w:val="00483AA4"/>
    <w:rsid w:val="0049129C"/>
    <w:rsid w:val="004939AC"/>
    <w:rsid w:val="00495445"/>
    <w:rsid w:val="00496BD6"/>
    <w:rsid w:val="004A004E"/>
    <w:rsid w:val="004A081C"/>
    <w:rsid w:val="004A218A"/>
    <w:rsid w:val="004A24CF"/>
    <w:rsid w:val="004B264D"/>
    <w:rsid w:val="004B274C"/>
    <w:rsid w:val="004B574A"/>
    <w:rsid w:val="004C05D7"/>
    <w:rsid w:val="004C0B9D"/>
    <w:rsid w:val="004C2B99"/>
    <w:rsid w:val="004C3156"/>
    <w:rsid w:val="004C3D1D"/>
    <w:rsid w:val="004C7913"/>
    <w:rsid w:val="004D23C8"/>
    <w:rsid w:val="004D49B0"/>
    <w:rsid w:val="004D55F4"/>
    <w:rsid w:val="004D6D9C"/>
    <w:rsid w:val="004D6FC5"/>
    <w:rsid w:val="004D7ED1"/>
    <w:rsid w:val="004E4DD6"/>
    <w:rsid w:val="004F183E"/>
    <w:rsid w:val="004F5E36"/>
    <w:rsid w:val="00500BCE"/>
    <w:rsid w:val="00507B47"/>
    <w:rsid w:val="00507BEF"/>
    <w:rsid w:val="00507CC9"/>
    <w:rsid w:val="005119A5"/>
    <w:rsid w:val="005147E8"/>
    <w:rsid w:val="005278B7"/>
    <w:rsid w:val="00532016"/>
    <w:rsid w:val="005346C8"/>
    <w:rsid w:val="005357E0"/>
    <w:rsid w:val="00542683"/>
    <w:rsid w:val="00543E7D"/>
    <w:rsid w:val="00547A68"/>
    <w:rsid w:val="005531C9"/>
    <w:rsid w:val="005570CF"/>
    <w:rsid w:val="005577AC"/>
    <w:rsid w:val="00570C43"/>
    <w:rsid w:val="00570EF1"/>
    <w:rsid w:val="00571048"/>
    <w:rsid w:val="00574F22"/>
    <w:rsid w:val="0059071A"/>
    <w:rsid w:val="005974E7"/>
    <w:rsid w:val="005A2843"/>
    <w:rsid w:val="005B2110"/>
    <w:rsid w:val="005B464E"/>
    <w:rsid w:val="005B5B49"/>
    <w:rsid w:val="005B61E6"/>
    <w:rsid w:val="005C1EB9"/>
    <w:rsid w:val="005C2C1A"/>
    <w:rsid w:val="005C4DC0"/>
    <w:rsid w:val="005C4EC1"/>
    <w:rsid w:val="005C77E1"/>
    <w:rsid w:val="005D1A6A"/>
    <w:rsid w:val="005D668A"/>
    <w:rsid w:val="005D6A2F"/>
    <w:rsid w:val="005E17CC"/>
    <w:rsid w:val="005E1A82"/>
    <w:rsid w:val="005E5182"/>
    <w:rsid w:val="005E794C"/>
    <w:rsid w:val="005F0A28"/>
    <w:rsid w:val="005F0E5E"/>
    <w:rsid w:val="00600535"/>
    <w:rsid w:val="00610CD6"/>
    <w:rsid w:val="00620DEE"/>
    <w:rsid w:val="0062159A"/>
    <w:rsid w:val="00621F92"/>
    <w:rsid w:val="0062280A"/>
    <w:rsid w:val="00625288"/>
    <w:rsid w:val="00625639"/>
    <w:rsid w:val="00627658"/>
    <w:rsid w:val="00631B33"/>
    <w:rsid w:val="0063581E"/>
    <w:rsid w:val="00636105"/>
    <w:rsid w:val="00636F12"/>
    <w:rsid w:val="0064184D"/>
    <w:rsid w:val="006422CC"/>
    <w:rsid w:val="00644E15"/>
    <w:rsid w:val="00646390"/>
    <w:rsid w:val="00660E3E"/>
    <w:rsid w:val="00661E3C"/>
    <w:rsid w:val="00662330"/>
    <w:rsid w:val="00662E74"/>
    <w:rsid w:val="00663BB1"/>
    <w:rsid w:val="00680C23"/>
    <w:rsid w:val="00687E63"/>
    <w:rsid w:val="00691259"/>
    <w:rsid w:val="00691C08"/>
    <w:rsid w:val="006934DC"/>
    <w:rsid w:val="00693766"/>
    <w:rsid w:val="00694C45"/>
    <w:rsid w:val="006A3281"/>
    <w:rsid w:val="006A71B6"/>
    <w:rsid w:val="006B1E34"/>
    <w:rsid w:val="006B4888"/>
    <w:rsid w:val="006B6059"/>
    <w:rsid w:val="006B7459"/>
    <w:rsid w:val="006C2E45"/>
    <w:rsid w:val="006C2F90"/>
    <w:rsid w:val="006C359C"/>
    <w:rsid w:val="006C5579"/>
    <w:rsid w:val="006D6E8B"/>
    <w:rsid w:val="006D70AE"/>
    <w:rsid w:val="006E286B"/>
    <w:rsid w:val="006E737D"/>
    <w:rsid w:val="006F6A0F"/>
    <w:rsid w:val="00706382"/>
    <w:rsid w:val="00713973"/>
    <w:rsid w:val="00720A24"/>
    <w:rsid w:val="00732386"/>
    <w:rsid w:val="007345BF"/>
    <w:rsid w:val="007349B5"/>
    <w:rsid w:val="0073514D"/>
    <w:rsid w:val="007367C5"/>
    <w:rsid w:val="007447F3"/>
    <w:rsid w:val="007500CC"/>
    <w:rsid w:val="00751573"/>
    <w:rsid w:val="0075499F"/>
    <w:rsid w:val="00755DD0"/>
    <w:rsid w:val="00757FFE"/>
    <w:rsid w:val="007661C8"/>
    <w:rsid w:val="0077098D"/>
    <w:rsid w:val="0077536C"/>
    <w:rsid w:val="00780F5E"/>
    <w:rsid w:val="00783F10"/>
    <w:rsid w:val="00783FB9"/>
    <w:rsid w:val="00790CD2"/>
    <w:rsid w:val="007931FA"/>
    <w:rsid w:val="0079539F"/>
    <w:rsid w:val="007A0666"/>
    <w:rsid w:val="007A130E"/>
    <w:rsid w:val="007A4861"/>
    <w:rsid w:val="007A6EAE"/>
    <w:rsid w:val="007A7BBA"/>
    <w:rsid w:val="007B0C50"/>
    <w:rsid w:val="007B48F9"/>
    <w:rsid w:val="007B5D8C"/>
    <w:rsid w:val="007C1A43"/>
    <w:rsid w:val="007C4687"/>
    <w:rsid w:val="007D0DC0"/>
    <w:rsid w:val="007E1BC5"/>
    <w:rsid w:val="007E2AB4"/>
    <w:rsid w:val="007F0302"/>
    <w:rsid w:val="0080013E"/>
    <w:rsid w:val="00804309"/>
    <w:rsid w:val="00804BC7"/>
    <w:rsid w:val="00807E64"/>
    <w:rsid w:val="008108FA"/>
    <w:rsid w:val="00813288"/>
    <w:rsid w:val="008168FC"/>
    <w:rsid w:val="00817566"/>
    <w:rsid w:val="00817A7F"/>
    <w:rsid w:val="00822308"/>
    <w:rsid w:val="00827AEF"/>
    <w:rsid w:val="00830996"/>
    <w:rsid w:val="00832D4B"/>
    <w:rsid w:val="008345F1"/>
    <w:rsid w:val="008438B8"/>
    <w:rsid w:val="008479AF"/>
    <w:rsid w:val="0085399D"/>
    <w:rsid w:val="00860D85"/>
    <w:rsid w:val="00865B07"/>
    <w:rsid w:val="008667EA"/>
    <w:rsid w:val="008675A6"/>
    <w:rsid w:val="008711C6"/>
    <w:rsid w:val="0087431A"/>
    <w:rsid w:val="0087637F"/>
    <w:rsid w:val="00892AD5"/>
    <w:rsid w:val="008A1512"/>
    <w:rsid w:val="008A20D4"/>
    <w:rsid w:val="008A3FFA"/>
    <w:rsid w:val="008A4938"/>
    <w:rsid w:val="008A4BD6"/>
    <w:rsid w:val="008B52FB"/>
    <w:rsid w:val="008C3368"/>
    <w:rsid w:val="008C46B4"/>
    <w:rsid w:val="008D09CA"/>
    <w:rsid w:val="008D32B9"/>
    <w:rsid w:val="008D433B"/>
    <w:rsid w:val="008D5289"/>
    <w:rsid w:val="008E13B8"/>
    <w:rsid w:val="008E566E"/>
    <w:rsid w:val="008F17D7"/>
    <w:rsid w:val="008F198F"/>
    <w:rsid w:val="008F5051"/>
    <w:rsid w:val="0090161A"/>
    <w:rsid w:val="00901EB6"/>
    <w:rsid w:val="00904C62"/>
    <w:rsid w:val="00912776"/>
    <w:rsid w:val="00912EEC"/>
    <w:rsid w:val="00914C5B"/>
    <w:rsid w:val="00917A52"/>
    <w:rsid w:val="00922BA8"/>
    <w:rsid w:val="009248A6"/>
    <w:rsid w:val="00924DAC"/>
    <w:rsid w:val="00927058"/>
    <w:rsid w:val="0093729E"/>
    <w:rsid w:val="00940CDB"/>
    <w:rsid w:val="009425F7"/>
    <w:rsid w:val="00942750"/>
    <w:rsid w:val="0094497B"/>
    <w:rsid w:val="009450CE"/>
    <w:rsid w:val="00947179"/>
    <w:rsid w:val="0095164B"/>
    <w:rsid w:val="00954090"/>
    <w:rsid w:val="009573E7"/>
    <w:rsid w:val="00963E05"/>
    <w:rsid w:val="00967843"/>
    <w:rsid w:val="00967D54"/>
    <w:rsid w:val="00971028"/>
    <w:rsid w:val="00973FBB"/>
    <w:rsid w:val="00975D89"/>
    <w:rsid w:val="00980B5D"/>
    <w:rsid w:val="0098349D"/>
    <w:rsid w:val="00983BC6"/>
    <w:rsid w:val="009840CA"/>
    <w:rsid w:val="00992102"/>
    <w:rsid w:val="00993060"/>
    <w:rsid w:val="00993B84"/>
    <w:rsid w:val="00994E1D"/>
    <w:rsid w:val="00996483"/>
    <w:rsid w:val="00996F5A"/>
    <w:rsid w:val="009A5A5C"/>
    <w:rsid w:val="009A5E1D"/>
    <w:rsid w:val="009A7AF4"/>
    <w:rsid w:val="009B041A"/>
    <w:rsid w:val="009B07E7"/>
    <w:rsid w:val="009B6F81"/>
    <w:rsid w:val="009B7F4D"/>
    <w:rsid w:val="009C37C3"/>
    <w:rsid w:val="009C7C86"/>
    <w:rsid w:val="009D2FF7"/>
    <w:rsid w:val="009D4237"/>
    <w:rsid w:val="009E339F"/>
    <w:rsid w:val="009E7884"/>
    <w:rsid w:val="009E788A"/>
    <w:rsid w:val="009F0E08"/>
    <w:rsid w:val="009F6A78"/>
    <w:rsid w:val="00A14A55"/>
    <w:rsid w:val="00A1763D"/>
    <w:rsid w:val="00A17CEC"/>
    <w:rsid w:val="00A21069"/>
    <w:rsid w:val="00A23965"/>
    <w:rsid w:val="00A25212"/>
    <w:rsid w:val="00A25E29"/>
    <w:rsid w:val="00A27EF0"/>
    <w:rsid w:val="00A31AA1"/>
    <w:rsid w:val="00A360E5"/>
    <w:rsid w:val="00A37186"/>
    <w:rsid w:val="00A42361"/>
    <w:rsid w:val="00A46854"/>
    <w:rsid w:val="00A469E2"/>
    <w:rsid w:val="00A50B20"/>
    <w:rsid w:val="00A51390"/>
    <w:rsid w:val="00A53373"/>
    <w:rsid w:val="00A53EE1"/>
    <w:rsid w:val="00A55F59"/>
    <w:rsid w:val="00A60D13"/>
    <w:rsid w:val="00A6246A"/>
    <w:rsid w:val="00A70C1F"/>
    <w:rsid w:val="00A72745"/>
    <w:rsid w:val="00A76EFC"/>
    <w:rsid w:val="00A81782"/>
    <w:rsid w:val="00A85C74"/>
    <w:rsid w:val="00A91010"/>
    <w:rsid w:val="00A93E3E"/>
    <w:rsid w:val="00A94477"/>
    <w:rsid w:val="00A97BB4"/>
    <w:rsid w:val="00A97F29"/>
    <w:rsid w:val="00AA0C1D"/>
    <w:rsid w:val="00AA25D2"/>
    <w:rsid w:val="00AA702E"/>
    <w:rsid w:val="00AA7717"/>
    <w:rsid w:val="00AB0964"/>
    <w:rsid w:val="00AB1277"/>
    <w:rsid w:val="00AB2EA9"/>
    <w:rsid w:val="00AB5011"/>
    <w:rsid w:val="00AC1D89"/>
    <w:rsid w:val="00AC7368"/>
    <w:rsid w:val="00AD16B9"/>
    <w:rsid w:val="00AD62F3"/>
    <w:rsid w:val="00AE2E90"/>
    <w:rsid w:val="00AE30A0"/>
    <w:rsid w:val="00AE377D"/>
    <w:rsid w:val="00AE7413"/>
    <w:rsid w:val="00AF0EBA"/>
    <w:rsid w:val="00AF2674"/>
    <w:rsid w:val="00B0211E"/>
    <w:rsid w:val="00B02C8A"/>
    <w:rsid w:val="00B03326"/>
    <w:rsid w:val="00B0424B"/>
    <w:rsid w:val="00B140E1"/>
    <w:rsid w:val="00B1729C"/>
    <w:rsid w:val="00B17FBD"/>
    <w:rsid w:val="00B20DC3"/>
    <w:rsid w:val="00B2286C"/>
    <w:rsid w:val="00B25CE7"/>
    <w:rsid w:val="00B315A6"/>
    <w:rsid w:val="00B31813"/>
    <w:rsid w:val="00B329CA"/>
    <w:rsid w:val="00B33365"/>
    <w:rsid w:val="00B34914"/>
    <w:rsid w:val="00B35CD1"/>
    <w:rsid w:val="00B407FF"/>
    <w:rsid w:val="00B41C6F"/>
    <w:rsid w:val="00B4313E"/>
    <w:rsid w:val="00B5784D"/>
    <w:rsid w:val="00B57B36"/>
    <w:rsid w:val="00B57E6F"/>
    <w:rsid w:val="00B61526"/>
    <w:rsid w:val="00B67D9C"/>
    <w:rsid w:val="00B724E4"/>
    <w:rsid w:val="00B76270"/>
    <w:rsid w:val="00B7796E"/>
    <w:rsid w:val="00B8039C"/>
    <w:rsid w:val="00B8686D"/>
    <w:rsid w:val="00B911D5"/>
    <w:rsid w:val="00B91B3E"/>
    <w:rsid w:val="00B92767"/>
    <w:rsid w:val="00B93F69"/>
    <w:rsid w:val="00B949AE"/>
    <w:rsid w:val="00BA5A8C"/>
    <w:rsid w:val="00BB1DDC"/>
    <w:rsid w:val="00BB593F"/>
    <w:rsid w:val="00BC0DFF"/>
    <w:rsid w:val="00BC30C9"/>
    <w:rsid w:val="00BC40A6"/>
    <w:rsid w:val="00BD060C"/>
    <w:rsid w:val="00BD077D"/>
    <w:rsid w:val="00BD249C"/>
    <w:rsid w:val="00BD3EB5"/>
    <w:rsid w:val="00BD4757"/>
    <w:rsid w:val="00BE3E58"/>
    <w:rsid w:val="00BE78FA"/>
    <w:rsid w:val="00BE7BA5"/>
    <w:rsid w:val="00BF091C"/>
    <w:rsid w:val="00BF56A2"/>
    <w:rsid w:val="00BF680A"/>
    <w:rsid w:val="00C00C75"/>
    <w:rsid w:val="00C01616"/>
    <w:rsid w:val="00C0162B"/>
    <w:rsid w:val="00C04CD3"/>
    <w:rsid w:val="00C05783"/>
    <w:rsid w:val="00C068ED"/>
    <w:rsid w:val="00C07A27"/>
    <w:rsid w:val="00C22E0C"/>
    <w:rsid w:val="00C24583"/>
    <w:rsid w:val="00C345B1"/>
    <w:rsid w:val="00C40142"/>
    <w:rsid w:val="00C50E2E"/>
    <w:rsid w:val="00C52C3C"/>
    <w:rsid w:val="00C555E3"/>
    <w:rsid w:val="00C57182"/>
    <w:rsid w:val="00C57863"/>
    <w:rsid w:val="00C61E4B"/>
    <w:rsid w:val="00C655FD"/>
    <w:rsid w:val="00C70235"/>
    <w:rsid w:val="00C75407"/>
    <w:rsid w:val="00C778AF"/>
    <w:rsid w:val="00C84021"/>
    <w:rsid w:val="00C8451D"/>
    <w:rsid w:val="00C870A8"/>
    <w:rsid w:val="00C94434"/>
    <w:rsid w:val="00C969B3"/>
    <w:rsid w:val="00CA0D75"/>
    <w:rsid w:val="00CA1C95"/>
    <w:rsid w:val="00CA2404"/>
    <w:rsid w:val="00CA2ECD"/>
    <w:rsid w:val="00CA5A9C"/>
    <w:rsid w:val="00CB1FC9"/>
    <w:rsid w:val="00CB5679"/>
    <w:rsid w:val="00CC35FF"/>
    <w:rsid w:val="00CC4C20"/>
    <w:rsid w:val="00CD2FEA"/>
    <w:rsid w:val="00CD3517"/>
    <w:rsid w:val="00CD5FE2"/>
    <w:rsid w:val="00CE20EB"/>
    <w:rsid w:val="00CE3C9B"/>
    <w:rsid w:val="00CE7C68"/>
    <w:rsid w:val="00CF1FC2"/>
    <w:rsid w:val="00D02B4C"/>
    <w:rsid w:val="00D034BC"/>
    <w:rsid w:val="00D040C4"/>
    <w:rsid w:val="00D1588A"/>
    <w:rsid w:val="00D15C42"/>
    <w:rsid w:val="00D20781"/>
    <w:rsid w:val="00D21E16"/>
    <w:rsid w:val="00D31277"/>
    <w:rsid w:val="00D32A27"/>
    <w:rsid w:val="00D37A9F"/>
    <w:rsid w:val="00D43767"/>
    <w:rsid w:val="00D46B7E"/>
    <w:rsid w:val="00D57C84"/>
    <w:rsid w:val="00D6057D"/>
    <w:rsid w:val="00D6075F"/>
    <w:rsid w:val="00D64DBF"/>
    <w:rsid w:val="00D74CB5"/>
    <w:rsid w:val="00D7568E"/>
    <w:rsid w:val="00D836C5"/>
    <w:rsid w:val="00D84576"/>
    <w:rsid w:val="00D8664E"/>
    <w:rsid w:val="00D927D6"/>
    <w:rsid w:val="00D92DAE"/>
    <w:rsid w:val="00D930B2"/>
    <w:rsid w:val="00D949BF"/>
    <w:rsid w:val="00D96238"/>
    <w:rsid w:val="00DA1399"/>
    <w:rsid w:val="00DA24C6"/>
    <w:rsid w:val="00DA4D7B"/>
    <w:rsid w:val="00DA6E30"/>
    <w:rsid w:val="00DC12F3"/>
    <w:rsid w:val="00DC1B57"/>
    <w:rsid w:val="00DD1312"/>
    <w:rsid w:val="00DD45D5"/>
    <w:rsid w:val="00DE1063"/>
    <w:rsid w:val="00DE1E00"/>
    <w:rsid w:val="00DE264A"/>
    <w:rsid w:val="00DF139C"/>
    <w:rsid w:val="00DF5072"/>
    <w:rsid w:val="00E00D63"/>
    <w:rsid w:val="00E02D18"/>
    <w:rsid w:val="00E041E7"/>
    <w:rsid w:val="00E05FA5"/>
    <w:rsid w:val="00E079AA"/>
    <w:rsid w:val="00E15E0D"/>
    <w:rsid w:val="00E2219B"/>
    <w:rsid w:val="00E23CA1"/>
    <w:rsid w:val="00E30675"/>
    <w:rsid w:val="00E402A5"/>
    <w:rsid w:val="00E409A8"/>
    <w:rsid w:val="00E40CDF"/>
    <w:rsid w:val="00E412AD"/>
    <w:rsid w:val="00E50296"/>
    <w:rsid w:val="00E50C12"/>
    <w:rsid w:val="00E518C6"/>
    <w:rsid w:val="00E549E6"/>
    <w:rsid w:val="00E653B1"/>
    <w:rsid w:val="00E65B91"/>
    <w:rsid w:val="00E7209D"/>
    <w:rsid w:val="00E72EAD"/>
    <w:rsid w:val="00E77223"/>
    <w:rsid w:val="00E80451"/>
    <w:rsid w:val="00E832E6"/>
    <w:rsid w:val="00E83F95"/>
    <w:rsid w:val="00E8528B"/>
    <w:rsid w:val="00E85B94"/>
    <w:rsid w:val="00E91591"/>
    <w:rsid w:val="00E94218"/>
    <w:rsid w:val="00E978D0"/>
    <w:rsid w:val="00EA4195"/>
    <w:rsid w:val="00EA4613"/>
    <w:rsid w:val="00EA64B5"/>
    <w:rsid w:val="00EA7F91"/>
    <w:rsid w:val="00EB1523"/>
    <w:rsid w:val="00EB741D"/>
    <w:rsid w:val="00EC0E49"/>
    <w:rsid w:val="00EC101F"/>
    <w:rsid w:val="00EC13C5"/>
    <w:rsid w:val="00EC1A88"/>
    <w:rsid w:val="00EC1D9F"/>
    <w:rsid w:val="00EC2D27"/>
    <w:rsid w:val="00EC33F1"/>
    <w:rsid w:val="00EC3DC1"/>
    <w:rsid w:val="00ED1D49"/>
    <w:rsid w:val="00ED49E5"/>
    <w:rsid w:val="00EE0131"/>
    <w:rsid w:val="00EE17B0"/>
    <w:rsid w:val="00EE51FD"/>
    <w:rsid w:val="00EE7965"/>
    <w:rsid w:val="00EF051C"/>
    <w:rsid w:val="00EF06D9"/>
    <w:rsid w:val="00EF09ED"/>
    <w:rsid w:val="00EF6F13"/>
    <w:rsid w:val="00F00371"/>
    <w:rsid w:val="00F0150F"/>
    <w:rsid w:val="00F02214"/>
    <w:rsid w:val="00F03002"/>
    <w:rsid w:val="00F04B4C"/>
    <w:rsid w:val="00F05B0D"/>
    <w:rsid w:val="00F05B21"/>
    <w:rsid w:val="00F07896"/>
    <w:rsid w:val="00F156A7"/>
    <w:rsid w:val="00F17671"/>
    <w:rsid w:val="00F22A68"/>
    <w:rsid w:val="00F23BA2"/>
    <w:rsid w:val="00F30C64"/>
    <w:rsid w:val="00F32BA2"/>
    <w:rsid w:val="00F32CDB"/>
    <w:rsid w:val="00F404D0"/>
    <w:rsid w:val="00F45F2D"/>
    <w:rsid w:val="00F5158A"/>
    <w:rsid w:val="00F5273B"/>
    <w:rsid w:val="00F565FE"/>
    <w:rsid w:val="00F57190"/>
    <w:rsid w:val="00F63A70"/>
    <w:rsid w:val="00F63FEB"/>
    <w:rsid w:val="00F6454B"/>
    <w:rsid w:val="00F7534E"/>
    <w:rsid w:val="00F8556F"/>
    <w:rsid w:val="00F86B47"/>
    <w:rsid w:val="00F87A17"/>
    <w:rsid w:val="00F907D8"/>
    <w:rsid w:val="00F937D7"/>
    <w:rsid w:val="00FA21D0"/>
    <w:rsid w:val="00FA5F5F"/>
    <w:rsid w:val="00FA7002"/>
    <w:rsid w:val="00FB05A1"/>
    <w:rsid w:val="00FB2564"/>
    <w:rsid w:val="00FB3CE9"/>
    <w:rsid w:val="00FB420F"/>
    <w:rsid w:val="00FB441F"/>
    <w:rsid w:val="00FB730C"/>
    <w:rsid w:val="00FC01AC"/>
    <w:rsid w:val="00FC2695"/>
    <w:rsid w:val="00FC3E03"/>
    <w:rsid w:val="00FC3FC1"/>
    <w:rsid w:val="00FC58D6"/>
    <w:rsid w:val="00FE0C89"/>
    <w:rsid w:val="00FE136F"/>
    <w:rsid w:val="00FE7F58"/>
    <w:rsid w:val="00FF5326"/>
    <w:rsid w:val="00FF60C5"/>
    <w:rsid w:val="00FF6240"/>
    <w:rsid w:val="00FF68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4DE0E333-3873-4D3A-AC29-B9D5E6CB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755DD0"/>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687E63"/>
    <w:rPr>
      <w:color w:val="605E5C"/>
      <w:shd w:val="clear" w:color="auto" w:fill="E1DFDD"/>
    </w:rPr>
  </w:style>
  <w:style w:type="paragraph" w:styleId="Revision">
    <w:name w:val="Revision"/>
    <w:hidden/>
    <w:uiPriority w:val="99"/>
    <w:semiHidden/>
    <w:rsid w:val="004B274C"/>
    <w:pPr>
      <w:spacing w:after="0" w:line="240" w:lineRule="auto"/>
    </w:pPr>
    <w:rPr>
      <w:rFonts w:ascii="Arial" w:eastAsia="Times New Roman" w:hAnsi="Arial" w:cs="Times New Roman"/>
      <w:sz w:val="18"/>
      <w:szCs w:val="20"/>
      <w:lang w:val="en-GB"/>
    </w:rPr>
  </w:style>
  <w:style w:type="character" w:customStyle="1" w:styleId="Hyperlink1">
    <w:name w:val="Hyperlink.1"/>
    <w:basedOn w:val="DefaultParagraphFont"/>
    <w:rsid w:val="00060D0D"/>
    <w:rPr>
      <w:rFonts w:ascii="Times New Roman" w:eastAsia="Times New Roman" w:hAnsi="Times New Roman" w:cs="Times New Roman"/>
      <w:sz w:val="24"/>
      <w:szCs w:val="24"/>
      <w:lang w:val="en-US"/>
    </w:rPr>
  </w:style>
  <w:style w:type="character" w:customStyle="1" w:styleId="Nessuno">
    <w:name w:val="Nessuno"/>
    <w:rsid w:val="005B5B49"/>
    <w:rPr>
      <w:lang w:val="en-US"/>
    </w:rPr>
  </w:style>
  <w:style w:type="character" w:customStyle="1" w:styleId="Hyperlink5">
    <w:name w:val="Hyperlink.5"/>
    <w:basedOn w:val="Nessuno"/>
    <w:rsid w:val="005B5B49"/>
    <w:rPr>
      <w:rFonts w:ascii="Times New Roman" w:eastAsia="Times New Roman" w:hAnsi="Times New Roman" w:cs="Times New Roman"/>
      <w:sz w:val="24"/>
      <w:szCs w:val="24"/>
      <w:lang w:val="en-US"/>
    </w:rPr>
  </w:style>
  <w:style w:type="character" w:customStyle="1" w:styleId="Hyperlink0">
    <w:name w:val="Hyperlink.0"/>
    <w:basedOn w:val="Nessuno"/>
    <w:rsid w:val="00472A5B"/>
    <w:rPr>
      <w:rFonts w:ascii="Times New Roman" w:eastAsia="Times New Roman" w:hAnsi="Times New Roman" w:cs="Times New Roman"/>
      <w:color w:val="4472C4"/>
      <w:sz w:val="24"/>
      <w:szCs w:val="24"/>
      <w:u w:color="4472C4"/>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5">
      <w:bodyDiv w:val="1"/>
      <w:marLeft w:val="0"/>
      <w:marRight w:val="0"/>
      <w:marTop w:val="0"/>
      <w:marBottom w:val="0"/>
      <w:divBdr>
        <w:top w:val="none" w:sz="0" w:space="0" w:color="auto"/>
        <w:left w:val="none" w:sz="0" w:space="0" w:color="auto"/>
        <w:bottom w:val="none" w:sz="0" w:space="0" w:color="auto"/>
        <w:right w:val="none" w:sz="0" w:space="0" w:color="auto"/>
      </w:divBdr>
    </w:div>
    <w:div w:id="244536365">
      <w:bodyDiv w:val="1"/>
      <w:marLeft w:val="0"/>
      <w:marRight w:val="0"/>
      <w:marTop w:val="0"/>
      <w:marBottom w:val="0"/>
      <w:divBdr>
        <w:top w:val="none" w:sz="0" w:space="0" w:color="auto"/>
        <w:left w:val="none" w:sz="0" w:space="0" w:color="auto"/>
        <w:bottom w:val="none" w:sz="0" w:space="0" w:color="auto"/>
        <w:right w:val="none" w:sz="0" w:space="0" w:color="auto"/>
      </w:divBdr>
    </w:div>
    <w:div w:id="417600034">
      <w:bodyDiv w:val="1"/>
      <w:marLeft w:val="0"/>
      <w:marRight w:val="0"/>
      <w:marTop w:val="0"/>
      <w:marBottom w:val="0"/>
      <w:divBdr>
        <w:top w:val="none" w:sz="0" w:space="0" w:color="auto"/>
        <w:left w:val="none" w:sz="0" w:space="0" w:color="auto"/>
        <w:bottom w:val="none" w:sz="0" w:space="0" w:color="auto"/>
        <w:right w:val="none" w:sz="0" w:space="0" w:color="auto"/>
      </w:divBdr>
    </w:div>
    <w:div w:id="471868843">
      <w:bodyDiv w:val="1"/>
      <w:marLeft w:val="0"/>
      <w:marRight w:val="0"/>
      <w:marTop w:val="0"/>
      <w:marBottom w:val="0"/>
      <w:divBdr>
        <w:top w:val="none" w:sz="0" w:space="0" w:color="auto"/>
        <w:left w:val="none" w:sz="0" w:space="0" w:color="auto"/>
        <w:bottom w:val="none" w:sz="0" w:space="0" w:color="auto"/>
        <w:right w:val="none" w:sz="0" w:space="0" w:color="auto"/>
      </w:divBdr>
    </w:div>
    <w:div w:id="638346204">
      <w:bodyDiv w:val="1"/>
      <w:marLeft w:val="0"/>
      <w:marRight w:val="0"/>
      <w:marTop w:val="0"/>
      <w:marBottom w:val="0"/>
      <w:divBdr>
        <w:top w:val="none" w:sz="0" w:space="0" w:color="auto"/>
        <w:left w:val="none" w:sz="0" w:space="0" w:color="auto"/>
        <w:bottom w:val="none" w:sz="0" w:space="0" w:color="auto"/>
        <w:right w:val="none" w:sz="0" w:space="0" w:color="auto"/>
      </w:divBdr>
    </w:div>
    <w:div w:id="681398737">
      <w:bodyDiv w:val="1"/>
      <w:marLeft w:val="0"/>
      <w:marRight w:val="0"/>
      <w:marTop w:val="0"/>
      <w:marBottom w:val="0"/>
      <w:divBdr>
        <w:top w:val="none" w:sz="0" w:space="0" w:color="auto"/>
        <w:left w:val="none" w:sz="0" w:space="0" w:color="auto"/>
        <w:bottom w:val="none" w:sz="0" w:space="0" w:color="auto"/>
        <w:right w:val="none" w:sz="0" w:space="0" w:color="auto"/>
      </w:divBdr>
    </w:div>
    <w:div w:id="76527193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168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4429">
      <w:bodyDiv w:val="1"/>
      <w:marLeft w:val="0"/>
      <w:marRight w:val="0"/>
      <w:marTop w:val="0"/>
      <w:marBottom w:val="0"/>
      <w:divBdr>
        <w:top w:val="none" w:sz="0" w:space="0" w:color="auto"/>
        <w:left w:val="none" w:sz="0" w:space="0" w:color="auto"/>
        <w:bottom w:val="none" w:sz="0" w:space="0" w:color="auto"/>
        <w:right w:val="none" w:sz="0" w:space="0" w:color="auto"/>
      </w:divBdr>
    </w:div>
    <w:div w:id="1372877482">
      <w:bodyDiv w:val="1"/>
      <w:marLeft w:val="0"/>
      <w:marRight w:val="0"/>
      <w:marTop w:val="0"/>
      <w:marBottom w:val="0"/>
      <w:divBdr>
        <w:top w:val="none" w:sz="0" w:space="0" w:color="auto"/>
        <w:left w:val="none" w:sz="0" w:space="0" w:color="auto"/>
        <w:bottom w:val="none" w:sz="0" w:space="0" w:color="auto"/>
        <w:right w:val="none" w:sz="0" w:space="0" w:color="auto"/>
      </w:divBdr>
    </w:div>
    <w:div w:id="142515383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5680775">
      <w:bodyDiv w:val="1"/>
      <w:marLeft w:val="0"/>
      <w:marRight w:val="0"/>
      <w:marTop w:val="0"/>
      <w:marBottom w:val="0"/>
      <w:divBdr>
        <w:top w:val="none" w:sz="0" w:space="0" w:color="auto"/>
        <w:left w:val="none" w:sz="0" w:space="0" w:color="auto"/>
        <w:bottom w:val="none" w:sz="0" w:space="0" w:color="auto"/>
        <w:right w:val="none" w:sz="0" w:space="0" w:color="auto"/>
      </w:divBdr>
    </w:div>
    <w:div w:id="155539113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330">
      <w:bodyDiv w:val="1"/>
      <w:marLeft w:val="0"/>
      <w:marRight w:val="0"/>
      <w:marTop w:val="0"/>
      <w:marBottom w:val="0"/>
      <w:divBdr>
        <w:top w:val="none" w:sz="0" w:space="0" w:color="auto"/>
        <w:left w:val="none" w:sz="0" w:space="0" w:color="auto"/>
        <w:bottom w:val="none" w:sz="0" w:space="0" w:color="auto"/>
        <w:right w:val="none" w:sz="0" w:space="0" w:color="auto"/>
      </w:divBdr>
    </w:div>
    <w:div w:id="210668610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AD18FC08B20D418FE67A114E11C87A" ma:contentTypeVersion="8" ma:contentTypeDescription="Create a new document." ma:contentTypeScope="" ma:versionID="b45fee3b9e20575c2f9e168603c03a43">
  <xsd:schema xmlns:xsd="http://www.w3.org/2001/XMLSchema" xmlns:xs="http://www.w3.org/2001/XMLSchema" xmlns:p="http://schemas.microsoft.com/office/2006/metadata/properties" xmlns:ns2="edd61a8a-ddee-41da-adba-2f27cfed9694" xmlns:ns3="293e17ea-07cd-4f6d-a4ab-98915728e604" targetNamespace="http://schemas.microsoft.com/office/2006/metadata/properties" ma:root="true" ma:fieldsID="a40d4dfaed254af84cc73b872ff1f790" ns2:_="" ns3:_="">
    <xsd:import namespace="edd61a8a-ddee-41da-adba-2f27cfed9694"/>
    <xsd:import namespace="293e17ea-07cd-4f6d-a4ab-98915728e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61a8a-ddee-41da-adba-2f27cfed9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e17ea-07cd-4f6d-a4ab-98915728e604"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04F53-2DDD-44B5-858E-A8D61B46C12F}">
  <ds:schemaRefs>
    <ds:schemaRef ds:uri="http://schemas.microsoft.com/sharepoint/v3/contenttype/forms"/>
  </ds:schemaRefs>
</ds:datastoreItem>
</file>

<file path=customXml/itemProps2.xml><?xml version="1.0" encoding="utf-8"?>
<ds:datastoreItem xmlns:ds="http://schemas.openxmlformats.org/officeDocument/2006/customXml" ds:itemID="{60286CD9-C3AB-4923-B769-05B2CA0A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61a8a-ddee-41da-adba-2f27cfed9694"/>
    <ds:schemaRef ds:uri="293e17ea-07cd-4f6d-a4ab-98915728e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customXml/itemProps4.xml><?xml version="1.0" encoding="utf-8"?>
<ds:datastoreItem xmlns:ds="http://schemas.openxmlformats.org/officeDocument/2006/customXml" ds:itemID="{A880887F-C8BA-448F-B92A-1F22DB1561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9764</Words>
  <Characters>55659</Characters>
  <Application>Microsoft Office Word</Application>
  <DocSecurity>0</DocSecurity>
  <Lines>463</Lines>
  <Paragraphs>130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Antonio Javier Nakhal Akel</cp:lastModifiedBy>
  <cp:revision>48</cp:revision>
  <cp:lastPrinted>2015-05-12T18:31:00Z</cp:lastPrinted>
  <dcterms:created xsi:type="dcterms:W3CDTF">2022-01-05T09:55:00Z</dcterms:created>
  <dcterms:modified xsi:type="dcterms:W3CDTF">2022-03-04T17:29:00Z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http://www.zotero.org/styles/accident-analysis-and-prevention</vt:lpwstr>
  </property>
  <property fmtid="{D5CDD505-2E9C-101B-9397-08002B2CF9AE}" pid="5" name="Mendeley Recent Style Name 0_1">
    <vt:lpwstr>Accident Analysis and Prevention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http://www.zotero.org/styles/chemical-engineering-journal</vt:lpwstr>
  </property>
  <property fmtid="{D5CDD505-2E9C-101B-9397-08002B2CF9AE}" pid="11" name="Mendeley Recent Style Name 3_1">
    <vt:lpwstr>Chemical Engineering Journal</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http://www.zotero.org/styles/journal-of-loss-prevention-in-the-process-industries</vt:lpwstr>
  </property>
  <property fmtid="{D5CDD505-2E9C-101B-9397-08002B2CF9AE}" pid="19" name="Mendeley Recent Style Name 7_1">
    <vt:lpwstr>Journal of Loss Prevention in the Process Industries</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2e885d4b-ee0f-3b58-9521-d9d2faeaedf0</vt:lpwstr>
  </property>
  <property fmtid="{D5CDD505-2E9C-101B-9397-08002B2CF9AE}" pid="26" name="Mendeley Citation Style_1">
    <vt:lpwstr>http://www.zotero.org/styles/accident-analysis-and-prevention</vt:lpwstr>
  </property>
  <property fmtid="{D5CDD505-2E9C-101B-9397-08002B2CF9AE}" pid="27" name="ContentTypeId">
    <vt:lpwstr>0x01010011AD18FC08B20D418FE67A114E11C87A</vt:lpwstr>
  </property>
</Properties>
</file>