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92471578"/>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40002EE"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B57E6F">
              <w:rPr>
                <w:rFonts w:cs="Arial"/>
                <w:b/>
                <w:bCs/>
                <w:i/>
                <w:iCs/>
                <w:color w:val="000066"/>
                <w:sz w:val="22"/>
                <w:szCs w:val="22"/>
                <w:lang w:eastAsia="it-IT"/>
              </w:rPr>
              <w:t>1</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402C10" w:rsidRDefault="00300E56" w:rsidP="00B57E6F">
            <w:pPr>
              <w:ind w:left="-107"/>
              <w:outlineLvl w:val="2"/>
              <w:rPr>
                <w:rFonts w:ascii="Tahoma" w:hAnsi="Tahoma" w:cs="Tahoma"/>
                <w:bCs/>
                <w:color w:val="000000"/>
                <w:sz w:val="14"/>
                <w:szCs w:val="14"/>
                <w:lang w:val="it-IT" w:eastAsia="it-IT"/>
              </w:rPr>
            </w:pPr>
            <w:r w:rsidRPr="00402C10">
              <w:rPr>
                <w:rFonts w:ascii="Tahoma" w:hAnsi="Tahoma" w:cs="Tahoma"/>
                <w:iCs/>
                <w:color w:val="333333"/>
                <w:sz w:val="14"/>
                <w:szCs w:val="14"/>
                <w:lang w:val="it-IT" w:eastAsia="it-IT"/>
              </w:rPr>
              <w:t xml:space="preserve">Guest </w:t>
            </w:r>
            <w:proofErr w:type="spellStart"/>
            <w:r w:rsidRPr="00402C10">
              <w:rPr>
                <w:rFonts w:ascii="Tahoma" w:hAnsi="Tahoma" w:cs="Tahoma"/>
                <w:iCs/>
                <w:color w:val="333333"/>
                <w:sz w:val="14"/>
                <w:szCs w:val="14"/>
                <w:lang w:val="it-IT" w:eastAsia="it-IT"/>
              </w:rPr>
              <w:t>Editors</w:t>
            </w:r>
            <w:proofErr w:type="spellEnd"/>
            <w:r w:rsidRPr="00402C10">
              <w:rPr>
                <w:rFonts w:ascii="Tahoma" w:hAnsi="Tahoma" w:cs="Tahoma"/>
                <w:iCs/>
                <w:color w:val="333333"/>
                <w:sz w:val="14"/>
                <w:szCs w:val="14"/>
                <w:lang w:val="it-IT" w:eastAsia="it-IT"/>
              </w:rPr>
              <w:t>:</w:t>
            </w:r>
            <w:r w:rsidR="00904C62" w:rsidRPr="00402C10">
              <w:rPr>
                <w:rFonts w:ascii="Tahoma" w:hAnsi="Tahoma" w:cs="Tahoma"/>
                <w:iCs/>
                <w:color w:val="333333"/>
                <w:sz w:val="14"/>
                <w:szCs w:val="14"/>
                <w:lang w:val="it-IT" w:eastAsia="it-IT"/>
              </w:rPr>
              <w:t xml:space="preserve"> </w:t>
            </w:r>
            <w:r w:rsidR="00B57E6F" w:rsidRPr="00402C10">
              <w:rPr>
                <w:rFonts w:ascii="Tahoma" w:hAnsi="Tahoma" w:cs="Tahoma"/>
                <w:color w:val="000000"/>
                <w:sz w:val="14"/>
                <w:szCs w:val="14"/>
                <w:shd w:val="clear" w:color="auto" w:fill="FFFFFF"/>
                <w:lang w:val="it-IT"/>
              </w:rPr>
              <w:t xml:space="preserve">Valerio Cozzani, </w:t>
            </w:r>
            <w:r w:rsidR="001331DF" w:rsidRPr="00402C10">
              <w:rPr>
                <w:rFonts w:ascii="Tahoma" w:hAnsi="Tahoma" w:cs="Tahoma"/>
                <w:color w:val="000000"/>
                <w:sz w:val="14"/>
                <w:szCs w:val="14"/>
                <w:shd w:val="clear" w:color="auto" w:fill="FFFFFF"/>
                <w:lang w:val="it-IT"/>
              </w:rPr>
              <w:t>Bruno Fabiano</w:t>
            </w:r>
            <w:r w:rsidR="00B57E6F" w:rsidRPr="00402C10">
              <w:rPr>
                <w:rFonts w:ascii="Tahoma" w:hAnsi="Tahoma" w:cs="Tahoma"/>
                <w:color w:val="000000"/>
                <w:sz w:val="14"/>
                <w:szCs w:val="14"/>
                <w:shd w:val="clear" w:color="auto" w:fill="FFFFFF"/>
                <w:lang w:val="it-IT"/>
              </w:rPr>
              <w:t xml:space="preserve">, </w:t>
            </w:r>
            <w:proofErr w:type="spellStart"/>
            <w:r w:rsidR="00B57E6F" w:rsidRPr="00402C10">
              <w:rPr>
                <w:rFonts w:ascii="Tahoma" w:hAnsi="Tahoma" w:cs="Tahoma"/>
                <w:bCs/>
                <w:color w:val="000000"/>
                <w:sz w:val="14"/>
                <w:szCs w:val="14"/>
                <w:lang w:val="it-IT" w:eastAsia="it-IT"/>
              </w:rPr>
              <w:t>Genserik</w:t>
            </w:r>
            <w:proofErr w:type="spellEnd"/>
            <w:r w:rsidR="00B57E6F" w:rsidRPr="00402C10">
              <w:rPr>
                <w:rFonts w:ascii="Tahoma" w:hAnsi="Tahoma" w:cs="Tahoma"/>
                <w:bCs/>
                <w:color w:val="000000"/>
                <w:sz w:val="14"/>
                <w:szCs w:val="14"/>
                <w:lang w:val="it-IT" w:eastAsia="it-IT"/>
              </w:rPr>
              <w:t xml:space="preserve"> </w:t>
            </w:r>
            <w:proofErr w:type="spellStart"/>
            <w:r w:rsidR="00B57E6F" w:rsidRPr="00402C10">
              <w:rPr>
                <w:rFonts w:ascii="Tahoma" w:hAnsi="Tahoma" w:cs="Tahoma"/>
                <w:bCs/>
                <w:color w:val="000000"/>
                <w:sz w:val="14"/>
                <w:szCs w:val="14"/>
                <w:lang w:val="it-IT" w:eastAsia="it-IT"/>
              </w:rPr>
              <w:t>Reniers</w:t>
            </w:r>
            <w:proofErr w:type="spellEnd"/>
          </w:p>
          <w:p w14:paraId="1B0F1814" w14:textId="08709475"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-8</w:t>
            </w:r>
            <w:r w:rsidR="00B57E6F">
              <w:rPr>
                <w:rFonts w:ascii="Tahoma" w:hAnsi="Tahoma" w:cs="Tahoma"/>
                <w:sz w:val="14"/>
                <w:szCs w:val="14"/>
              </w:rPr>
              <w:t>9</w:t>
            </w:r>
            <w:r w:rsidR="00D46B7E">
              <w:rPr>
                <w:rFonts w:ascii="Tahoma" w:hAnsi="Tahoma" w:cs="Tahoma"/>
                <w:sz w:val="14"/>
                <w:szCs w:val="14"/>
              </w:rPr>
              <w:t>-</w:t>
            </w:r>
            <w:r w:rsidR="00B57E6F">
              <w:rPr>
                <w:rFonts w:ascii="Tahoma" w:hAnsi="Tahoma" w:cs="Tahoma"/>
                <w:sz w:val="14"/>
                <w:szCs w:val="14"/>
              </w:rPr>
              <w:t>1</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0D0FFBF5" w:rsidR="00E978D0" w:rsidRPr="00B57B36" w:rsidRDefault="00367419" w:rsidP="00E978D0">
      <w:pPr>
        <w:pStyle w:val="CETTitle"/>
      </w:pPr>
      <w:r>
        <w:t>Key Performance Indicators</w:t>
      </w:r>
      <w:r w:rsidR="00600535" w:rsidRPr="00B57B36">
        <w:t xml:space="preserve"> </w:t>
      </w:r>
      <w:r>
        <w:t xml:space="preserve">for </w:t>
      </w:r>
      <w:r w:rsidR="00E13C57">
        <w:t>I</w:t>
      </w:r>
      <w:r>
        <w:t xml:space="preserve">mplementing </w:t>
      </w:r>
      <w:r w:rsidR="00E13C57">
        <w:t>Sustainability and Environmental Protection in Early Process Design Activities</w:t>
      </w:r>
    </w:p>
    <w:p w14:paraId="0488FED2" w14:textId="20218429" w:rsidR="00B57E6F" w:rsidRPr="00245F5A" w:rsidRDefault="00245F5A" w:rsidP="00B57E6F">
      <w:pPr>
        <w:pStyle w:val="CETAuthors"/>
        <w:rPr>
          <w:lang w:val="it-IT"/>
        </w:rPr>
      </w:pPr>
      <w:r w:rsidRPr="00245F5A">
        <w:rPr>
          <w:lang w:val="it-IT"/>
        </w:rPr>
        <w:t>Eugenio Tacchini</w:t>
      </w:r>
      <w:r w:rsidR="00B57E6F" w:rsidRPr="00245F5A">
        <w:rPr>
          <w:vertAlign w:val="superscript"/>
          <w:lang w:val="it-IT"/>
        </w:rPr>
        <w:t>a</w:t>
      </w:r>
      <w:r w:rsidR="00B57E6F" w:rsidRPr="00245F5A">
        <w:rPr>
          <w:lang w:val="it-IT"/>
        </w:rPr>
        <w:t xml:space="preserve">, </w:t>
      </w:r>
      <w:r w:rsidRPr="00245F5A">
        <w:rPr>
          <w:lang w:val="it-IT"/>
        </w:rPr>
        <w:t>Alessandro Tugnoli</w:t>
      </w:r>
      <w:r w:rsidRPr="00245F5A">
        <w:rPr>
          <w:vertAlign w:val="superscript"/>
          <w:lang w:val="it-IT"/>
        </w:rPr>
        <w:t>a</w:t>
      </w:r>
      <w:r w:rsidR="00AB4C8C">
        <w:rPr>
          <w:vertAlign w:val="superscript"/>
          <w:lang w:val="it-IT"/>
        </w:rPr>
        <w:t>,</w:t>
      </w:r>
      <w:r w:rsidR="00AB4C8C" w:rsidRPr="00AB4C8C">
        <w:rPr>
          <w:lang w:val="it-IT"/>
        </w:rPr>
        <w:t>*</w:t>
      </w:r>
      <w:r w:rsidRPr="00AB4C8C">
        <w:rPr>
          <w:lang w:val="it-IT"/>
        </w:rPr>
        <w:t>,</w:t>
      </w:r>
      <w:r>
        <w:rPr>
          <w:lang w:val="it-IT"/>
        </w:rPr>
        <w:t xml:space="preserve"> Valerio Cozzani</w:t>
      </w:r>
      <w:r w:rsidRPr="00245F5A">
        <w:rPr>
          <w:vertAlign w:val="superscript"/>
          <w:lang w:val="it-IT"/>
        </w:rPr>
        <w:t>a</w:t>
      </w:r>
    </w:p>
    <w:p w14:paraId="150AC1AC" w14:textId="4AAD7C90" w:rsidR="00245F5A" w:rsidRPr="00245F5A" w:rsidRDefault="00B57E6F" w:rsidP="00245F5A">
      <w:pPr>
        <w:jc w:val="left"/>
        <w:rPr>
          <w:noProof/>
          <w:sz w:val="16"/>
          <w:lang w:val="it-IT"/>
        </w:rPr>
      </w:pPr>
      <w:proofErr w:type="spellStart"/>
      <w:r w:rsidRPr="00245F5A">
        <w:rPr>
          <w:vertAlign w:val="superscript"/>
          <w:lang w:val="it-IT"/>
        </w:rPr>
        <w:t>a</w:t>
      </w:r>
      <w:r w:rsidR="00245F5A" w:rsidRPr="00245F5A">
        <w:rPr>
          <w:noProof/>
          <w:sz w:val="16"/>
          <w:lang w:val="it-IT"/>
        </w:rPr>
        <w:t>LISES</w:t>
      </w:r>
      <w:proofErr w:type="spellEnd"/>
      <w:r w:rsidR="00245F5A" w:rsidRPr="00245F5A">
        <w:rPr>
          <w:noProof/>
          <w:sz w:val="16"/>
          <w:lang w:val="it-IT"/>
        </w:rPr>
        <w:t xml:space="preserve"> – Dipartimento di Ingegneria Civile, Chimica, Ambientale e dei Materiali, Alma Mater Studiorum – Università di Bologna, via Terracini n.28, 40131 Bologna, Italy.</w:t>
      </w:r>
    </w:p>
    <w:p w14:paraId="73F1267A" w14:textId="6686CE44" w:rsidR="00B57E6F" w:rsidRPr="00B57B36" w:rsidRDefault="005D1DA3" w:rsidP="00B57E6F">
      <w:pPr>
        <w:pStyle w:val="CETemail"/>
      </w:pPr>
      <w:r>
        <w:t>a.tugnoli@unibo.it</w:t>
      </w:r>
    </w:p>
    <w:p w14:paraId="2BD346E5" w14:textId="73A04B6C" w:rsidR="00E13C57" w:rsidRPr="00772F20" w:rsidRDefault="00E13C57" w:rsidP="00E13C57">
      <w:pPr>
        <w:tabs>
          <w:tab w:val="left" w:pos="1485"/>
        </w:tabs>
        <w:rPr>
          <w:szCs w:val="24"/>
          <w:lang w:val="en-US"/>
        </w:rPr>
      </w:pPr>
      <w:bookmarkStart w:id="1" w:name="_Hlk93048097"/>
      <w:r w:rsidRPr="00DB1E37">
        <w:rPr>
          <w:szCs w:val="24"/>
          <w:lang w:val="en-US"/>
        </w:rPr>
        <w:t>The adoption of a sustainability</w:t>
      </w:r>
      <w:r>
        <w:rPr>
          <w:szCs w:val="24"/>
          <w:lang w:val="en-US"/>
        </w:rPr>
        <w:t xml:space="preserve"> </w:t>
      </w:r>
      <w:r w:rsidRPr="00DB1E37">
        <w:rPr>
          <w:szCs w:val="24"/>
          <w:lang w:val="en-US"/>
        </w:rPr>
        <w:t xml:space="preserve">perspective </w:t>
      </w:r>
      <w:r>
        <w:rPr>
          <w:szCs w:val="24"/>
          <w:lang w:val="en-US"/>
        </w:rPr>
        <w:t>in chemical industry shall start f</w:t>
      </w:r>
      <w:r w:rsidR="006E62A0">
        <w:rPr>
          <w:szCs w:val="24"/>
          <w:lang w:val="en-US"/>
        </w:rPr>
        <w:t>rom</w:t>
      </w:r>
      <w:r>
        <w:rPr>
          <w:szCs w:val="24"/>
          <w:lang w:val="en-US"/>
        </w:rPr>
        <w:t xml:space="preserve"> the early phases of process design (</w:t>
      </w:r>
      <w:r w:rsidR="009F6447">
        <w:rPr>
          <w:szCs w:val="24"/>
          <w:lang w:val="en-US"/>
        </w:rPr>
        <w:t xml:space="preserve">e.g. </w:t>
      </w:r>
      <w:r>
        <w:rPr>
          <w:szCs w:val="24"/>
          <w:lang w:val="en-US"/>
        </w:rPr>
        <w:t xml:space="preserve">conceptual design, technology selection, process development) where the key drivers in the environmental, </w:t>
      </w:r>
      <w:proofErr w:type="spellStart"/>
      <w:r>
        <w:rPr>
          <w:szCs w:val="24"/>
          <w:lang w:val="en-US"/>
        </w:rPr>
        <w:t>economical</w:t>
      </w:r>
      <w:proofErr w:type="spellEnd"/>
      <w:r w:rsidR="00774AE0">
        <w:rPr>
          <w:szCs w:val="24"/>
          <w:lang w:val="en-US"/>
        </w:rPr>
        <w:t>,</w:t>
      </w:r>
      <w:r>
        <w:rPr>
          <w:szCs w:val="24"/>
          <w:lang w:val="en-US"/>
        </w:rPr>
        <w:t xml:space="preserve"> and hazard fingerprint of a process are defined. These phases also allow the opportunities for the lower cost of design change. </w:t>
      </w:r>
      <w:r w:rsidR="00AC4BF9">
        <w:rPr>
          <w:szCs w:val="24"/>
          <w:lang w:val="en-US"/>
        </w:rPr>
        <w:t>A</w:t>
      </w:r>
      <w:r w:rsidRPr="00772F20">
        <w:rPr>
          <w:szCs w:val="24"/>
          <w:lang w:val="en-US"/>
        </w:rPr>
        <w:t xml:space="preserve"> sound support of design activities</w:t>
      </w:r>
      <w:r>
        <w:rPr>
          <w:szCs w:val="24"/>
          <w:lang w:val="en-US"/>
        </w:rPr>
        <w:t xml:space="preserve"> requires </w:t>
      </w:r>
      <w:r w:rsidRPr="00772F20">
        <w:rPr>
          <w:szCs w:val="24"/>
          <w:lang w:val="en-US"/>
        </w:rPr>
        <w:t>quantitative tools</w:t>
      </w:r>
      <w:r w:rsidR="00AC4BF9">
        <w:rPr>
          <w:szCs w:val="24"/>
          <w:lang w:val="en-US"/>
        </w:rPr>
        <w:t xml:space="preserve">, </w:t>
      </w:r>
      <w:r>
        <w:rPr>
          <w:szCs w:val="24"/>
          <w:lang w:val="en-US"/>
        </w:rPr>
        <w:t>allow</w:t>
      </w:r>
      <w:r w:rsidR="00AC4BF9">
        <w:rPr>
          <w:szCs w:val="24"/>
          <w:lang w:val="en-US"/>
        </w:rPr>
        <w:t>ing</w:t>
      </w:r>
      <w:r>
        <w:rPr>
          <w:szCs w:val="24"/>
          <w:lang w:val="en-US"/>
        </w:rPr>
        <w:t xml:space="preserve"> for the assessment of the sustainability profile of a process, the identification of possible improvements and support</w:t>
      </w:r>
      <w:r w:rsidR="00AC4BF9">
        <w:rPr>
          <w:szCs w:val="24"/>
          <w:lang w:val="en-US"/>
        </w:rPr>
        <w:t>ing</w:t>
      </w:r>
      <w:r>
        <w:rPr>
          <w:szCs w:val="24"/>
          <w:lang w:val="en-US"/>
        </w:rPr>
        <w:t xml:space="preserve"> informed </w:t>
      </w:r>
      <w:r w:rsidRPr="00772F20">
        <w:rPr>
          <w:szCs w:val="24"/>
          <w:lang w:val="en-US"/>
        </w:rPr>
        <w:t>tradeoffs.</w:t>
      </w:r>
    </w:p>
    <w:p w14:paraId="635387DF" w14:textId="72C90ECE" w:rsidR="00E13C57" w:rsidRDefault="00AC4BF9" w:rsidP="00E13C57">
      <w:pPr>
        <w:tabs>
          <w:tab w:val="left" w:pos="1485"/>
        </w:tabs>
        <w:rPr>
          <w:szCs w:val="24"/>
          <w:lang w:val="en-US"/>
        </w:rPr>
      </w:pPr>
      <w:r>
        <w:rPr>
          <w:szCs w:val="24"/>
          <w:lang w:val="en-US"/>
        </w:rPr>
        <w:t xml:space="preserve">Though several </w:t>
      </w:r>
      <w:r w:rsidR="00E13C57">
        <w:rPr>
          <w:szCs w:val="24"/>
          <w:lang w:val="en-US"/>
        </w:rPr>
        <w:t xml:space="preserve">tools for process development </w:t>
      </w:r>
      <w:r>
        <w:rPr>
          <w:szCs w:val="24"/>
          <w:lang w:val="en-US"/>
        </w:rPr>
        <w:t xml:space="preserve">were proposed in last decades, application </w:t>
      </w:r>
      <w:r w:rsidR="00E13C57">
        <w:rPr>
          <w:szCs w:val="24"/>
          <w:lang w:val="en-US"/>
        </w:rPr>
        <w:t>is still limited in the current practice</w:t>
      </w:r>
      <w:r>
        <w:rPr>
          <w:szCs w:val="24"/>
          <w:lang w:val="en-US"/>
        </w:rPr>
        <w:t xml:space="preserve"> because of issues on </w:t>
      </w:r>
      <w:r w:rsidR="00E13C57" w:rsidRPr="00772F20">
        <w:rPr>
          <w:szCs w:val="24"/>
          <w:lang w:val="en-US"/>
        </w:rPr>
        <w:t>data</w:t>
      </w:r>
      <w:r w:rsidR="00E13C57">
        <w:rPr>
          <w:szCs w:val="24"/>
          <w:lang w:val="en-US"/>
        </w:rPr>
        <w:t xml:space="preserve"> </w:t>
      </w:r>
      <w:r w:rsidR="00E13C57" w:rsidRPr="00772F20">
        <w:rPr>
          <w:szCs w:val="24"/>
          <w:lang w:val="en-US"/>
        </w:rPr>
        <w:t>require</w:t>
      </w:r>
      <w:r>
        <w:rPr>
          <w:szCs w:val="24"/>
          <w:lang w:val="en-US"/>
        </w:rPr>
        <w:t xml:space="preserve">ment, </w:t>
      </w:r>
      <w:r w:rsidR="00E13C57" w:rsidRPr="00772F20">
        <w:rPr>
          <w:szCs w:val="24"/>
          <w:lang w:val="en-US"/>
        </w:rPr>
        <w:t>indicator</w:t>
      </w:r>
      <w:r>
        <w:rPr>
          <w:szCs w:val="24"/>
          <w:lang w:val="en-US"/>
        </w:rPr>
        <w:t xml:space="preserve"> definition and customization to specific </w:t>
      </w:r>
      <w:r w:rsidR="00E13C57">
        <w:rPr>
          <w:szCs w:val="24"/>
          <w:lang w:val="en-US"/>
        </w:rPr>
        <w:t xml:space="preserve">application needs (e.g. </w:t>
      </w:r>
      <w:r>
        <w:rPr>
          <w:szCs w:val="24"/>
          <w:lang w:val="en-US"/>
        </w:rPr>
        <w:t>PFD definition in design of polypropylene production plants)</w:t>
      </w:r>
      <w:r w:rsidR="00E13C57">
        <w:rPr>
          <w:szCs w:val="24"/>
          <w:lang w:val="en-US"/>
        </w:rPr>
        <w:t>.</w:t>
      </w:r>
    </w:p>
    <w:p w14:paraId="5747708F" w14:textId="2F4E8DBD" w:rsidR="004E5BA2" w:rsidRDefault="00E13C57" w:rsidP="00E13C57">
      <w:pPr>
        <w:tabs>
          <w:tab w:val="left" w:pos="1485"/>
        </w:tabs>
        <w:rPr>
          <w:szCs w:val="24"/>
          <w:lang w:val="en-US"/>
        </w:rPr>
      </w:pPr>
      <w:r w:rsidRPr="00772F20">
        <w:rPr>
          <w:szCs w:val="24"/>
          <w:lang w:val="en-US"/>
        </w:rPr>
        <w:t>This study focuse</w:t>
      </w:r>
      <w:r>
        <w:rPr>
          <w:szCs w:val="24"/>
          <w:lang w:val="en-US"/>
        </w:rPr>
        <w:t>s</w:t>
      </w:r>
      <w:r w:rsidRPr="00772F20">
        <w:rPr>
          <w:szCs w:val="24"/>
          <w:lang w:val="en-US"/>
        </w:rPr>
        <w:t xml:space="preserve"> on the application to the </w:t>
      </w:r>
      <w:r>
        <w:rPr>
          <w:szCs w:val="24"/>
          <w:lang w:val="en-US"/>
        </w:rPr>
        <w:t xml:space="preserve">early process design of environmental and exergy Key Performance Indicators (KPIs) to support sustainability-oriented design activities. It was tailored on the specific industrial application of </w:t>
      </w:r>
      <w:r w:rsidR="000C33CE">
        <w:rPr>
          <w:szCs w:val="24"/>
          <w:lang w:val="en-US"/>
        </w:rPr>
        <w:t xml:space="preserve">polypropylene </w:t>
      </w:r>
      <w:r>
        <w:rPr>
          <w:szCs w:val="24"/>
          <w:lang w:val="en-US"/>
        </w:rPr>
        <w:t xml:space="preserve">production plants. </w:t>
      </w:r>
      <w:r w:rsidR="00AC4BF9">
        <w:rPr>
          <w:szCs w:val="24"/>
          <w:lang w:val="en-US"/>
        </w:rPr>
        <w:t>T</w:t>
      </w:r>
      <w:r>
        <w:rPr>
          <w:szCs w:val="24"/>
          <w:lang w:val="en-US"/>
        </w:rPr>
        <w:t>he choice of a specific sector allowed customization</w:t>
      </w:r>
      <w:r w:rsidRPr="00C85D0D">
        <w:rPr>
          <w:szCs w:val="24"/>
          <w:lang w:val="en-US"/>
        </w:rPr>
        <w:t xml:space="preserve"> </w:t>
      </w:r>
      <w:r>
        <w:rPr>
          <w:szCs w:val="24"/>
          <w:lang w:val="en-US"/>
        </w:rPr>
        <w:t>of the method, promoting ease of application</w:t>
      </w:r>
      <w:r w:rsidR="004E5BA2">
        <w:rPr>
          <w:szCs w:val="24"/>
          <w:lang w:val="en-US"/>
        </w:rPr>
        <w:t xml:space="preserve"> and allowing </w:t>
      </w:r>
      <w:r w:rsidR="00DB4E54">
        <w:rPr>
          <w:szCs w:val="24"/>
          <w:lang w:val="en-US"/>
        </w:rPr>
        <w:t>the assessment of multiple scenario</w:t>
      </w:r>
      <w:r w:rsidR="006726D0">
        <w:rPr>
          <w:szCs w:val="24"/>
          <w:lang w:val="en-US"/>
        </w:rPr>
        <w:t>s (e.g</w:t>
      </w:r>
      <w:r w:rsidR="00774AE0">
        <w:rPr>
          <w:szCs w:val="24"/>
          <w:lang w:val="en-US"/>
        </w:rPr>
        <w:t>.</w:t>
      </w:r>
      <w:r w:rsidR="006726D0">
        <w:rPr>
          <w:szCs w:val="24"/>
          <w:lang w:val="en-US"/>
        </w:rPr>
        <w:t xml:space="preserve"> </w:t>
      </w:r>
      <w:r w:rsidR="0057074E">
        <w:rPr>
          <w:szCs w:val="24"/>
          <w:lang w:val="en-US"/>
        </w:rPr>
        <w:t>sensitivity on</w:t>
      </w:r>
      <w:r w:rsidR="006726D0">
        <w:rPr>
          <w:szCs w:val="24"/>
          <w:lang w:val="en-US"/>
        </w:rPr>
        <w:t xml:space="preserve"> material and energy supply</w:t>
      </w:r>
      <w:r w:rsidR="0057074E">
        <w:rPr>
          <w:szCs w:val="24"/>
          <w:lang w:val="en-US"/>
        </w:rPr>
        <w:t xml:space="preserve"> strategies</w:t>
      </w:r>
      <w:r w:rsidR="0057254C">
        <w:rPr>
          <w:szCs w:val="24"/>
          <w:lang w:val="en-US"/>
        </w:rPr>
        <w:t>, comparison of different technologies</w:t>
      </w:r>
      <w:r w:rsidR="006726D0">
        <w:rPr>
          <w:szCs w:val="24"/>
          <w:lang w:val="en-US"/>
        </w:rPr>
        <w:t xml:space="preserve">). </w:t>
      </w:r>
      <w:r w:rsidR="0057074E">
        <w:rPr>
          <w:szCs w:val="24"/>
          <w:lang w:val="en-US"/>
        </w:rPr>
        <w:t xml:space="preserve">Results obtained </w:t>
      </w:r>
      <w:r w:rsidR="0066516E">
        <w:rPr>
          <w:szCs w:val="24"/>
          <w:lang w:val="en-US"/>
        </w:rPr>
        <w:t>draw up sustainable guidelines to improve design activities within the scope in a lifecycle perspective.</w:t>
      </w:r>
    </w:p>
    <w:bookmarkEnd w:id="1"/>
    <w:p w14:paraId="07ED1F16" w14:textId="57E5AFD3" w:rsidR="00112DD3" w:rsidRDefault="00112DD3" w:rsidP="00112DD3">
      <w:pPr>
        <w:pStyle w:val="CETHeading1"/>
      </w:pPr>
      <w:r>
        <w:t>Introduction</w:t>
      </w:r>
    </w:p>
    <w:p w14:paraId="441AAB21" w14:textId="77777777" w:rsidR="00083D8E" w:rsidRPr="003D368C" w:rsidRDefault="00083D8E" w:rsidP="00793100">
      <w:pPr>
        <w:tabs>
          <w:tab w:val="left" w:pos="1485"/>
        </w:tabs>
        <w:rPr>
          <w:szCs w:val="24"/>
          <w:lang w:val="en-US"/>
        </w:rPr>
      </w:pPr>
      <w:r w:rsidRPr="00942E71">
        <w:rPr>
          <w:szCs w:val="24"/>
          <w:lang w:val="en-US"/>
        </w:rPr>
        <w:t xml:space="preserve">In the last decades, society has been asking to the chemical and process industry a growing commitment toward </w:t>
      </w:r>
      <w:r w:rsidRPr="00C5353E">
        <w:rPr>
          <w:szCs w:val="24"/>
          <w:lang w:val="en-US"/>
        </w:rPr>
        <w:t>the development of sustainable and safer</w:t>
      </w:r>
      <w:r w:rsidRPr="003D368C">
        <w:rPr>
          <w:szCs w:val="24"/>
          <w:lang w:val="en-US"/>
        </w:rPr>
        <w:t xml:space="preserve"> production processes. Sustainability and green engineering have become, beside conventional economic and technical aspects, a key driver in the development of new production processes. </w:t>
      </w:r>
    </w:p>
    <w:p w14:paraId="3DC74374" w14:textId="66191CA5" w:rsidR="00942E71" w:rsidRPr="00083D8E" w:rsidRDefault="00FC4A53" w:rsidP="00F209B6">
      <w:pPr>
        <w:rPr>
          <w:szCs w:val="24"/>
          <w:lang w:val="en-US"/>
        </w:rPr>
      </w:pPr>
      <w:r>
        <w:rPr>
          <w:lang w:val="en-US"/>
        </w:rPr>
        <w:t>Early</w:t>
      </w:r>
      <w:r w:rsidR="00583CA2">
        <w:t xml:space="preserve"> process design </w:t>
      </w:r>
      <w:r w:rsidR="00942E71" w:rsidRPr="00083D8E">
        <w:rPr>
          <w:szCs w:val="24"/>
          <w:lang w:val="en-US"/>
        </w:rPr>
        <w:t xml:space="preserve">(e.g. conceptual design, technology selection, process development) </w:t>
      </w:r>
      <w:r w:rsidR="00583CA2">
        <w:t xml:space="preserve">is a key phase in the adoption of the sustainability perspective, as higher degrees of freedom for change are possible at low marginal costs </w:t>
      </w:r>
      <w:r w:rsidR="00583CA2">
        <w:fldChar w:fldCharType="begin" w:fldLock="1"/>
      </w:r>
      <w:r w:rsidR="005C0DCE">
        <w:instrText>ADDIN CSL_CITATION {"citationItems":[{"id":"ITEM-1","itemData":{"author":[{"dropping-particle":"","family":"Sugiyama, H.; Hirao, M.; Fischer, U.; Hungerbühler","given":"K","non-dropping-particle":"","parse-names":false,"suffix":""}],"container-title":"J. Chem. Eng. Jpn","id":"ITEM-1","issued":{"date-parts":[["2008"]]},"page":"884–897","title":"Activity modeling for integrating environmental, health and safety (EHS) consideration as a new element in industrial chemical process design","type":"article-journal","volume":"41"},"uris":["http://www.mendeley.com/documents/?uuid=4de81481-1060-4fec-9e9d-b364a2f7ff47"]}],"mendeley":{"formattedCitation":"(Sugiyama, H.; Hirao, M.; Fischer, U.; Hungerbühler 2008)","manualFormatting":"(Sugiyama H. et al., 2008)","plainTextFormattedCitation":"(Sugiyama, H.; Hirao, M.; Fischer, U.; Hungerbühler 2008)","previouslyFormattedCitation":"(Sugiyama, H.; Hirao, M.; Fischer, U.; Hungerbühler 2008)"},"properties":{"noteIndex":0},"schema":"https://github.com/citation-style-language/schema/raw/master/csl-citation.json"}</w:instrText>
      </w:r>
      <w:r w:rsidR="00583CA2">
        <w:fldChar w:fldCharType="separate"/>
      </w:r>
      <w:r w:rsidR="0091047C" w:rsidRPr="0091047C">
        <w:rPr>
          <w:noProof/>
        </w:rPr>
        <w:t xml:space="preserve">(Sugiyama </w:t>
      </w:r>
      <w:r w:rsidR="0091047C">
        <w:rPr>
          <w:noProof/>
        </w:rPr>
        <w:t>et al.,</w:t>
      </w:r>
      <w:r w:rsidR="0091047C" w:rsidRPr="0091047C">
        <w:rPr>
          <w:noProof/>
        </w:rPr>
        <w:t xml:space="preserve"> 2008)</w:t>
      </w:r>
      <w:r w:rsidR="00583CA2">
        <w:fldChar w:fldCharType="end"/>
      </w:r>
      <w:r w:rsidR="00583CA2">
        <w:t xml:space="preserve">. </w:t>
      </w:r>
      <w:r w:rsidR="00942E71" w:rsidRPr="00083D8E">
        <w:rPr>
          <w:szCs w:val="24"/>
          <w:lang w:val="en-US"/>
        </w:rPr>
        <w:t>Though conceptual guidelines like Green Chemistry principles</w:t>
      </w:r>
      <w:r w:rsidR="00942E71">
        <w:rPr>
          <w:szCs w:val="24"/>
          <w:lang w:val="en-US"/>
        </w:rPr>
        <w:t xml:space="preserve"> </w:t>
      </w:r>
      <w:r w:rsidR="00942E71" w:rsidRPr="00083D8E">
        <w:rPr>
          <w:szCs w:val="24"/>
          <w:lang w:val="en-US"/>
        </w:rPr>
        <w:t>or Green Engineering principles provide a direction for the actions, a sound support of design activities requires quantitative tools. These allow for the assessment of the sustainability profile of a process, the identification of possible improvements and the evaluation of the effectiveness of alternative design choices</w:t>
      </w:r>
      <w:r w:rsidR="00724A86">
        <w:rPr>
          <w:szCs w:val="24"/>
          <w:lang w:val="en-US"/>
        </w:rPr>
        <w:t xml:space="preserve"> (Dal Pozzo et al., 2017)</w:t>
      </w:r>
      <w:r w:rsidR="00942E71" w:rsidRPr="00083D8E">
        <w:rPr>
          <w:szCs w:val="24"/>
          <w:lang w:val="en-US"/>
        </w:rPr>
        <w:t>. Moreover, they can support informed tradeoffs in case of conflicting issues.</w:t>
      </w:r>
    </w:p>
    <w:p w14:paraId="6D1BDEA5" w14:textId="4F186690" w:rsidR="00942E71" w:rsidRPr="00083D8E" w:rsidRDefault="00583CA2" w:rsidP="00942E71">
      <w:pPr>
        <w:pStyle w:val="Paragrafoelenco"/>
        <w:tabs>
          <w:tab w:val="left" w:pos="1485"/>
        </w:tabs>
        <w:ind w:left="0"/>
        <w:rPr>
          <w:szCs w:val="24"/>
          <w:lang w:val="en-US"/>
        </w:rPr>
      </w:pPr>
      <w:r>
        <w:t xml:space="preserve">The development quantitative tools for the sustainability analysis of process schemes received significant attention in the last two decades. Metrics based on material and energy flow analysis </w:t>
      </w:r>
      <w:r>
        <w:fldChar w:fldCharType="begin" w:fldLock="1"/>
      </w:r>
      <w:r w:rsidR="0014320F">
        <w:instrText>ADDIN CSL_CITATION {"citationItems":[{"id":"ITEM-1","itemData":{"DOI":"10.1002/ceat.200900517","ISSN":"09307516","abstract":"Biotechnical technologies are often viewed as generally green processes, since they operate at low temperatures and pressures. However, as shown by various comparative studies of chemical and biotechnical engineering processes, this view cannot be generalized. It is clear that sustainable assessment should be carried out in the early stages of process development, since these stages have a major influence on the economic and ecological performance of processes later at the industrial scale. One option to use as a basis for evaluating the potential advantages to developing a biotechnical process can be a material and energy flow analysis (MEFA) at an early stage. This article provides an understanding of MEFA in general and illustrates its successful application by means of two case studies. © 2010 WILEY-VCH Verlag GmbH &amp; Co. KGaA, Weinheim.","author":[{"dropping-particle":"","family":"Brinkmann","given":"Tobias","non-dropping-particle":"","parse-names":false,"suffix":""},{"dropping-particle":"","family":"Rubbeling","given":"Hendrik","non-dropping-particle":"","parse-names":false,"suffix":""},{"dropping-particle":"","family":"Fröhlich","given":"Peter","non-dropping-particle":"","parse-names":false,"suffix":""},{"dropping-particle":"","family":"Katzberg","given":"Michael","non-dropping-particle":"","parse-names":false,"suffix":""},{"dropping-particle":"","family":"Bertau","given":"Martin","non-dropping-particle":"","parse-names":false,"suffix":""}],"container-title":"Chemical Engineering and Technology","id":"ITEM-1","issue":"4","issued":{"date-parts":[["2010"]]},"page":"618-628","title":"Application of material and energy flow analysis in the early stages of biotechnical process development - A case study","type":"article-journal","volume":"33"},"uris":["http://www.mendeley.com/documents/?uuid=b66a5826-adf8-4af9-968d-c8cd5d7e90f4"]}],"mendeley":{"formattedCitation":"(Brinkmann et al. 2010)","manualFormatting":"(Brinkmann et al., 2010)","plainTextFormattedCitation":"(Brinkmann et al. 2010)","previouslyFormattedCitation":"(Brinkmann et al. 2010)"},"properties":{"noteIndex":0},"schema":"https://github.com/citation-style-language/schema/raw/master/csl-citation.json"}</w:instrText>
      </w:r>
      <w:r>
        <w:fldChar w:fldCharType="separate"/>
      </w:r>
      <w:r w:rsidR="0091047C" w:rsidRPr="0091047C">
        <w:rPr>
          <w:noProof/>
        </w:rPr>
        <w:t>(Brinkmann et al.</w:t>
      </w:r>
      <w:r w:rsidR="00C52C99">
        <w:rPr>
          <w:noProof/>
        </w:rPr>
        <w:t>,</w:t>
      </w:r>
      <w:r w:rsidR="0091047C" w:rsidRPr="0091047C">
        <w:rPr>
          <w:noProof/>
        </w:rPr>
        <w:t xml:space="preserve"> 2010)</w:t>
      </w:r>
      <w:r>
        <w:fldChar w:fldCharType="end"/>
      </w:r>
      <w:r>
        <w:t xml:space="preserve">, exergy balances </w:t>
      </w:r>
      <w:r w:rsidRPr="00F209B6">
        <w:fldChar w:fldCharType="begin" w:fldLock="1"/>
      </w:r>
      <w:r w:rsidR="00042EB9" w:rsidRPr="00F209B6">
        <w:instrText>ADDIN CSL_CITATION {"citationItems":[{"id":"ITEM-1","itemData":{"author":[{"dropping-particle":"","family":"Jingzheng Ren","given":"Sara Toniolo","non-dropping-particle":"","parse-names":false,"suffix":""}],"container-title":"Sustainable Production and Consumption","id":"ITEM-1","issued":{"date-parts":[["2021"]]},"page":"354 - 371","title":"Interval reference point technique for sustainable industrial processs election under uncertainties","type":"article-journal","volume":"27"},"uris":["http://www.mendeley.com/documents/?uuid=c9bb1e5c-3552-470a-ba37-db0db6f7ab7a"]}],"mendeley":{"formattedCitation":"(Jingzheng Ren 2021)","plainTextFormattedCitation":"(Jingzheng Ren 2021)","previouslyFormattedCitation":"(Jingzheng Ren 2021)"},"properties":{"noteIndex":0},"schema":"https://github.com/citation-style-language/schema/raw/master/csl-citation.json"}</w:instrText>
      </w:r>
      <w:r w:rsidRPr="00F209B6">
        <w:fldChar w:fldCharType="separate"/>
      </w:r>
      <w:r w:rsidR="0091047C" w:rsidRPr="00F209B6">
        <w:rPr>
          <w:noProof/>
        </w:rPr>
        <w:t>(</w:t>
      </w:r>
      <w:r w:rsidR="00774AE0">
        <w:rPr>
          <w:noProof/>
        </w:rPr>
        <w:t>Ren and Toniolo,</w:t>
      </w:r>
      <w:r w:rsidR="0091047C" w:rsidRPr="00F209B6">
        <w:rPr>
          <w:noProof/>
        </w:rPr>
        <w:t xml:space="preserve"> 2021)</w:t>
      </w:r>
      <w:r w:rsidRPr="00F209B6">
        <w:fldChar w:fldCharType="end"/>
      </w:r>
      <w:r>
        <w:t xml:space="preserve">, midpoint environmental indicators </w:t>
      </w:r>
      <w:r>
        <w:fldChar w:fldCharType="begin" w:fldLock="1"/>
      </w:r>
      <w:r w:rsidR="00C52C99">
        <w:instrText>ADDIN CSL_CITATION {"citationItems":[{"id":"ITEM-1","itemData":{"DOI":"10.1016/j.applthermaleng.2012.04.032","ISSN":"13594311","abstract":"This work presents a computational approach for the simultaneous minimization of the total cost and environmental impact of thermodynamic cycles. Our method combines process simulation, multi-objective optimization and life cycle assessment (LCA) within a unified framework that identifies in a systematic manner optimal design and operating conditions according to several economic and LCA impacts. Our approach takes advantages of the complementary strengths of process simulation (in which mass, energy balances and thermodynamic calculations are implemented in an easy manner) and rigorous deterministic optimization tools. We demonstrate the capabilities of this strategy by means of two case studies in which we address the design of a 10 MW Rankine cycle modeled in Aspen Hysys, and a 90 kW ammonia-water absorption cooling cycle implemented in Aspen Plus. Numerical results show that it is possible to achieve environmental and cost savings using our rigorous approach. © 2012 Elsevier Ltd. All rights reserved.","author":[{"dropping-particle":"","family":"Brunet","given":"Robert","non-dropping-particle":"","parse-names":false,"suffix":""},{"dropping-particle":"","family":"Cortés","given":"Daniel","non-dropping-particle":"","parse-names":false,"suffix":""},{"dropping-particle":"","family":"Guillén-Gosálbez","given":"Gonzalo","non-dropping-particle":"","parse-names":false,"suffix":""},{"dropping-particle":"","family":"Jiménez","given":"Laureano","non-dropping-particle":"","parse-names":false,"suffix":""},{"dropping-particle":"","family":"Boer","given":"Dieter","non-dropping-particle":"","parse-names":false,"suffix":""}],"container-title":"Applied Thermal Engineering","id":"ITEM-1","issued":{"date-parts":[["2012"]]},"page":"367-377","title":"Minimization of the LCA impact of thermodynamic cycles using a combined simulation-optimization approach","type":"article-journal","volume":"48"},"uris":["http://www.mendeley.com/documents/?uuid=baae08d2-a838-40cd-9733-d0e1e5f30132"]}],"mendeley":{"formattedCitation":"(Brunet et al. 2012)","manualFormatting":"(Brunet et al., 2012)","plainTextFormattedCitation":"(Brunet et al. 2012)","previouslyFormattedCitation":"(Brunet et al. 2012)"},"properties":{"noteIndex":0},"schema":"https://github.com/citation-style-language/schema/raw/master/csl-citation.json"}</w:instrText>
      </w:r>
      <w:r>
        <w:fldChar w:fldCharType="separate"/>
      </w:r>
      <w:r w:rsidR="0091047C" w:rsidRPr="0091047C">
        <w:rPr>
          <w:noProof/>
        </w:rPr>
        <w:t>(Brunet et al.</w:t>
      </w:r>
      <w:r w:rsidR="00C52C99">
        <w:rPr>
          <w:noProof/>
        </w:rPr>
        <w:t>,</w:t>
      </w:r>
      <w:r w:rsidR="0091047C" w:rsidRPr="0091047C">
        <w:rPr>
          <w:noProof/>
        </w:rPr>
        <w:t xml:space="preserve"> 2012)</w:t>
      </w:r>
      <w:r>
        <w:fldChar w:fldCharType="end"/>
      </w:r>
      <w:r>
        <w:t>, endpoint environmental indicators</w:t>
      </w:r>
      <w:r w:rsidR="00942E71">
        <w:t xml:space="preserve"> </w:t>
      </w:r>
      <w:r>
        <w:fldChar w:fldCharType="begin" w:fldLock="1"/>
      </w:r>
      <w:r w:rsidR="00042EB9">
        <w:instrText>ADDIN CSL_CITATION {"citationItems":[{"id":"ITEM-1","itemData":{"ISBN":"9072130774","ISSN":"0567-932X","PMID":"25246403","abstract":"Methodology report v3","author":[{"dropping-particle":"","family":"Goedkoop","given":"Mark","non-dropping-particle":"","parse-names":false,"suffix":""},{"dropping-particle":"","family":"Spriensma","given":"Renilde","non-dropping-particle":"","parse-names":false,"suffix":""}],"container-title":"Assessment","id":"ITEM-1","issue":"April","issued":{"date-parts":[["2001"]]},"page":"144","title":"The Eco-indicator 99 - A damage oriented method for Life Cycle Impact Assessment","type":"article-journal"},"uris":["http://www.mendeley.com/documents/?uuid=bc18910b-a1c9-40d3-b6a4-619fc8d811c1"]}],"mendeley":{"formattedCitation":"(Goedkoop and Spriensma 2001)","plainTextFormattedCitation":"(Goedkoop and Spriensma 2001)","previouslyFormattedCitation":"(Goedkoop and Spriensma 2001)"},"properties":{"noteIndex":0},"schema":"https://github.com/citation-style-language/schema/raw/master/csl-citation.json"}</w:instrText>
      </w:r>
      <w:r>
        <w:fldChar w:fldCharType="separate"/>
      </w:r>
      <w:r w:rsidR="0091047C" w:rsidRPr="0091047C">
        <w:rPr>
          <w:noProof/>
        </w:rPr>
        <w:t>(Goedkoop and Spriensma</w:t>
      </w:r>
      <w:r w:rsidR="00774AE0">
        <w:rPr>
          <w:noProof/>
        </w:rPr>
        <w:t>,</w:t>
      </w:r>
      <w:r w:rsidR="0091047C" w:rsidRPr="0091047C">
        <w:rPr>
          <w:noProof/>
        </w:rPr>
        <w:t xml:space="preserve"> 2001)</w:t>
      </w:r>
      <w:r>
        <w:fldChar w:fldCharType="end"/>
      </w:r>
      <w:r>
        <w:t>, ecological indexes</w:t>
      </w:r>
      <w:r w:rsidR="00942E71">
        <w:t xml:space="preserve"> </w:t>
      </w:r>
      <w:r>
        <w:fldChar w:fldCharType="begin" w:fldLock="1"/>
      </w:r>
      <w:r w:rsidR="006D5BE1">
        <w:instrText>ADDIN CSL_CITATION {"citationItems":[{"id":"ITEM-1","itemData":{"DOI":"10.1021/es702441r","ISSN":"0013936X","PMID":"18605586","abstract":"A procedure was developed for the quantitative assessment of key performance indicators suitable for the sustainability analysis of alternative processes, mainly addressing the early stages of process design. The methodology was based on the calculation of a set of normalized impact indices allowing a direct comparison of the additional burden of each process alternative on a selected reference area. Innovative reference criteria were developed to compare and aggregate the impact indicators on the basis of the site-specific impact burden and sustainability policy. An aggregation procedure also allows the calculation of overall sustainability performance indicators and of an \"impact fingerprint\" of each process alternative. The final aim of the method is to support the decision making process during process development, providing a straightforward assessment of the expected sustainability performances. The application of the methodology to case studies concerning alternative waste disposal processes allowed a preliminary screening of the expected critical sustainability impacts of each process. The methodology was shown to provide useful results to address sustainability issues in the early stages of process design. © 2008 American Chemical Society.","author":[{"dropping-particle":"","family":"Tugnoli","given":"Alessandro","non-dropping-particle":"","parse-names":false,"suffix":""},{"dropping-particle":"","family":"Santarelli","given":"Francesco","non-dropping-particle":"","parse-names":false,"suffix":""},{"dropping-particle":"","family":"Cozzani","given":"Valerio","non-dropping-particle":"","parse-names":false,"suffix":""}],"container-title":"Environmental Science and Technology","id":"ITEM-1","issue":"12","issued":{"date-parts":[["2008"]]},"page":"4555-4562","title":"An approach to quantitative sustainability assessment in the early stages of process design","type":"article-journal","volume":"42"},"uris":["http://www.mendeley.com/documents/?uuid=03417fba-1e19-4963-accb-28a3a9b7afb8"]}],"mendeley":{"formattedCitation":"(Tugnoli, Santarelli, and Cozzani 2008)","manualFormatting":"(Tugnoli et al., 2008)","plainTextFormattedCitation":"(Tugnoli, Santarelli, and Cozzani 2008)","previouslyFormattedCitation":"(Tugnoli, Santarelli, and Cozzani 2008)"},"properties":{"noteIndex":0},"schema":"https://github.com/citation-style-language/schema/raw/master/csl-citation.json"}</w:instrText>
      </w:r>
      <w:r>
        <w:fldChar w:fldCharType="separate"/>
      </w:r>
      <w:r w:rsidR="0091047C" w:rsidRPr="0091047C">
        <w:rPr>
          <w:noProof/>
        </w:rPr>
        <w:t xml:space="preserve">(Tugnoli </w:t>
      </w:r>
      <w:r w:rsidR="006D5BE1">
        <w:rPr>
          <w:noProof/>
        </w:rPr>
        <w:t>et al.,</w:t>
      </w:r>
      <w:r w:rsidR="0091047C" w:rsidRPr="0091047C">
        <w:rPr>
          <w:noProof/>
        </w:rPr>
        <w:t xml:space="preserve"> 2008)</w:t>
      </w:r>
      <w:r>
        <w:fldChar w:fldCharType="end"/>
      </w:r>
      <w:r>
        <w:t>, and combinations of indicators</w:t>
      </w:r>
      <w:r w:rsidR="00942E71">
        <w:t xml:space="preserve"> </w:t>
      </w:r>
      <w:r>
        <w:fldChar w:fldCharType="begin" w:fldLock="1"/>
      </w:r>
      <w:r w:rsidR="0014320F">
        <w:instrText>ADDIN CSL_CITATION {"citationItems":[{"id":"ITEM-1","itemData":{"DOI":"10.1007/s11367-016-1246-y","ISSN":"16147502","abstract":"Purpose: Life cycle impact assessment (LCIA) translates emissions and resource extractions into a limited number of environmental impact scores by means of so-called characterisation factors. There are two mainstream ways to derive characterisation factors, i.e. at midpoint level and at endpoint level. To further progress LCIA method development, we updated the ReCiPe2008 method to its version of 2016. This paper provides an overview of the key elements of the ReCiPe2016 method. Methods: We implemented human health, ecosystem quality and resource scarcity as three areas of protection. Endpoint characterisation factors, directly related to the areas of protection, were derived from midpoint characterisation factors with a constant mid-to-endpoint factor per impact category. We included 17 midpoint impact categories. Results and discussion: The update of ReCiPe provides characterisation factors that are representative for the global scale instead of the European scale, while maintaining the possibility for a number of impact categories to implement characterisation factors at a country and continental scale. We also expanded the number of environmental interventions and added impacts of water use on human health, impacts of water use and climate change on freshwater ecosystems and impacts of water use and tropospheric ozone formation on terrestrial ecosystems as novel damage pathways. Although significant effort has been put into the update of ReCiPe, there is still major improvement potential in the way impact pathways are modelled. Further improvements relate to a regionalisation of more impact categories, moving from local to global species extinction and adding more impact pathways. Conclusions: Life cycle impact assessment is a fast evolving field of research. ReCiPe2016 provides a state-of-the-art method to convert life cycle inventories to a limited number of life cycle impact scores on midpoint and endpoint level.","author":[{"dropping-particle":"","family":"Huijbregts","given":"Mark A.J.","non-dropping-particle":"","parse-names":false,"suffix":""},{"dropping-particle":"","family":"Steinmann","given":"Zoran J.N.","non-dropping-particle":"","parse-names":false,"suffix":""},{"dropping-particle":"","family":"Elshout","given":"Pieter M.F.","non-dropping-particle":"","parse-names":false,"suffix":""},{"dropping-particle":"","family":"Stam","given":"Gea","non-dropping-particle":"","parse-names":false,"suffix":""},{"dropping-particle":"","family":"Verones","given":"Francesca","non-dropping-particle":"","parse-names":false,"suffix":""},{"dropping-particle":"","family":"Vieira","given":"Marisa","non-dropping-particle":"","parse-names":false,"suffix":""},{"dropping-particle":"","family":"Zijp","given":"Michiel","non-dropping-particle":"","parse-names":false,"suffix":""},{"dropping-particle":"","family":"Hollander","given":"Anne","non-dropping-particle":"","parse-names":false,"suffix":""},{"dropping-particle":"","family":"Zelm","given":"Rosalie","non-dropping-particle":"van","parse-names":false,"suffix":""}],"container-title":"International Journal of Life Cycle Assessment","id":"ITEM-1","issue":"2","issued":{"date-parts":[["2017"]]},"page":"138-147","publisher":"The International Journal of Life Cycle Assessment","title":"ReCiPe2016: a harmonised life cycle impact assessment method at midpoint and endpoint level","type":"article-journal","volume":"22"},"uris":["http://www.mendeley.com/documents/?uuid=a8ce3886-6a5a-4f85-9fe0-9cca0e3b6ee6"]}],"mendeley":{"formattedCitation":"(Huijbregts et al. 2017)","manualFormatting":"(Huijbregts et al., 2017)","plainTextFormattedCitation":"(Huijbregts et al. 2017)","previouslyFormattedCitation":"(Huijbregts et al. 2017)"},"properties":{"noteIndex":0},"schema":"https://github.com/citation-style-language/schema/raw/master/csl-citation.json"}</w:instrText>
      </w:r>
      <w:r>
        <w:fldChar w:fldCharType="separate"/>
      </w:r>
      <w:r w:rsidR="006272E2" w:rsidRPr="006272E2">
        <w:rPr>
          <w:noProof/>
        </w:rPr>
        <w:t>(Huijbregts et al.</w:t>
      </w:r>
      <w:r w:rsidR="00C52C99">
        <w:rPr>
          <w:noProof/>
        </w:rPr>
        <w:t>,</w:t>
      </w:r>
      <w:r w:rsidR="006272E2" w:rsidRPr="006272E2">
        <w:rPr>
          <w:noProof/>
        </w:rPr>
        <w:t xml:space="preserve"> 2017)</w:t>
      </w:r>
      <w:r>
        <w:fldChar w:fldCharType="end"/>
      </w:r>
      <w:r>
        <w:t xml:space="preserve"> were proposed. These metrics </w:t>
      </w:r>
      <w:r w:rsidR="00942E71">
        <w:t xml:space="preserve">were </w:t>
      </w:r>
      <w:r w:rsidR="00DF441B">
        <w:t>adopted</w:t>
      </w:r>
      <w:r w:rsidR="00942E71">
        <w:t xml:space="preserve"> for </w:t>
      </w:r>
      <w:r>
        <w:t>application in the assessment of several kind of chemical and petrochemical processes and technologies</w:t>
      </w:r>
      <w:r w:rsidR="00042EB9">
        <w:t xml:space="preserve">. </w:t>
      </w:r>
      <w:r w:rsidR="00942E71" w:rsidRPr="00083D8E">
        <w:rPr>
          <w:szCs w:val="24"/>
          <w:lang w:val="en-US"/>
        </w:rPr>
        <w:t xml:space="preserve">However, the </w:t>
      </w:r>
      <w:r w:rsidR="00942E71" w:rsidRPr="00083D8E">
        <w:rPr>
          <w:szCs w:val="24"/>
          <w:lang w:val="en-US"/>
        </w:rPr>
        <w:lastRenderedPageBreak/>
        <w:t>use of these tools for process development is still limited in the current practice. Critical points concern the large amount of data required in relations to the timeframe and the limited information available in early design phases, the identification of a specific but yet complete set of indicators for the assessment, and the absence of tools specifically tailored to the required application needs (e.g. specific phase of the design lifecycle and industrial sector).</w:t>
      </w:r>
    </w:p>
    <w:p w14:paraId="51FB1985" w14:textId="7352DC32" w:rsidR="00CC4568" w:rsidRPr="00154BFC" w:rsidRDefault="00203AD5" w:rsidP="00203AD5">
      <w:pPr>
        <w:rPr>
          <w:lang w:val="en-US"/>
        </w:rPr>
      </w:pPr>
      <w:r>
        <w:t xml:space="preserve">Considering, for example, the case of polypropylene production (a sector currently producing worldwide 130 Mt/y of polypropylene with a growth forecast of 192 Mt/y for 2030 </w:t>
      </w:r>
      <w:r>
        <w:fldChar w:fldCharType="begin" w:fldLock="1"/>
      </w:r>
      <w:r>
        <w:instrText>ADDIN CSL_CITATION {"citationItems":[{"id":"ITEM-1","itemData":{"author":[{"dropping-particle":"","family":"Lucía Fernández","given":"","non-dropping-particle":"","parse-names":false,"suffix":""}],"container-title":"Statistica","id":"ITEM-1","issued":{"date-parts":[["2021"]]},"title":"Global production capacity of propylene 2018-2030","type":"article-journal"},"uris":["http://www.mendeley.com/documents/?uuid=cc09c36d-1ec6-4059-962b-223286411255"]}],"mendeley":{"formattedCitation":"(Lucía Fernández 2021)","manualFormatting":"(Lucía Fernández, 2021)","plainTextFormattedCitation":"(Lucía Fernández 2021)","previouslyFormattedCitation":"(Lucía Fernández 2021)"},"properties":{"noteIndex":0},"schema":"https://github.com/citation-style-language/schema/raw/master/csl-citation.json"}</w:instrText>
      </w:r>
      <w:r>
        <w:fldChar w:fldCharType="separate"/>
      </w:r>
      <w:r w:rsidRPr="00E04AB4">
        <w:rPr>
          <w:noProof/>
        </w:rPr>
        <w:t>(Fernández</w:t>
      </w:r>
      <w:r>
        <w:rPr>
          <w:noProof/>
        </w:rPr>
        <w:t>,</w:t>
      </w:r>
      <w:r w:rsidRPr="00E04AB4">
        <w:rPr>
          <w:noProof/>
        </w:rPr>
        <w:t xml:space="preserve"> 2021)</w:t>
      </w:r>
      <w:r>
        <w:fldChar w:fldCharType="end"/>
      </w:r>
      <w:r w:rsidR="00C73B8A">
        <w:t>)</w:t>
      </w:r>
      <w:r>
        <w:t xml:space="preserve">, a literature </w:t>
      </w:r>
      <w:r w:rsidR="002E0465">
        <w:t>review</w:t>
      </w:r>
      <w:r>
        <w:t xml:space="preserve"> reveals that no approach specifically designed for </w:t>
      </w:r>
      <w:r w:rsidR="00042EB9">
        <w:t xml:space="preserve">environmental impacts of alternative technologies </w:t>
      </w:r>
      <w:r>
        <w:t>during early design phases is proposed. Applicable c</w:t>
      </w:r>
      <w:r w:rsidR="00042EB9">
        <w:t>urrent l</w:t>
      </w:r>
      <w:r w:rsidR="00042EB9" w:rsidRPr="006D5BE1">
        <w:t xml:space="preserve">iterature on process analysis focuses mainly on technical and efficiency issues </w:t>
      </w:r>
      <w:r w:rsidR="00042EB9" w:rsidRPr="006D5BE1">
        <w:fldChar w:fldCharType="begin" w:fldLock="1"/>
      </w:r>
      <w:r w:rsidR="0064230E">
        <w:rPr>
          <w:noProof/>
          <w:vertAlign w:val="superscript"/>
        </w:rPr>
        <w:instrText>ADDIN CSL_CITATION {"citationItems":[{"id":"ITEM-1","itemData":{"DOI":"10.1016/j.ces.2010.02.014","ISSN":"00092509","abstract":"In the present study, a comprehensive mathematical model is developed to simulate the dynamic behaviour of an industrial slurry-phase olefin catalytic polymerization loop reactor series. More specifically, the effects of various operating conditions on the dynamic reactor behaviour (i.e., reaction temperature and pressure, inflow rates of catalyst, monomers and diluent, etc.) as well as the on the molecular and rheological polyolefin properties (i.e., Mn, Mw, MWD, complex viscosity, etc.) are fully assessed. According to the proposed modeling approach, each loop reactor (i.e., consisting of the loop reactor and the settling legs) is modeled as an ideal CSTR in series with a semi-continuous product removal unit. Dynamic macroscopic mass species and energy balances are derived to calculate the dynamic evolution of the concentrations of the various molecular species as well as of temperature profiles and heat removal in the two loop reactors. The polymer molecular properties (i.e., number- and weight-average molecular weights and molecular weight distribution) are determined by employing a generalized multi-site, Ziegler-Natta (Z-N) kinetic scheme in conjunction with the well-known method of moments. All the thermodynamic calculations, regarding the equilibrium species concentration in the various phases (i.e., solids and liquid), are carried out using the Sanchez-Lacombe Equation of State (S-L EOS). It is shown that the proposed comprehensive model is capable of simulating the dynamic operation of an industrial slurry-phase cascade-loop reactor series under different plant operating policies (i.e., start-up, grade transition, etc.). © 2010 Elsevier Ltd. All rights reserved.","author":[{"dropping-particle":"","family":"Touloupides","given":"V.","non-dropping-particle":"","parse-names":false,"suffix":""},{"dropping-particle":"","family":"Kanellopoulos","given":"V.","non-dropping-particle":"","parse-names":false,"suffix":""},{"dropping-particle":"","family":"Pladis","given":"P.","non-dropping-particle":"","parse-names":false,"suffix":""},{"dropping-particle":"","family":"Kiparissides","given":"C.","non-dropping-particle":"","parse-names":false,"suffix":""},{"dropping-particle":"","family":"Mignon","given":"D.","non-dropping-particle":"","parse-names":false,"suffix":""},{"dropping-particle":"","family":"Van-Grambezen","given":"P.","non-dropping-particle":"","parse-names":false,"suffix":""}],"container-title":"Chemical Engineering Science","id":"ITEM-1","issue":"10","issued":{"date-parts":[["2010"]]},"page":"3208-3222","publisher":"Elsevier","title":"Modeling and simulation of an industrial slurry-phase catalytic olefin polymerization reactor series","type":"article-journal","volume":"65"},"uris":["http://www.mendeley.com/documents/?uuid=4d0ff793-ab1c-4fd7-a28a-577349100bdd"]}],"mendeley":{"formattedCitation":"(Touloupides et al. 2010)","manualFormatting":"(Touloupides et al., 2010)","plainTextFormattedCitation":"(Touloupides et al. 2010)","previouslyFormattedCitation":"(Touloupides et al. 2010)"},"properties":{"noteIndex":0},"schema":"https://github.com/citation-style-language/schema/raw/master/csl-citation.json"}</w:instrText>
      </w:r>
      <w:r w:rsidR="00042EB9" w:rsidRPr="006D5BE1">
        <w:fldChar w:fldCharType="separate"/>
      </w:r>
      <w:r w:rsidR="00042EB9" w:rsidRPr="006D5BE1">
        <w:rPr>
          <w:noProof/>
        </w:rPr>
        <w:t>(Touloupides et al.</w:t>
      </w:r>
      <w:r w:rsidR="00BD262E">
        <w:rPr>
          <w:noProof/>
        </w:rPr>
        <w:t>,</w:t>
      </w:r>
      <w:r w:rsidR="00042EB9" w:rsidRPr="006D5BE1">
        <w:rPr>
          <w:noProof/>
        </w:rPr>
        <w:t xml:space="preserve"> 2010)</w:t>
      </w:r>
      <w:r w:rsidR="00042EB9" w:rsidRPr="006D5BE1">
        <w:fldChar w:fldCharType="end"/>
      </w:r>
      <w:r w:rsidR="00042EB9" w:rsidRPr="006D5BE1">
        <w:t xml:space="preserve"> </w:t>
      </w:r>
      <w:r w:rsidR="006D5BE1" w:rsidRPr="006D5BE1">
        <w:t xml:space="preserve">or </w:t>
      </w:r>
      <w:r w:rsidR="00042EB9" w:rsidRPr="006D5BE1">
        <w:t>studied</w:t>
      </w:r>
      <w:r w:rsidR="006D5BE1" w:rsidRPr="006D5BE1">
        <w:t xml:space="preserve"> </w:t>
      </w:r>
      <w:r w:rsidR="005D7300">
        <w:t xml:space="preserve">quality </w:t>
      </w:r>
      <w:r w:rsidR="002E0465">
        <w:t>control</w:t>
      </w:r>
      <w:r w:rsidR="005D7300">
        <w:t xml:space="preserve"> mechanism</w:t>
      </w:r>
      <w:r w:rsidR="00042EB9" w:rsidRPr="006D5BE1">
        <w:t xml:space="preserve"> </w:t>
      </w:r>
      <w:r w:rsidR="00042EB9" w:rsidRPr="006D5BE1">
        <w:fldChar w:fldCharType="begin" w:fldLock="1"/>
      </w:r>
      <w:r w:rsidR="00225719">
        <w:rPr>
          <w:vertAlign w:val="superscript"/>
        </w:rPr>
        <w:instrText>ADDIN CSL_CITATION {"citationItems":[{"id":"ITEM-1","itemData":{"DOI":"10.1016/S0959-1524(99)00042-6","ISSN":"09591524","abstract":"For the polymer production industries, the competitive edge will come from the technology that excels in controlling the polymer properties in a consistent way over the entire plant and in maximizing the production performance while keeping safety regulations. Based on the experience in applying advanced process control and scheduling schemes to industrial polyolefin polymerization plants, the state of the art in quality control systems for providing the polymer production plant with an enlarged capacity for product discrimination and flexibility is reviewed. On-line soft-sensing and optimal grade changeover control problems are the main focus of this paper. A quality control system for polymer production plants, which integrates optimal control with on-line sensing and scheduling techniques, is discussed making reference to an application of a prototype system to an industrial plant.","author":[{"dropping-particle":"","family":"Ohshima","given":"Masahiro","non-dropping-particle":"","parse-names":false,"suffix":""},{"dropping-particle":"","family":"Tanigaki","given":"Masataka","non-dropping-particle":"","parse-names":false,"suffix":""}],"container-title":"Journal of Process Control","id":"ITEM-1","issue":"2","issued":{"date-parts":[["2000"]]},"page":"135-148","title":"Quality control of polymer production processes","type":"article-journal","volume":"10"},"uris":["http://www.mendeley.com/documents/?uuid=dc00e22a-c71d-4bfe-8328-f4ebc25802f6"]}],"mendeley":{"formattedCitation":"(Ohshima and Tanigaki 2000)","manualFormatting":"(Ohshima and Tanigaki, 2000)","plainTextFormattedCitation":"(Ohshima and Tanigaki 2000)","previouslyFormattedCitation":"(Ohshima and Tanigaki 2000)"},"properties":{"noteIndex":0},"schema":"https://github.com/citation-style-language/schema/raw/master/csl-citation.json"}</w:instrText>
      </w:r>
      <w:r w:rsidR="00042EB9" w:rsidRPr="006D5BE1">
        <w:fldChar w:fldCharType="separate"/>
      </w:r>
      <w:r w:rsidR="00042EB9" w:rsidRPr="006D5BE1">
        <w:rPr>
          <w:noProof/>
        </w:rPr>
        <w:t>(Ohshima and Tanigaki</w:t>
      </w:r>
      <w:r w:rsidR="00225719">
        <w:rPr>
          <w:noProof/>
        </w:rPr>
        <w:t>,</w:t>
      </w:r>
      <w:r w:rsidR="00042EB9" w:rsidRPr="006D5BE1">
        <w:rPr>
          <w:noProof/>
        </w:rPr>
        <w:t xml:space="preserve"> 2000)</w:t>
      </w:r>
      <w:r w:rsidR="00042EB9" w:rsidRPr="006D5BE1">
        <w:fldChar w:fldCharType="end"/>
      </w:r>
      <w:r w:rsidR="006D5BE1">
        <w:t xml:space="preserve">. </w:t>
      </w:r>
      <w:r w:rsidR="00CC4568">
        <w:t>Life</w:t>
      </w:r>
      <w:r w:rsidR="00774AE0">
        <w:t xml:space="preserve"> C</w:t>
      </w:r>
      <w:r w:rsidR="00CC4568">
        <w:t>y</w:t>
      </w:r>
      <w:r w:rsidR="00774AE0">
        <w:t>c</w:t>
      </w:r>
      <w:r w:rsidR="00CC4568">
        <w:t>le</w:t>
      </w:r>
      <w:r w:rsidR="00774AE0">
        <w:t xml:space="preserve"> Assessment (LCA)</w:t>
      </w:r>
      <w:r w:rsidR="00CC4568">
        <w:t xml:space="preserve"> studies on polypropylene, like the one published </w:t>
      </w:r>
      <w:r w:rsidR="00CC4568" w:rsidRPr="00FF252D">
        <w:rPr>
          <w:lang w:val="en-US"/>
        </w:rPr>
        <w:t xml:space="preserve">periodically by </w:t>
      </w:r>
      <w:r w:rsidR="00CC4568" w:rsidRPr="00FF252D">
        <w:rPr>
          <w:noProof/>
          <w:lang w:val="en-US"/>
        </w:rPr>
        <w:t>PlasticsEurope</w:t>
      </w:r>
      <w:r w:rsidR="00CC4568" w:rsidRPr="00FF252D">
        <w:rPr>
          <w:lang w:val="en-US"/>
        </w:rPr>
        <w:t xml:space="preserve"> </w:t>
      </w:r>
      <w:r w:rsidR="00CC4568" w:rsidRPr="00FF252D">
        <w:rPr>
          <w:lang w:val="en-US"/>
        </w:rPr>
        <w:fldChar w:fldCharType="begin" w:fldLock="1"/>
      </w:r>
      <w:r w:rsidR="0014320F">
        <w:rPr>
          <w:lang w:val="en-US"/>
        </w:rPr>
        <w:instrText>ADDIN CSL_CITATION {"citationItems":[{"id":"ITEM-1","itemData":{"author":[{"dropping-particle":"","family":"PlasticsEurope AISBL","given":"","non-dropping-particle":"","parse-names":false,"suffix":""}],"container-title":"Eco-profiles and Environmental Product Declarations of the European Plastics Manufacturers","id":"ITEM-1","issue":"December","issued":{"date-parts":[["2016"]]},"number-of-pages":"45","title":"Polypropylene (PP) resin Eco-profile","type":"report"},"uris":["http://www.mendeley.com/documents/?uuid=b47f85b7-320e-48d9-a507-9fddc124c0ab"]}],"mendeley":{"formattedCitation":"(PlasticsEurope AISBL 2016)","manualFormatting":"(PlasticsEurope AISBL, 2016)","plainTextFormattedCitation":"(PlasticsEurope AISBL 2016)","previouslyFormattedCitation":"(PlasticsEurope AISBL 2016)"},"properties":{"noteIndex":0},"schema":"https://github.com/citation-style-language/schema/raw/master/csl-citation.json"}</w:instrText>
      </w:r>
      <w:r w:rsidR="00CC4568" w:rsidRPr="00FF252D">
        <w:rPr>
          <w:lang w:val="en-US"/>
        </w:rPr>
        <w:fldChar w:fldCharType="separate"/>
      </w:r>
      <w:r w:rsidR="006272E2" w:rsidRPr="00FF252D">
        <w:rPr>
          <w:noProof/>
          <w:lang w:val="en-US"/>
        </w:rPr>
        <w:t>(PlasticsEurope</w:t>
      </w:r>
      <w:r w:rsidR="00225719">
        <w:rPr>
          <w:noProof/>
          <w:lang w:val="en-US"/>
        </w:rPr>
        <w:t>,</w:t>
      </w:r>
      <w:r w:rsidR="006272E2" w:rsidRPr="00FF252D">
        <w:rPr>
          <w:noProof/>
          <w:lang w:val="en-US"/>
        </w:rPr>
        <w:t xml:space="preserve"> 2016)</w:t>
      </w:r>
      <w:r w:rsidR="00CC4568" w:rsidRPr="00FF252D">
        <w:rPr>
          <w:lang w:val="en-US"/>
        </w:rPr>
        <w:fldChar w:fldCharType="end"/>
      </w:r>
      <w:r w:rsidR="00CC4568" w:rsidRPr="00FF252D">
        <w:rPr>
          <w:lang w:val="en-US"/>
        </w:rPr>
        <w:t xml:space="preserve">, lack of the detail needed to discriminate the effect of process design choices, and focus mainly on factors as nature of raw materials and polymer waste recycling. Moreover, the </w:t>
      </w:r>
      <w:r w:rsidR="00CC4568" w:rsidRPr="00FF252D">
        <w:t>metrics used in these LCA studied are not directly suitable for application as design support tools in polymerization process development. In facts, LCA metrics are suited to the analysis of the whole environmental performance of the lifecycle system, which is only one of the aspects of concern in process design: they are not, alone, able to analyse the way energy and material are used within the specific process sections and the margins of improvement still available, given the physical (e.g. thermodynamics) constraints, which would require different metrics (e.g. exergy analysis).</w:t>
      </w:r>
      <w:r w:rsidR="00154BFC">
        <w:t xml:space="preserve"> </w:t>
      </w:r>
    </w:p>
    <w:p w14:paraId="0BAA967A" w14:textId="516528FD" w:rsidR="00A04030" w:rsidRDefault="00B679EE" w:rsidP="00E13C57">
      <w:pPr>
        <w:tabs>
          <w:tab w:val="left" w:pos="1485"/>
        </w:tabs>
        <w:rPr>
          <w:lang w:val="en-US"/>
        </w:rPr>
      </w:pPr>
      <w:r>
        <w:rPr>
          <w:lang w:val="en-US"/>
        </w:rPr>
        <w:t xml:space="preserve">In this context, </w:t>
      </w:r>
      <w:r w:rsidR="00273C4B">
        <w:rPr>
          <w:lang w:val="en-US"/>
        </w:rPr>
        <w:t>the presented</w:t>
      </w:r>
      <w:r w:rsidR="004B7E0E">
        <w:rPr>
          <w:lang w:val="en-US"/>
        </w:rPr>
        <w:t xml:space="preserve"> methodology is developed </w:t>
      </w:r>
      <w:r w:rsidR="00273C4B">
        <w:rPr>
          <w:lang w:val="en-US"/>
        </w:rPr>
        <w:t xml:space="preserve">in a lifecycle perspective supporting </w:t>
      </w:r>
      <w:r w:rsidR="00CC3734">
        <w:rPr>
          <w:lang w:val="en-US"/>
        </w:rPr>
        <w:t>technology</w:t>
      </w:r>
      <w:r w:rsidR="00273C4B">
        <w:rPr>
          <w:lang w:val="en-US"/>
        </w:rPr>
        <w:t xml:space="preserve"> </w:t>
      </w:r>
      <w:r w:rsidR="00B42BCD">
        <w:rPr>
          <w:lang w:val="en-US"/>
        </w:rPr>
        <w:t>design</w:t>
      </w:r>
      <w:r w:rsidR="00273C4B">
        <w:rPr>
          <w:lang w:val="en-US"/>
        </w:rPr>
        <w:t xml:space="preserve"> activities</w:t>
      </w:r>
      <w:r w:rsidR="00A63CBF">
        <w:rPr>
          <w:lang w:val="en-US"/>
        </w:rPr>
        <w:t xml:space="preserve"> of chemical processes</w:t>
      </w:r>
      <w:r w:rsidR="00273C4B">
        <w:rPr>
          <w:lang w:val="en-US"/>
        </w:rPr>
        <w:t xml:space="preserve">. </w:t>
      </w:r>
      <w:r w:rsidR="00ED7B66">
        <w:rPr>
          <w:szCs w:val="24"/>
          <w:lang w:val="en-US"/>
        </w:rPr>
        <w:t xml:space="preserve">The methodology </w:t>
      </w:r>
      <w:r w:rsidR="00C03C0A">
        <w:rPr>
          <w:szCs w:val="24"/>
          <w:lang w:val="en-US"/>
        </w:rPr>
        <w:t xml:space="preserve">is </w:t>
      </w:r>
      <w:r w:rsidR="00C03C0A">
        <w:rPr>
          <w:lang w:val="en-US"/>
        </w:rPr>
        <w:t xml:space="preserve">aimed at the quantification of </w:t>
      </w:r>
      <w:r w:rsidR="00C03C0A">
        <w:rPr>
          <w:szCs w:val="24"/>
          <w:lang w:val="en-US"/>
        </w:rPr>
        <w:t xml:space="preserve">environmental and exergy Key Performance </w:t>
      </w:r>
      <w:r w:rsidR="00C03C0A" w:rsidRPr="00793100">
        <w:rPr>
          <w:szCs w:val="24"/>
          <w:lang w:val="en-US"/>
        </w:rPr>
        <w:t xml:space="preserve">Indicators </w:t>
      </w:r>
      <w:r w:rsidR="00C03C0A" w:rsidRPr="00F209B6">
        <w:rPr>
          <w:szCs w:val="24"/>
          <w:lang w:val="en-US"/>
        </w:rPr>
        <w:t>(KPIs)</w:t>
      </w:r>
      <w:r w:rsidR="00883C07" w:rsidRPr="00793100">
        <w:rPr>
          <w:szCs w:val="24"/>
          <w:lang w:val="en-US"/>
        </w:rPr>
        <w:t xml:space="preserve"> </w:t>
      </w:r>
      <w:r w:rsidR="00C03C0A" w:rsidRPr="00793100">
        <w:rPr>
          <w:szCs w:val="24"/>
          <w:lang w:val="en-US"/>
        </w:rPr>
        <w:t>of</w:t>
      </w:r>
      <w:r w:rsidR="00C03C0A">
        <w:rPr>
          <w:szCs w:val="24"/>
          <w:lang w:val="en-US"/>
        </w:rPr>
        <w:t xml:space="preserve"> a </w:t>
      </w:r>
      <w:r w:rsidR="00A63CBF">
        <w:rPr>
          <w:szCs w:val="24"/>
          <w:lang w:val="en-US"/>
        </w:rPr>
        <w:t>well-defined</w:t>
      </w:r>
      <w:r w:rsidR="00C03C0A">
        <w:rPr>
          <w:szCs w:val="24"/>
          <w:lang w:val="en-US"/>
        </w:rPr>
        <w:t xml:space="preserve"> system. In this perspective, </w:t>
      </w:r>
      <w:r w:rsidR="00E13C57">
        <w:rPr>
          <w:lang w:val="en-US"/>
        </w:rPr>
        <w:t>different scopes for emissions along the lifecycle</w:t>
      </w:r>
      <w:r w:rsidR="006E7C97">
        <w:rPr>
          <w:lang w:val="en-US"/>
        </w:rPr>
        <w:t xml:space="preserve"> of the reference can be adopted.</w:t>
      </w:r>
      <w:r w:rsidR="005032B5">
        <w:rPr>
          <w:lang w:val="en-US"/>
        </w:rPr>
        <w:t xml:space="preserve"> </w:t>
      </w:r>
      <w:r w:rsidR="00CF357C">
        <w:rPr>
          <w:lang w:val="en-US"/>
        </w:rPr>
        <w:t>Reference s</w:t>
      </w:r>
      <w:r w:rsidR="005032B5">
        <w:rPr>
          <w:lang w:val="en-US"/>
        </w:rPr>
        <w:t>ystem includes</w:t>
      </w:r>
      <w:r w:rsidR="00CF357C">
        <w:rPr>
          <w:lang w:val="en-US"/>
        </w:rPr>
        <w:t xml:space="preserve"> a primary process (e.g. polymerization plant) and all the required activities for energy and material supply</w:t>
      </w:r>
      <w:r w:rsidR="004A017D">
        <w:rPr>
          <w:lang w:val="en-US"/>
        </w:rPr>
        <w:t xml:space="preserve"> and waste treatment. </w:t>
      </w:r>
      <w:r w:rsidR="005032B5">
        <w:rPr>
          <w:lang w:val="en-US"/>
        </w:rPr>
        <w:t>A</w:t>
      </w:r>
      <w:r w:rsidR="00E13C57">
        <w:rPr>
          <w:lang w:val="en-US"/>
        </w:rPr>
        <w:t xml:space="preserve">ppropriate level of detail </w:t>
      </w:r>
      <w:r w:rsidR="005032B5">
        <w:rPr>
          <w:lang w:val="en-US"/>
        </w:rPr>
        <w:t xml:space="preserve">is </w:t>
      </w:r>
      <w:r w:rsidR="00AC4BF9">
        <w:rPr>
          <w:lang w:val="en-US"/>
        </w:rPr>
        <w:t>allowed</w:t>
      </w:r>
      <w:r w:rsidR="005032B5">
        <w:rPr>
          <w:lang w:val="en-US"/>
        </w:rPr>
        <w:t xml:space="preserve"> </w:t>
      </w:r>
      <w:r w:rsidR="00E13C57">
        <w:rPr>
          <w:lang w:val="en-US"/>
        </w:rPr>
        <w:t xml:space="preserve">in the </w:t>
      </w:r>
      <w:r w:rsidR="005032B5">
        <w:rPr>
          <w:lang w:val="en-US"/>
        </w:rPr>
        <w:t xml:space="preserve">definition of </w:t>
      </w:r>
      <w:r w:rsidR="001A53E0">
        <w:rPr>
          <w:lang w:val="en-US"/>
        </w:rPr>
        <w:t>required</w:t>
      </w:r>
      <w:r w:rsidR="00E13C57">
        <w:rPr>
          <w:lang w:val="en-US"/>
        </w:rPr>
        <w:t xml:space="preserve"> input data for each contribution considered. In facts, inputs/outputs more closely related to the </w:t>
      </w:r>
      <w:r w:rsidR="00B375CF">
        <w:rPr>
          <w:lang w:val="en-US"/>
        </w:rPr>
        <w:t xml:space="preserve">primary process </w:t>
      </w:r>
      <w:r w:rsidR="00E13C57">
        <w:rPr>
          <w:lang w:val="en-US"/>
        </w:rPr>
        <w:t>design activities were assessed with greater level of detail than environmental pressures originated by lifecycle processes out of the control. Databases of generic average data for these lifecycle processes</w:t>
      </w:r>
      <w:r w:rsidR="00E13C57" w:rsidRPr="001F1AFC">
        <w:rPr>
          <w:lang w:val="en-US"/>
        </w:rPr>
        <w:t xml:space="preserve"> </w:t>
      </w:r>
      <w:r w:rsidR="00E13C57">
        <w:rPr>
          <w:lang w:val="en-US"/>
        </w:rPr>
        <w:t xml:space="preserve">were developed to support the final user. Exergy analysis is implemented alongside the use of environmental indicators, with the aim to pinpoint the sources of stronger inefficiencies in the use of energy and the opportunities of improvement. </w:t>
      </w:r>
      <w:r w:rsidR="00E13C57" w:rsidRPr="00B21D35">
        <w:rPr>
          <w:lang w:val="en-US"/>
        </w:rPr>
        <w:t xml:space="preserve">The </w:t>
      </w:r>
      <w:r w:rsidR="00E13C57">
        <w:rPr>
          <w:lang w:val="en-US"/>
        </w:rPr>
        <w:t xml:space="preserve">development of a process flow diagram for a </w:t>
      </w:r>
      <w:r w:rsidR="00E13C57" w:rsidRPr="00B21D35">
        <w:rPr>
          <w:lang w:val="en-US"/>
        </w:rPr>
        <w:t>polypropylene production</w:t>
      </w:r>
      <w:r w:rsidR="00E13C57">
        <w:rPr>
          <w:lang w:val="en-US"/>
        </w:rPr>
        <w:t xml:space="preserve"> plant was used for demonstration of the </w:t>
      </w:r>
      <w:r w:rsidR="00E13C57" w:rsidRPr="00B21D35">
        <w:rPr>
          <w:lang w:val="en-US"/>
        </w:rPr>
        <w:t>proposed methodology</w:t>
      </w:r>
      <w:r w:rsidR="00E13C57">
        <w:rPr>
          <w:lang w:val="en-US"/>
        </w:rPr>
        <w:t>, proving the applicability and the typical outcomes.</w:t>
      </w:r>
    </w:p>
    <w:p w14:paraId="19C4FC68" w14:textId="67FAF763" w:rsidR="004628D2" w:rsidRPr="00100BF7" w:rsidRDefault="00402C10" w:rsidP="00BB105A">
      <w:pPr>
        <w:pStyle w:val="CETHeading1"/>
      </w:pPr>
      <w:r w:rsidRPr="00100BF7">
        <w:t>Methodology</w:t>
      </w:r>
    </w:p>
    <w:p w14:paraId="21F182C8" w14:textId="4A2B7B78" w:rsidR="00402C10" w:rsidRDefault="00D70222" w:rsidP="009D22DB">
      <w:pPr>
        <w:pStyle w:val="CETheadingx"/>
      </w:pPr>
      <w:r>
        <w:t>General overview of the method</w:t>
      </w:r>
      <w:r w:rsidR="00402C10">
        <w:t xml:space="preserve"> </w:t>
      </w:r>
    </w:p>
    <w:p w14:paraId="3AC26639" w14:textId="3D134792" w:rsidR="00C318D8" w:rsidRDefault="00D70222" w:rsidP="00C318D8">
      <w:pPr>
        <w:pStyle w:val="CETBodytext"/>
      </w:pPr>
      <w:r>
        <w:t xml:space="preserve">The developed methodology is specifically aimed at the quantification of environmental </w:t>
      </w:r>
      <w:r w:rsidR="007E4BC0">
        <w:t xml:space="preserve">impacts </w:t>
      </w:r>
      <w:r w:rsidR="00141D83">
        <w:t>and energy efficiency</w:t>
      </w:r>
      <w:r w:rsidR="007E4BC0">
        <w:t xml:space="preserve"> indicators</w:t>
      </w:r>
      <w:r w:rsidR="00C318D8">
        <w:t xml:space="preserve"> to be used for supporting </w:t>
      </w:r>
      <w:r w:rsidR="00774AE0">
        <w:t>Front</w:t>
      </w:r>
      <w:r w:rsidR="00586514">
        <w:t xml:space="preserve"> </w:t>
      </w:r>
      <w:r w:rsidR="00774AE0">
        <w:t>End Engineering Design (</w:t>
      </w:r>
      <w:r w:rsidR="00C318D8">
        <w:t>FEED</w:t>
      </w:r>
      <w:r w:rsidR="00774AE0">
        <w:t>)</w:t>
      </w:r>
      <w:r w:rsidR="00C318D8">
        <w:t xml:space="preserve"> activities of chemical industries, with particular attention to polyole</w:t>
      </w:r>
      <w:r w:rsidR="00B9460C">
        <w:t>fin</w:t>
      </w:r>
      <w:r w:rsidR="00C318D8">
        <w:t xml:space="preserve"> polymerization processes. In particular the method supports the evaluation of the sustainability profile of a process scheme, the identification of critical points of improvement, the screening design of alternatives and the prediction of the operative impacts. The approach implements the concept of Life Cycle Thinking at different levels to compute indicators as a function of chemical processes input and output.</w:t>
      </w:r>
    </w:p>
    <w:p w14:paraId="421D5739" w14:textId="264AD56C" w:rsidR="00C318D8" w:rsidRDefault="00C318D8" w:rsidP="00D70222">
      <w:pPr>
        <w:pStyle w:val="CETBodytext"/>
      </w:pPr>
      <w:r>
        <w:t xml:space="preserve">The process object of the design </w:t>
      </w:r>
      <w:r w:rsidR="007E4BC0">
        <w:t xml:space="preserve">is assumed as </w:t>
      </w:r>
      <w:r w:rsidR="00383C63" w:rsidRPr="007E4BC0">
        <w:rPr>
          <w:i/>
          <w:iCs/>
        </w:rPr>
        <w:t>Primary process</w:t>
      </w:r>
      <w:r w:rsidR="00383C63">
        <w:t xml:space="preserve"> </w:t>
      </w:r>
      <w:r w:rsidR="007E4BC0">
        <w:t>of the assessment</w:t>
      </w:r>
      <w:r w:rsidR="00841070">
        <w:t xml:space="preserve">. </w:t>
      </w:r>
      <w:r w:rsidR="00282D46">
        <w:t>A</w:t>
      </w:r>
      <w:r w:rsidR="002650F6">
        <w:t xml:space="preserve">uxiliary </w:t>
      </w:r>
      <w:r w:rsidR="009C5BFB">
        <w:t>technolog</w:t>
      </w:r>
      <w:r w:rsidR="004A66C4">
        <w:t>ies</w:t>
      </w:r>
      <w:r w:rsidR="00383C63">
        <w:t xml:space="preserve"> (</w:t>
      </w:r>
      <w:r w:rsidR="00383C63" w:rsidRPr="000E207A">
        <w:rPr>
          <w:i/>
          <w:iCs/>
        </w:rPr>
        <w:t>Background processes</w:t>
      </w:r>
      <w:r w:rsidR="00383C63">
        <w:t>)</w:t>
      </w:r>
      <w:r w:rsidR="00282D46">
        <w:t xml:space="preserve"> are required for raw material and energy supply</w:t>
      </w:r>
      <w:r>
        <w:t xml:space="preserve">: these are generally out of the scope of design, but must be included in the analysis as they affect the overall environmental performance of the system (i.e. </w:t>
      </w:r>
      <w:r w:rsidR="002E0465">
        <w:t>Lifecyle</w:t>
      </w:r>
      <w:r>
        <w:t xml:space="preserve"> perspective).</w:t>
      </w:r>
    </w:p>
    <w:p w14:paraId="14E37F4B" w14:textId="37247AB2" w:rsidR="00BC37BE" w:rsidRPr="00D45DD2" w:rsidRDefault="00D76B9F" w:rsidP="00ED2B0C">
      <w:pPr>
        <w:tabs>
          <w:tab w:val="left" w:pos="1485"/>
        </w:tabs>
        <w:rPr>
          <w:szCs w:val="24"/>
        </w:rPr>
      </w:pPr>
      <w:r>
        <w:t xml:space="preserve">A </w:t>
      </w:r>
      <w:r w:rsidR="00251D04">
        <w:t>certain</w:t>
      </w:r>
      <w:r>
        <w:t xml:space="preserve"> level of detail</w:t>
      </w:r>
      <w:r w:rsidR="00C318D8">
        <w:t xml:space="preserve"> (compatible with the information available in the FEED design phase)</w:t>
      </w:r>
      <w:r>
        <w:t xml:space="preserve"> is required to characterize energy and material consumption of the </w:t>
      </w:r>
      <w:r w:rsidR="00FF252D">
        <w:rPr>
          <w:i/>
          <w:iCs/>
        </w:rPr>
        <w:t>Pr</w:t>
      </w:r>
      <w:r w:rsidRPr="000E207A">
        <w:rPr>
          <w:i/>
          <w:iCs/>
        </w:rPr>
        <w:t>imary process</w:t>
      </w:r>
      <w:r w:rsidR="00B66E89">
        <w:t>.</w:t>
      </w:r>
      <w:r w:rsidR="00180E08">
        <w:t xml:space="preserve"> </w:t>
      </w:r>
      <w:r w:rsidR="00180E08" w:rsidRPr="00FF252D">
        <w:rPr>
          <w:i/>
          <w:iCs/>
        </w:rPr>
        <w:t>B</w:t>
      </w:r>
      <w:r w:rsidR="00B66E89" w:rsidRPr="00FF252D">
        <w:rPr>
          <w:i/>
          <w:iCs/>
        </w:rPr>
        <w:t>ackground processes</w:t>
      </w:r>
      <w:r w:rsidR="00B66E89">
        <w:t xml:space="preserve"> are </w:t>
      </w:r>
      <w:r w:rsidR="00C318D8">
        <w:t>instead out of the control of designer, and generic</w:t>
      </w:r>
      <w:r w:rsidR="00180E08">
        <w:t xml:space="preserve"> </w:t>
      </w:r>
      <w:r w:rsidR="00DB66C6">
        <w:t xml:space="preserve">datasets </w:t>
      </w:r>
      <w:r w:rsidR="00180E08">
        <w:t>that measure</w:t>
      </w:r>
      <w:r w:rsidR="00DB66C6">
        <w:t xml:space="preserve"> </w:t>
      </w:r>
      <w:r w:rsidR="00C318D8">
        <w:t xml:space="preserve">the </w:t>
      </w:r>
      <w:r w:rsidR="00DB66C6">
        <w:t xml:space="preserve">average </w:t>
      </w:r>
      <w:r w:rsidR="00347518">
        <w:t>technolog</w:t>
      </w:r>
      <w:r w:rsidR="00180E08">
        <w:t>ies</w:t>
      </w:r>
      <w:r w:rsidR="00347518">
        <w:t xml:space="preserve"> performance</w:t>
      </w:r>
      <w:r w:rsidR="00C318D8">
        <w:t>s can be used.</w:t>
      </w:r>
      <w:r w:rsidR="003E5171">
        <w:t xml:space="preserve"> </w:t>
      </w:r>
      <w:r w:rsidR="0023461A">
        <w:t xml:space="preserve">Figure 1 briefly illustrates </w:t>
      </w:r>
      <w:r w:rsidR="005B338A">
        <w:t xml:space="preserve">the method scope and boundaries. </w:t>
      </w:r>
      <w:r w:rsidR="00F850F9" w:rsidRPr="003E5171">
        <w:t xml:space="preserve">Background datasets </w:t>
      </w:r>
      <w:r w:rsidR="006F0B35" w:rsidRPr="003E5171">
        <w:t xml:space="preserve">can characterize specific </w:t>
      </w:r>
      <w:r w:rsidR="00F9631C" w:rsidRPr="003E5171">
        <w:t>site-location technology or average performances</w:t>
      </w:r>
      <w:r w:rsidR="002242C4" w:rsidRPr="003E5171">
        <w:t>.</w:t>
      </w:r>
      <w:r w:rsidR="002242C4">
        <w:t xml:space="preserve"> </w:t>
      </w:r>
      <w:r w:rsidR="00464746">
        <w:t xml:space="preserve">In this perspective, a reference unit </w:t>
      </w:r>
      <w:r w:rsidR="004545FE">
        <w:t xml:space="preserve">(e.g. production potentiality) </w:t>
      </w:r>
      <w:r w:rsidR="00464746">
        <w:t xml:space="preserve">is required to </w:t>
      </w:r>
      <w:r w:rsidR="00065C6B">
        <w:t xml:space="preserve">be defined </w:t>
      </w:r>
      <w:r w:rsidR="003407D0">
        <w:t xml:space="preserve">as </w:t>
      </w:r>
      <w:r w:rsidR="004545FE">
        <w:t xml:space="preserve">comparative </w:t>
      </w:r>
      <w:r w:rsidR="00BD22EB">
        <w:t xml:space="preserve">basis for the characterization of </w:t>
      </w:r>
      <w:r w:rsidR="00065C6B">
        <w:t xml:space="preserve">environmental and </w:t>
      </w:r>
      <w:proofErr w:type="spellStart"/>
      <w:r w:rsidR="00065C6B">
        <w:t>exergetic</w:t>
      </w:r>
      <w:proofErr w:type="spellEnd"/>
      <w:r w:rsidR="00065C6B">
        <w:t xml:space="preserve"> performances</w:t>
      </w:r>
      <w:r w:rsidR="00BD22EB">
        <w:t xml:space="preserve"> of the system</w:t>
      </w:r>
      <w:r w:rsidR="00065C6B">
        <w:t xml:space="preserve">. </w:t>
      </w:r>
      <w:r w:rsidR="00EE1633">
        <w:t>Several e</w:t>
      </w:r>
      <w:r w:rsidR="00FD5E34">
        <w:t>nvironmental problematics</w:t>
      </w:r>
      <w:r w:rsidR="00EE1633">
        <w:t xml:space="preserve"> are </w:t>
      </w:r>
      <w:proofErr w:type="spellStart"/>
      <w:r w:rsidR="00EE1633">
        <w:t>analyzed</w:t>
      </w:r>
      <w:proofErr w:type="spellEnd"/>
      <w:r w:rsidR="00FD5E34">
        <w:t xml:space="preserve"> </w:t>
      </w:r>
      <w:r w:rsidR="004545FE">
        <w:t>(</w:t>
      </w:r>
      <w:r w:rsidR="00CD1E4C">
        <w:t>e.g.</w:t>
      </w:r>
      <w:r w:rsidR="004545FE">
        <w:t xml:space="preserve"> </w:t>
      </w:r>
      <w:r w:rsidR="00FE423A">
        <w:t>emissions of toxic substances</w:t>
      </w:r>
      <w:r w:rsidR="004545FE">
        <w:t>,</w:t>
      </w:r>
      <w:r w:rsidR="00AA67A7">
        <w:t xml:space="preserve"> </w:t>
      </w:r>
      <w:proofErr w:type="spellStart"/>
      <w:r w:rsidR="00FE423A" w:rsidRPr="00AA67A7">
        <w:t>g</w:t>
      </w:r>
      <w:r w:rsidR="00812DC0" w:rsidRPr="00AA67A7">
        <w:t>reen house</w:t>
      </w:r>
      <w:proofErr w:type="spellEnd"/>
      <w:r w:rsidR="00812DC0" w:rsidRPr="00AA67A7">
        <w:t xml:space="preserve"> gas</w:t>
      </w:r>
      <w:r w:rsidR="004545FE" w:rsidRPr="00AA67A7">
        <w:t xml:space="preserve"> emissions</w:t>
      </w:r>
      <w:r w:rsidR="00FE423A" w:rsidRPr="00CD1E4C">
        <w:t xml:space="preserve">, </w:t>
      </w:r>
      <w:r w:rsidR="004545FE" w:rsidRPr="00CD1E4C">
        <w:t>depletion of not renewable resources)</w:t>
      </w:r>
      <w:r w:rsidR="00FB5170">
        <w:t xml:space="preserve"> </w:t>
      </w:r>
      <w:r w:rsidR="00FB5170">
        <w:fldChar w:fldCharType="begin" w:fldLock="1"/>
      </w:r>
      <w:r w:rsidR="00FB5170">
        <w:instrText>ADDIN CSL_CITATION {"citationItems":[{"id":"ITEM-1","itemData":{"DOI":"10.1021/es702441r","ISSN":"0013936X","PMID":"18605586","abstract":"A procedure was developed for the quantitative assessment of key performance indicators suitable for the sustainability analysis of alternative processes, mainly addressing the early stages of process design. The methodology was based on the calculation of a set of normalized impact indices allowing a direct comparison of the additional burden of each process alternative on a selected reference area. Innovative reference criteria were developed to compare and aggregate the impact indicators on the basis of the site-specific impact burden and sustainability policy. An aggregation procedure also allows the calculation of overall sustainability performance indicators and of an \"impact fingerprint\" of each process alternative. The final aim of the method is to support the decision making process during process development, providing a straightforward assessment of the expected sustainability performances. The application of the methodology to case studies concerning alternative waste disposal processes allowed a preliminary screening of the expected critical sustainability impacts of each process. The methodology was shown to provide useful results to address sustainability issues in the early stages of process design. © 2008 American Chemical Society.","author":[{"dropping-particle":"","family":"Tugnoli","given":"Alessandro","non-dropping-particle":"","parse-names":false,"suffix":""},{"dropping-particle":"","family":"Santarelli","given":"Francesco","non-dropping-particle":"","parse-names":false,"suffix":""},{"dropping-particle":"","family":"Cozzani","given":"Valerio","non-dropping-particle":"","parse-names":false,"suffix":""}],"container-title":"Environmental Science and Technology","id":"ITEM-1","issue":"12","issued":{"date-parts":[["2008"]]},"page":"4555-4562","title":"An approach to quantitative sustainability assessment in the early stages of process design","type":"article-journal","volume":"42"},"uris":["http://www.mendeley.com/documents/?uuid=03417fba-1e19-4963-accb-28a3a9b7afb8"]}],"mendeley":{"formattedCitation":"(Tugnoli, Santarelli, and Cozzani 2008)","manualFormatting":"(Tugnoli et al., 2008)","plainTextFormattedCitation":"(Tugnoli, Santarelli, and Cozzani 2008)","previouslyFormattedCitation":"(Tugnoli, Santarelli, and Cozzani 2008)"},"properties":{"noteIndex":0},"schema":"https://github.com/citation-style-language/schema/raw/master/csl-citation.json"}</w:instrText>
      </w:r>
      <w:r w:rsidR="00FB5170">
        <w:fldChar w:fldCharType="separate"/>
      </w:r>
      <w:r w:rsidR="00FB5170" w:rsidRPr="0091047C">
        <w:rPr>
          <w:noProof/>
        </w:rPr>
        <w:t xml:space="preserve">(Tugnoli </w:t>
      </w:r>
      <w:r w:rsidR="00FB5170">
        <w:rPr>
          <w:noProof/>
        </w:rPr>
        <w:t>et al.,</w:t>
      </w:r>
      <w:r w:rsidR="00FB5170" w:rsidRPr="0091047C">
        <w:rPr>
          <w:noProof/>
        </w:rPr>
        <w:t xml:space="preserve"> 20</w:t>
      </w:r>
      <w:r w:rsidR="00FB5170">
        <w:rPr>
          <w:noProof/>
        </w:rPr>
        <w:t>11</w:t>
      </w:r>
      <w:r w:rsidR="00FB5170" w:rsidRPr="0091047C">
        <w:rPr>
          <w:noProof/>
        </w:rPr>
        <w:t>)</w:t>
      </w:r>
      <w:r w:rsidR="00FB5170">
        <w:fldChar w:fldCharType="end"/>
      </w:r>
      <w:r w:rsidR="004545FE" w:rsidRPr="00CD1E4C">
        <w:t>.</w:t>
      </w:r>
      <w:r w:rsidR="00473876" w:rsidRPr="004545FE">
        <w:t xml:space="preserve"> </w:t>
      </w:r>
      <w:r w:rsidR="00056A36" w:rsidRPr="004545FE">
        <w:t>Site s</w:t>
      </w:r>
      <w:r w:rsidR="00056A36">
        <w:t xml:space="preserve">pecific information </w:t>
      </w:r>
      <w:r w:rsidR="004545FE">
        <w:t>about</w:t>
      </w:r>
      <w:r w:rsidR="00056A36">
        <w:t xml:space="preserve"> </w:t>
      </w:r>
      <w:r w:rsidR="00056A36" w:rsidRPr="00FF252D">
        <w:rPr>
          <w:i/>
          <w:iCs/>
        </w:rPr>
        <w:t>Background processes</w:t>
      </w:r>
      <w:r w:rsidR="00056A36">
        <w:rPr>
          <w:i/>
          <w:iCs/>
        </w:rPr>
        <w:t xml:space="preserve"> </w:t>
      </w:r>
      <w:r w:rsidR="00056A36">
        <w:t>allow to generate specific case-study applications</w:t>
      </w:r>
      <w:r w:rsidR="00473876">
        <w:t xml:space="preserve"> of a single </w:t>
      </w:r>
      <w:r w:rsidR="00473876">
        <w:rPr>
          <w:i/>
          <w:iCs/>
        </w:rPr>
        <w:t>Pr</w:t>
      </w:r>
      <w:r w:rsidR="00473876" w:rsidRPr="000E207A">
        <w:rPr>
          <w:i/>
          <w:iCs/>
        </w:rPr>
        <w:t>imary process</w:t>
      </w:r>
      <w:r w:rsidR="00473876">
        <w:rPr>
          <w:i/>
          <w:iCs/>
        </w:rPr>
        <w:t>.</w:t>
      </w:r>
      <w:r w:rsidR="00662ECC">
        <w:rPr>
          <w:i/>
          <w:iCs/>
        </w:rPr>
        <w:t xml:space="preserve"> </w:t>
      </w:r>
      <w:r w:rsidR="00AC38E4">
        <w:t>D</w:t>
      </w:r>
      <w:r w:rsidR="00D94A22">
        <w:t xml:space="preserve">ecision regarding site-location </w:t>
      </w:r>
      <w:r w:rsidR="00AA5969">
        <w:t>and technologies involved in the reference scenario allow to monitor the overall lifecycle perspective of the system</w:t>
      </w:r>
      <w:r w:rsidR="00F03DD4">
        <w:t>.</w:t>
      </w:r>
      <w:r w:rsidR="00486B8B">
        <w:t xml:space="preserve"> </w:t>
      </w:r>
      <w:r w:rsidR="004545FE">
        <w:t>Moreover</w:t>
      </w:r>
      <w:r w:rsidR="00486B8B">
        <w:t xml:space="preserve">, the </w:t>
      </w:r>
      <w:r w:rsidR="00C11DF4">
        <w:t xml:space="preserve">application of exergy balance </w:t>
      </w:r>
      <w:r w:rsidR="00DE414D">
        <w:t xml:space="preserve">to the reference scheme </w:t>
      </w:r>
      <w:r w:rsidR="00F71CE9">
        <w:t xml:space="preserve">allows to </w:t>
      </w:r>
      <w:r w:rsidR="00C63399">
        <w:t xml:space="preserve">evaluate </w:t>
      </w:r>
      <w:r w:rsidR="00F71CE9">
        <w:t xml:space="preserve">the energy management inside the system. </w:t>
      </w:r>
      <w:r w:rsidR="0023187B">
        <w:t xml:space="preserve">Results obtained can </w:t>
      </w:r>
      <w:r w:rsidR="007F4847">
        <w:t xml:space="preserve">highlight </w:t>
      </w:r>
      <w:r w:rsidR="007F4847">
        <w:lastRenderedPageBreak/>
        <w:t>stre</w:t>
      </w:r>
      <w:r w:rsidR="004545FE">
        <w:t>ngt</w:t>
      </w:r>
      <w:r w:rsidR="007F4847">
        <w:t xml:space="preserve">h and weaknesses of process decisions and draw up </w:t>
      </w:r>
      <w:r w:rsidR="004545FE">
        <w:t>guidelines</w:t>
      </w:r>
      <w:r w:rsidR="007F4847">
        <w:t xml:space="preserve"> to </w:t>
      </w:r>
      <w:r w:rsidR="00AB4C8C">
        <w:t>drive design activities</w:t>
      </w:r>
      <w:r w:rsidR="007F4847">
        <w:t>. In this direction, c</w:t>
      </w:r>
      <w:r w:rsidR="00F71CE9">
        <w:t xml:space="preserve">omparative assessment can be carried out </w:t>
      </w:r>
      <w:r w:rsidR="007F4847">
        <w:t xml:space="preserve">and generate </w:t>
      </w:r>
      <w:r w:rsidR="00C64098">
        <w:rPr>
          <w:szCs w:val="24"/>
        </w:rPr>
        <w:t xml:space="preserve">informed </w:t>
      </w:r>
      <w:r w:rsidR="00586514" w:rsidRPr="00772F20">
        <w:rPr>
          <w:szCs w:val="24"/>
        </w:rPr>
        <w:t>trade-offs</w:t>
      </w:r>
      <w:r w:rsidR="00C64098">
        <w:rPr>
          <w:szCs w:val="24"/>
        </w:rPr>
        <w:t xml:space="preserve"> in case of conflicting issues</w:t>
      </w:r>
      <w:r w:rsidR="00C64098" w:rsidRPr="00772F20">
        <w:rPr>
          <w:szCs w:val="24"/>
        </w:rPr>
        <w:t>.</w:t>
      </w:r>
      <w:r w:rsidR="00ED2B0C">
        <w:rPr>
          <w:szCs w:val="24"/>
        </w:rPr>
        <w:t xml:space="preserve"> </w:t>
      </w:r>
      <w:r w:rsidR="00C11DF4">
        <w:t xml:space="preserve">In this perspective, the analysis is </w:t>
      </w:r>
      <w:r w:rsidR="004545FE">
        <w:t>intended</w:t>
      </w:r>
      <w:r w:rsidR="00C11DF4">
        <w:t xml:space="preserve"> to be a support tool for early design activities (e.g. conceptual design of </w:t>
      </w:r>
      <w:r w:rsidR="00C11DF4">
        <w:rPr>
          <w:i/>
          <w:iCs/>
        </w:rPr>
        <w:t>Pr</w:t>
      </w:r>
      <w:r w:rsidR="00C11DF4" w:rsidRPr="000E207A">
        <w:rPr>
          <w:i/>
          <w:iCs/>
        </w:rPr>
        <w:t>imary process</w:t>
      </w:r>
      <w:r w:rsidR="00ED2B0C">
        <w:rPr>
          <w:i/>
          <w:iCs/>
        </w:rPr>
        <w:t xml:space="preserve">, </w:t>
      </w:r>
      <w:r w:rsidR="00ED2B0C" w:rsidRPr="00ED2B0C">
        <w:t>process comparison</w:t>
      </w:r>
      <w:r w:rsidR="00C11DF4">
        <w:rPr>
          <w:i/>
          <w:iCs/>
        </w:rPr>
        <w:t>)</w:t>
      </w:r>
      <w:r w:rsidR="00ED2B0C">
        <w:t>.</w:t>
      </w:r>
    </w:p>
    <w:p w14:paraId="0E7AA151" w14:textId="2EFBAEC8" w:rsidR="00100D0D" w:rsidRDefault="00100D0D" w:rsidP="00D70222">
      <w:pPr>
        <w:pStyle w:val="CETBodytext"/>
      </w:pPr>
    </w:p>
    <w:p w14:paraId="20DCEBB0" w14:textId="77777777" w:rsidR="00BC37BE" w:rsidRDefault="00310E38" w:rsidP="001F3595">
      <w:pPr>
        <w:pStyle w:val="CETBodytext"/>
        <w:keepNext/>
      </w:pPr>
      <w:r>
        <w:rPr>
          <w:noProof/>
        </w:rPr>
        <w:drawing>
          <wp:inline distT="0" distB="0" distL="0" distR="0" wp14:anchorId="0D22AC7E" wp14:editId="6273EF45">
            <wp:extent cx="3048000" cy="150873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65882" cy="1517582"/>
                    </a:xfrm>
                    <a:prstGeom prst="rect">
                      <a:avLst/>
                    </a:prstGeom>
                  </pic:spPr>
                </pic:pic>
              </a:graphicData>
            </a:graphic>
          </wp:inline>
        </w:drawing>
      </w:r>
    </w:p>
    <w:p w14:paraId="2BA79D4D" w14:textId="02E03C53" w:rsidR="004545FE" w:rsidRDefault="00BC37BE" w:rsidP="001F3595">
      <w:pPr>
        <w:pStyle w:val="CETCaption"/>
      </w:pPr>
      <w:r>
        <w:t xml:space="preserve">Figure </w:t>
      </w:r>
      <w:r>
        <w:fldChar w:fldCharType="begin"/>
      </w:r>
      <w:r>
        <w:instrText xml:space="preserve"> SEQ Figure \* ARABIC </w:instrText>
      </w:r>
      <w:r>
        <w:fldChar w:fldCharType="separate"/>
      </w:r>
      <w:r w:rsidR="00285A6F">
        <w:rPr>
          <w:noProof/>
        </w:rPr>
        <w:t>1</w:t>
      </w:r>
      <w:r>
        <w:fldChar w:fldCharType="end"/>
      </w:r>
      <w:r>
        <w:t xml:space="preserve">: </w:t>
      </w:r>
      <w:r w:rsidRPr="00000D8C">
        <w:t>Conceptual definition of scope and boundaries in the application of the proposed method</w:t>
      </w:r>
    </w:p>
    <w:p w14:paraId="5DDB1ADC" w14:textId="6C503C53" w:rsidR="0083073B" w:rsidRDefault="0012301C" w:rsidP="009D22DB">
      <w:pPr>
        <w:pStyle w:val="CETheadingx"/>
      </w:pPr>
      <w:r>
        <w:t>C</w:t>
      </w:r>
      <w:r w:rsidR="0083073B">
        <w:t>alculation</w:t>
      </w:r>
      <w:r>
        <w:t xml:space="preserve"> of environmental indicators</w:t>
      </w:r>
    </w:p>
    <w:p w14:paraId="5BEA4FC8" w14:textId="2846E032" w:rsidR="00723AF0" w:rsidRDefault="007F7051" w:rsidP="003A07E3">
      <w:r>
        <w:t xml:space="preserve">The </w:t>
      </w:r>
      <w:r w:rsidR="0012301C">
        <w:t xml:space="preserve">basic set of environmental indicators to be used in the method is proposed in Table 1. </w:t>
      </w:r>
      <w:r w:rsidR="0012301C" w:rsidRPr="00A65F12">
        <w:t xml:space="preserve">These </w:t>
      </w:r>
      <w:r w:rsidR="0012301C" w:rsidRPr="00723AF0">
        <w:t xml:space="preserve">derive from midpoint indicators typically </w:t>
      </w:r>
      <w:r w:rsidR="00B06FB2">
        <w:t>adopte</w:t>
      </w:r>
      <w:r w:rsidR="0012301C" w:rsidRPr="00723AF0">
        <w:t>d in LCA studies</w:t>
      </w:r>
      <w:r w:rsidR="00A65F12" w:rsidRPr="00A65F12">
        <w:t xml:space="preserve">. </w:t>
      </w:r>
      <w:r w:rsidR="006E6F80">
        <w:t>The basic set of environmental indicators can be adapted in accordance with the specific goal of the considered application.</w:t>
      </w:r>
      <w:r w:rsidR="006E6F80" w:rsidRPr="00A65F12">
        <w:t xml:space="preserve"> </w:t>
      </w:r>
      <w:r w:rsidR="00A65F12" w:rsidRPr="00A65F12">
        <w:t xml:space="preserve">Air, </w:t>
      </w:r>
      <w:r w:rsidR="00960222">
        <w:t>w</w:t>
      </w:r>
      <w:r w:rsidR="00A65F12" w:rsidRPr="00A65F12">
        <w:t xml:space="preserve">ater and solid </w:t>
      </w:r>
      <w:r w:rsidR="00723AF0">
        <w:t xml:space="preserve">can be selected as target </w:t>
      </w:r>
      <w:r w:rsidR="00960222">
        <w:t xml:space="preserve">for environmental analysis. </w:t>
      </w:r>
      <w:r w:rsidR="003A3BFD">
        <w:t>Reference substance</w:t>
      </w:r>
      <w:r w:rsidR="00F0451E">
        <w:t>s</w:t>
      </w:r>
      <w:r w:rsidR="003A3BFD">
        <w:t xml:space="preserve"> </w:t>
      </w:r>
      <w:r w:rsidR="00F0451E">
        <w:t>are</w:t>
      </w:r>
      <w:r w:rsidR="003A3BFD">
        <w:t xml:space="preserve"> adopted to characterize environmental results in </w:t>
      </w:r>
      <w:r w:rsidR="003A3BFD" w:rsidRPr="002C20E6">
        <w:t xml:space="preserve">accordance with LCA </w:t>
      </w:r>
      <w:r w:rsidR="002E0465" w:rsidRPr="002C20E6">
        <w:t>technique</w:t>
      </w:r>
      <w:r w:rsidR="003A3BFD" w:rsidRPr="002C20E6">
        <w:t xml:space="preserve"> </w:t>
      </w:r>
      <w:r w:rsidR="00CE4F3F" w:rsidRPr="002C20E6">
        <w:fldChar w:fldCharType="begin" w:fldLock="1"/>
      </w:r>
      <w:r w:rsidR="00C747E3">
        <w:instrText>ADDIN CSL_CITATION {"citationItems":[{"id":"ITEM-1","itemData":{"author":[{"dropping-particle":"","family":"Standard","given":"International","non-dropping-particle":"","parse-names":false,"suffix":""}],"id":"ITEM-1","issued":{"date-parts":[["2006"]]},"title":"INTERNATIONAL STANDARD Environmental management — Life cycle","type":"article-journal"},"uris":["http://www.mendeley.com/documents/?uuid=016e7db8-7b71-424b-bba1-f05a5775b0e1"]}],"mendeley":{"formattedCitation":"(Standard 2006)","manualFormatting":"(Standard, 2006)","plainTextFormattedCitation":"(Standard 2006)","previouslyFormattedCitation":"(Standard 2006)"},"properties":{"noteIndex":0},"schema":"https://github.com/citation-style-language/schema/raw/master/csl-citation.json"}</w:instrText>
      </w:r>
      <w:r w:rsidR="00CE4F3F" w:rsidRPr="002C20E6">
        <w:fldChar w:fldCharType="separate"/>
      </w:r>
      <w:r w:rsidR="00CE4F3F" w:rsidRPr="002C20E6">
        <w:rPr>
          <w:noProof/>
        </w:rPr>
        <w:t>(</w:t>
      </w:r>
      <w:r w:rsidR="00586514">
        <w:rPr>
          <w:noProof/>
        </w:rPr>
        <w:t>ISO</w:t>
      </w:r>
      <w:r w:rsidR="00C747E3">
        <w:rPr>
          <w:noProof/>
        </w:rPr>
        <w:t>,</w:t>
      </w:r>
      <w:r w:rsidR="00CE4F3F" w:rsidRPr="002C20E6">
        <w:rPr>
          <w:noProof/>
        </w:rPr>
        <w:t xml:space="preserve"> 2006)</w:t>
      </w:r>
      <w:r w:rsidR="00CE4F3F" w:rsidRPr="002C20E6">
        <w:fldChar w:fldCharType="end"/>
      </w:r>
      <w:r w:rsidR="00CE4F3F" w:rsidRPr="002C20E6" w:rsidDel="00CE4F3F">
        <w:t xml:space="preserve"> </w:t>
      </w:r>
      <w:r w:rsidR="003A3BFD" w:rsidRPr="002C20E6">
        <w:t xml:space="preserve">. </w:t>
      </w:r>
      <w:r w:rsidR="00F0451E" w:rsidRPr="002C20E6">
        <w:t xml:space="preserve">Literature average datasets are used to simulate background processes. </w:t>
      </w:r>
      <w:r w:rsidR="007739E1" w:rsidRPr="002C20E6">
        <w:t>Characterization factor</w:t>
      </w:r>
      <w:r w:rsidRPr="002C20E6">
        <w:t>s</w:t>
      </w:r>
      <w:r w:rsidR="00F0451E">
        <w:t xml:space="preserve">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F0451E">
        <w:t>)</w:t>
      </w:r>
      <w:r>
        <w:t xml:space="preserve"> from the </w:t>
      </w:r>
      <w:r w:rsidRPr="005C084B">
        <w:t>CML-2002</w:t>
      </w:r>
      <w:r>
        <w:t xml:space="preserve"> method</w:t>
      </w:r>
      <w:r w:rsidR="00D7306E">
        <w:t xml:space="preserve"> </w:t>
      </w:r>
      <w:r w:rsidR="00D7306E">
        <w:fldChar w:fldCharType="begin" w:fldLock="1"/>
      </w:r>
      <w:r w:rsidR="0014320F">
        <w:instrText>ADDIN CSL_CITATION {"citationItems":[{"id":"ITEM-1","itemData":{"author":[{"dropping-particle":"","family":"Huijbregts","given":"Mark A J","non-dropping-particle":"","parse-names":false,"suffix":""}],"id":"ITEM-1","issue":"May","issued":{"date-parts":[["1999"]]},"title":"Priority assessment of toxic substances in the framework of LCA","type":"article-journal"},"uris":["http://www.mendeley.com/documents/?uuid=a5037cb5-25b3-4d90-8ead-455504516cb4"]}],"mendeley":{"formattedCitation":"(Huijbregts 1999)","manualFormatting":"(Huijbregts, 1999)","plainTextFormattedCitation":"(Huijbregts 1999)","previouslyFormattedCitation":"(Huijbregts 1999)"},"properties":{"noteIndex":0},"schema":"https://github.com/citation-style-language/schema/raw/master/csl-citation.json"}</w:instrText>
      </w:r>
      <w:r w:rsidR="00D7306E">
        <w:fldChar w:fldCharType="separate"/>
      </w:r>
      <w:r w:rsidR="00D7306E" w:rsidRPr="00D7306E">
        <w:rPr>
          <w:noProof/>
        </w:rPr>
        <w:t>(Huijbregts</w:t>
      </w:r>
      <w:r w:rsidR="00C747E3">
        <w:rPr>
          <w:noProof/>
        </w:rPr>
        <w:t>,</w:t>
      </w:r>
      <w:r w:rsidR="00D7306E" w:rsidRPr="00D7306E">
        <w:rPr>
          <w:noProof/>
        </w:rPr>
        <w:t xml:space="preserve"> 1999)</w:t>
      </w:r>
      <w:r w:rsidR="00D7306E">
        <w:fldChar w:fldCharType="end"/>
      </w:r>
      <w:r w:rsidR="00D7306E">
        <w:t xml:space="preserve"> </w:t>
      </w:r>
      <w:r w:rsidR="00F0451E">
        <w:t xml:space="preserve"> are introduced to convert specific emissions into their reference substance as shown in </w:t>
      </w:r>
      <w:proofErr w:type="spellStart"/>
      <w:r w:rsidR="00F0451E">
        <w:t>Eq</w:t>
      </w:r>
      <w:proofErr w:type="spellEnd"/>
      <w:r w:rsidR="00F0451E">
        <w:t>(1)</w:t>
      </w:r>
      <w:r w:rsidR="006E6F80">
        <w:t>.</w:t>
      </w:r>
    </w:p>
    <w:tbl>
      <w:tblPr>
        <w:tblW w:w="5000" w:type="pct"/>
        <w:tblLook w:val="04A0" w:firstRow="1" w:lastRow="0" w:firstColumn="1" w:lastColumn="0" w:noHBand="0" w:noVBand="1"/>
      </w:tblPr>
      <w:tblGrid>
        <w:gridCol w:w="7983"/>
        <w:gridCol w:w="804"/>
      </w:tblGrid>
      <w:tr w:rsidR="003023BD" w:rsidRPr="00B57B36" w14:paraId="38859C15" w14:textId="77777777" w:rsidTr="00B86D59">
        <w:tc>
          <w:tcPr>
            <w:tcW w:w="8188" w:type="dxa"/>
            <w:shd w:val="clear" w:color="auto" w:fill="auto"/>
            <w:vAlign w:val="center"/>
          </w:tcPr>
          <w:p w14:paraId="16B3F9C5" w14:textId="77777777" w:rsidR="003023BD" w:rsidRPr="003F4FFC" w:rsidRDefault="002F678D" w:rsidP="00B86D59">
            <w:pPr>
              <w:pStyle w:val="CETEquation"/>
            </w:pPr>
            <m:oMathPara>
              <m:oMathParaPr>
                <m:jc m:val="left"/>
              </m:oMathParaPr>
              <m:oMath>
                <m:sSub>
                  <m:sSubPr>
                    <m:ctrlPr>
                      <w:rPr>
                        <w:rFonts w:ascii="Cambria Math" w:hAnsi="Cambria Math"/>
                      </w:rPr>
                    </m:ctrlPr>
                  </m:sSubPr>
                  <m:e>
                    <m:r>
                      <w:rPr>
                        <w:rFonts w:ascii="Cambria Math" w:hAnsi="Cambria Math"/>
                      </w:rPr>
                      <m:t>I</m:t>
                    </m:r>
                  </m:e>
                  <m:sub>
                    <m:r>
                      <w:rPr>
                        <w:rFonts w:ascii="Cambria Math" w:hAnsi="Cambria Math"/>
                      </w:rPr>
                      <m:t>j</m:t>
                    </m:r>
                  </m:sub>
                </m:sSub>
                <m:r>
                  <m:rPr>
                    <m:sty m:val="p"/>
                  </m:rP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n,susbances</m:t>
                    </m:r>
                  </m:sup>
                  <m:e>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i</m:t>
                            </m:r>
                          </m:sub>
                        </m:sSub>
                      </m:num>
                      <m:den>
                        <m:r>
                          <w:rPr>
                            <w:rFonts w:ascii="Cambria Math" w:hAnsi="Cambria Math"/>
                          </w:rPr>
                          <m:t>P</m:t>
                        </m:r>
                      </m:den>
                    </m:f>
                  </m:e>
                </m:nary>
                <m:r>
                  <w:rPr>
                    <w:rFonts w:ascii="Cambria Math" w:hAnsi="Cambria Math"/>
                  </w:rPr>
                  <m:t>∙</m:t>
                </m:r>
                <m:sSub>
                  <m:sSubPr>
                    <m:ctrlPr>
                      <w:rPr>
                        <w:rFonts w:ascii="Cambria Math" w:hAnsi="Cambria Math"/>
                        <w:i/>
                      </w:rPr>
                    </m:ctrlPr>
                  </m:sSubPr>
                  <m:e>
                    <m:r>
                      <w:rPr>
                        <w:rFonts w:ascii="Cambria Math" w:hAnsi="Cambria Math"/>
                      </w:rPr>
                      <m:t>CF</m:t>
                    </m:r>
                  </m:e>
                  <m:sub>
                    <m:r>
                      <w:rPr>
                        <w:rFonts w:ascii="Cambria Math" w:hAnsi="Cambria Math"/>
                      </w:rPr>
                      <m:t>i</m:t>
                    </m:r>
                  </m:sub>
                </m:sSub>
              </m:oMath>
            </m:oMathPara>
          </w:p>
        </w:tc>
        <w:tc>
          <w:tcPr>
            <w:tcW w:w="815" w:type="dxa"/>
            <w:shd w:val="clear" w:color="auto" w:fill="auto"/>
            <w:vAlign w:val="center"/>
          </w:tcPr>
          <w:p w14:paraId="1181B83C" w14:textId="77777777" w:rsidR="003023BD" w:rsidRPr="00B57B36" w:rsidRDefault="003023BD" w:rsidP="00B86D59">
            <w:pPr>
              <w:pStyle w:val="CETEquation"/>
              <w:jc w:val="right"/>
            </w:pPr>
            <w:r w:rsidRPr="00B57B36">
              <w:t>(1)</w:t>
            </w:r>
          </w:p>
        </w:tc>
      </w:tr>
    </w:tbl>
    <w:p w14:paraId="78C193A3" w14:textId="1241FFEE" w:rsidR="003023BD" w:rsidRPr="003023BD" w:rsidRDefault="003023BD" w:rsidP="003023BD">
      <w:r>
        <w:t>Where m</w:t>
      </w:r>
      <w:r>
        <w:rPr>
          <w:vertAlign w:val="subscript"/>
        </w:rPr>
        <w:t>i</w:t>
      </w:r>
      <w:r>
        <w:t xml:space="preserve"> is the mass flow rate of the </w:t>
      </w:r>
      <w:proofErr w:type="spellStart"/>
      <w:r>
        <w:t>i-th</w:t>
      </w:r>
      <w:proofErr w:type="spellEnd"/>
      <w:r>
        <w:t xml:space="preserve"> substance exchanged with the environment by the studied system, P is the reference potentiality of the system and CF is the c</w:t>
      </w:r>
      <w:r w:rsidR="00E73331">
        <w:t>haracterization</w:t>
      </w:r>
      <w:r>
        <w:t xml:space="preserve"> factor for substance </w:t>
      </w:r>
      <w:proofErr w:type="spellStart"/>
      <w:r>
        <w:t>i</w:t>
      </w:r>
      <w:proofErr w:type="spellEnd"/>
      <w:r>
        <w:t>.</w:t>
      </w:r>
    </w:p>
    <w:p w14:paraId="72763673" w14:textId="1A017E1D" w:rsidR="002868ED" w:rsidRPr="00B57B36" w:rsidRDefault="002868ED" w:rsidP="002868ED">
      <w:pPr>
        <w:pStyle w:val="CETTabletitle"/>
      </w:pPr>
      <w:r w:rsidRPr="00B57B36">
        <w:t xml:space="preserve">Table 1: </w:t>
      </w:r>
      <w:r w:rsidR="007B1917">
        <w:t>List of environmental indicators</w:t>
      </w:r>
      <w:r w:rsidR="00C5353E">
        <w:t>.</w:t>
      </w:r>
    </w:p>
    <w:tbl>
      <w:tblPr>
        <w:tblW w:w="8951"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526"/>
        <w:gridCol w:w="3224"/>
        <w:gridCol w:w="2337"/>
        <w:gridCol w:w="29"/>
        <w:gridCol w:w="1706"/>
        <w:gridCol w:w="129"/>
      </w:tblGrid>
      <w:tr w:rsidR="000C1096" w:rsidRPr="00B57B36" w14:paraId="77ABE80C" w14:textId="08DE6BBD" w:rsidTr="00AD1C89">
        <w:trPr>
          <w:trHeight w:val="159"/>
        </w:trPr>
        <w:tc>
          <w:tcPr>
            <w:tcW w:w="1526" w:type="dxa"/>
            <w:tcBorders>
              <w:top w:val="single" w:sz="12" w:space="0" w:color="008000"/>
              <w:bottom w:val="single" w:sz="6" w:space="0" w:color="008000"/>
            </w:tcBorders>
            <w:shd w:val="clear" w:color="auto" w:fill="FFFFFF"/>
          </w:tcPr>
          <w:p w14:paraId="3C13D689" w14:textId="1172A27B" w:rsidR="000C1096" w:rsidRPr="00B57B36" w:rsidRDefault="000C1096" w:rsidP="00C5353E">
            <w:pPr>
              <w:pStyle w:val="CETBodytext"/>
              <w:rPr>
                <w:lang w:val="en-GB"/>
              </w:rPr>
            </w:pPr>
            <w:r>
              <w:rPr>
                <w:lang w:val="en-GB"/>
              </w:rPr>
              <w:t>Indicator ID</w:t>
            </w:r>
            <w:r w:rsidRPr="00B57B36">
              <w:rPr>
                <w:lang w:val="en-GB"/>
              </w:rPr>
              <w:t xml:space="preserve"> </w:t>
            </w:r>
            <w:r w:rsidR="0081443B">
              <w:rPr>
                <w:lang w:val="en-GB"/>
              </w:rPr>
              <w:t>[</w:t>
            </w:r>
            <m:oMath>
              <m:sSub>
                <m:sSubPr>
                  <m:ctrlPr>
                    <w:rPr>
                      <w:rFonts w:ascii="Cambria Math" w:hAnsi="Cambria Math"/>
                      <w:lang w:val="en-GB"/>
                    </w:rPr>
                  </m:ctrlPr>
                </m:sSubPr>
                <m:e>
                  <m:r>
                    <w:rPr>
                      <w:rFonts w:ascii="Cambria Math" w:hAnsi="Cambria Math"/>
                    </w:rPr>
                    <m:t>I</m:t>
                  </m:r>
                </m:e>
                <m:sub>
                  <m:r>
                    <w:rPr>
                      <w:rFonts w:ascii="Cambria Math" w:hAnsi="Cambria Math"/>
                    </w:rPr>
                    <m:t>j</m:t>
                  </m:r>
                </m:sub>
              </m:sSub>
            </m:oMath>
            <w:r w:rsidR="0081443B">
              <w:rPr>
                <w:lang w:val="en-GB"/>
              </w:rPr>
              <w:t>]</w:t>
            </w:r>
          </w:p>
        </w:tc>
        <w:tc>
          <w:tcPr>
            <w:tcW w:w="3224" w:type="dxa"/>
            <w:tcBorders>
              <w:top w:val="single" w:sz="12" w:space="0" w:color="008000"/>
              <w:bottom w:val="single" w:sz="6" w:space="0" w:color="008000"/>
            </w:tcBorders>
            <w:shd w:val="clear" w:color="auto" w:fill="FFFFFF"/>
          </w:tcPr>
          <w:p w14:paraId="601A09E1" w14:textId="084F3BE2" w:rsidR="000C1096" w:rsidRPr="00B57B36" w:rsidRDefault="000C1096" w:rsidP="00C5353E">
            <w:pPr>
              <w:pStyle w:val="CETBodytext"/>
              <w:rPr>
                <w:lang w:val="en-GB"/>
              </w:rPr>
            </w:pPr>
            <w:r>
              <w:rPr>
                <w:lang w:val="en-GB"/>
              </w:rPr>
              <w:t>Indicator name</w:t>
            </w:r>
          </w:p>
        </w:tc>
        <w:tc>
          <w:tcPr>
            <w:tcW w:w="2337" w:type="dxa"/>
            <w:tcBorders>
              <w:top w:val="single" w:sz="12" w:space="0" w:color="008000"/>
              <w:bottom w:val="single" w:sz="6" w:space="0" w:color="008000"/>
            </w:tcBorders>
            <w:shd w:val="clear" w:color="auto" w:fill="FFFFFF"/>
          </w:tcPr>
          <w:p w14:paraId="61F9DAD9" w14:textId="4D853622" w:rsidR="000C1096" w:rsidRPr="00B57B36" w:rsidRDefault="000C1096" w:rsidP="00B31439">
            <w:pPr>
              <w:pStyle w:val="CETBodytext"/>
              <w:jc w:val="left"/>
              <w:rPr>
                <w:lang w:val="en-GB"/>
              </w:rPr>
            </w:pPr>
            <w:r>
              <w:rPr>
                <w:lang w:val="en-GB"/>
              </w:rPr>
              <w:t xml:space="preserve">Example of substances (*reference) </w:t>
            </w:r>
          </w:p>
        </w:tc>
        <w:tc>
          <w:tcPr>
            <w:tcW w:w="29" w:type="dxa"/>
            <w:tcBorders>
              <w:top w:val="single" w:sz="12" w:space="0" w:color="008000"/>
              <w:bottom w:val="single" w:sz="6" w:space="0" w:color="008000"/>
            </w:tcBorders>
            <w:shd w:val="clear" w:color="auto" w:fill="FFFFFF"/>
          </w:tcPr>
          <w:p w14:paraId="3850CE8F" w14:textId="7E0602E5" w:rsidR="000C1096" w:rsidRPr="00B57B36" w:rsidRDefault="000C1096" w:rsidP="00B31439">
            <w:pPr>
              <w:pStyle w:val="CETBodytext"/>
              <w:ind w:right="-1"/>
              <w:jc w:val="left"/>
              <w:rPr>
                <w:rFonts w:cs="Arial"/>
                <w:szCs w:val="18"/>
                <w:lang w:val="en-GB"/>
              </w:rPr>
            </w:pPr>
          </w:p>
        </w:tc>
        <w:tc>
          <w:tcPr>
            <w:tcW w:w="1706" w:type="dxa"/>
            <w:tcBorders>
              <w:top w:val="single" w:sz="12" w:space="0" w:color="008000"/>
              <w:bottom w:val="single" w:sz="6" w:space="0" w:color="008000"/>
            </w:tcBorders>
            <w:shd w:val="clear" w:color="auto" w:fill="FFFFFF"/>
          </w:tcPr>
          <w:p w14:paraId="76BE3604" w14:textId="310BE18D" w:rsidR="000C1096" w:rsidRPr="00B57B36" w:rsidRDefault="00C5353E" w:rsidP="00B31439">
            <w:pPr>
              <w:pStyle w:val="CETBodytext"/>
              <w:ind w:right="-1"/>
              <w:jc w:val="left"/>
              <w:rPr>
                <w:rFonts w:cs="Arial"/>
                <w:szCs w:val="18"/>
                <w:lang w:val="en-GB"/>
              </w:rPr>
            </w:pPr>
            <w:r>
              <w:rPr>
                <w:rFonts w:cs="Arial"/>
                <w:szCs w:val="18"/>
                <w:lang w:val="en-GB"/>
              </w:rPr>
              <w:t>U</w:t>
            </w:r>
            <w:r w:rsidR="000C1096">
              <w:rPr>
                <w:rFonts w:cs="Arial"/>
                <w:szCs w:val="18"/>
                <w:lang w:val="en-GB"/>
              </w:rPr>
              <w:t>nit</w:t>
            </w:r>
            <w:r>
              <w:rPr>
                <w:rFonts w:cs="Arial"/>
                <w:szCs w:val="18"/>
                <w:lang w:val="en-GB"/>
              </w:rPr>
              <w:t xml:space="preserve"> of measure</w:t>
            </w:r>
          </w:p>
        </w:tc>
        <w:tc>
          <w:tcPr>
            <w:tcW w:w="129" w:type="dxa"/>
            <w:tcBorders>
              <w:top w:val="single" w:sz="12" w:space="0" w:color="008000"/>
              <w:bottom w:val="single" w:sz="6" w:space="0" w:color="008000"/>
            </w:tcBorders>
            <w:shd w:val="clear" w:color="auto" w:fill="FFFFFF"/>
          </w:tcPr>
          <w:p w14:paraId="57D7E01D" w14:textId="77777777" w:rsidR="000C1096" w:rsidRPr="00B57B36" w:rsidRDefault="000C1096" w:rsidP="00C5353E">
            <w:pPr>
              <w:pStyle w:val="CETBodytext"/>
              <w:ind w:right="-1"/>
              <w:rPr>
                <w:rFonts w:cs="Arial"/>
                <w:szCs w:val="18"/>
                <w:lang w:val="en-GB"/>
              </w:rPr>
            </w:pPr>
          </w:p>
        </w:tc>
      </w:tr>
      <w:tr w:rsidR="000C1096" w:rsidRPr="00776637" w14:paraId="73D08209" w14:textId="0FBDAA0E" w:rsidTr="00AD1C89">
        <w:trPr>
          <w:trHeight w:val="159"/>
        </w:trPr>
        <w:tc>
          <w:tcPr>
            <w:tcW w:w="1526" w:type="dxa"/>
            <w:shd w:val="clear" w:color="auto" w:fill="FFFFFF"/>
          </w:tcPr>
          <w:p w14:paraId="18F1FD90" w14:textId="4DAA77D4" w:rsidR="000C1096" w:rsidRPr="00B57B36" w:rsidRDefault="000C1096" w:rsidP="00C5353E">
            <w:pPr>
              <w:pStyle w:val="CETBodytext"/>
              <w:rPr>
                <w:lang w:val="en-GB"/>
              </w:rPr>
            </w:pPr>
            <w:proofErr w:type="spellStart"/>
            <w:r>
              <w:rPr>
                <w:lang w:val="en-GB"/>
              </w:rPr>
              <w:t>AD</w:t>
            </w:r>
            <w:r w:rsidR="00C5353E">
              <w:rPr>
                <w:lang w:val="en-GB"/>
              </w:rPr>
              <w:t>I</w:t>
            </w:r>
            <w:r>
              <w:rPr>
                <w:lang w:val="en-GB"/>
              </w:rPr>
              <w:t>,e</w:t>
            </w:r>
            <w:proofErr w:type="spellEnd"/>
          </w:p>
        </w:tc>
        <w:tc>
          <w:tcPr>
            <w:tcW w:w="3224" w:type="dxa"/>
            <w:shd w:val="clear" w:color="auto" w:fill="FFFFFF"/>
          </w:tcPr>
          <w:p w14:paraId="169931B1" w14:textId="1FC3E35F" w:rsidR="000C1096" w:rsidRPr="00B57B36" w:rsidRDefault="000C1096" w:rsidP="00C5353E">
            <w:pPr>
              <w:pStyle w:val="CETBodytext"/>
              <w:rPr>
                <w:lang w:val="en-GB"/>
              </w:rPr>
            </w:pPr>
            <w:r>
              <w:rPr>
                <w:lang w:val="en-GB"/>
              </w:rPr>
              <w:t xml:space="preserve">Abiotic Depletion </w:t>
            </w:r>
            <w:r w:rsidR="00C5353E">
              <w:rPr>
                <w:lang w:val="en-GB"/>
              </w:rPr>
              <w:t xml:space="preserve">Indicator </w:t>
            </w:r>
            <w:r>
              <w:rPr>
                <w:lang w:val="en-GB"/>
              </w:rPr>
              <w:t>(elements)</w:t>
            </w:r>
          </w:p>
        </w:tc>
        <w:tc>
          <w:tcPr>
            <w:tcW w:w="2337" w:type="dxa"/>
            <w:shd w:val="clear" w:color="auto" w:fill="FFFFFF"/>
          </w:tcPr>
          <w:p w14:paraId="0E140582" w14:textId="693467D3" w:rsidR="000C1096" w:rsidRPr="00776637" w:rsidRDefault="000C1096" w:rsidP="00B31439">
            <w:pPr>
              <w:pStyle w:val="CETBodytext"/>
              <w:jc w:val="left"/>
              <w:rPr>
                <w:lang w:val="it-IT"/>
              </w:rPr>
            </w:pPr>
            <w:r>
              <w:rPr>
                <w:lang w:val="it-IT"/>
              </w:rPr>
              <w:t>S</w:t>
            </w:r>
            <w:r w:rsidRPr="00776637">
              <w:rPr>
                <w:lang w:val="it-IT"/>
              </w:rPr>
              <w:t>b*, Al, Pb, Ti, Na</w:t>
            </w:r>
          </w:p>
        </w:tc>
        <w:tc>
          <w:tcPr>
            <w:tcW w:w="29" w:type="dxa"/>
            <w:shd w:val="clear" w:color="auto" w:fill="FFFFFF"/>
          </w:tcPr>
          <w:p w14:paraId="1C94385F" w14:textId="77777777" w:rsidR="000C1096" w:rsidRPr="00776637" w:rsidRDefault="000C1096" w:rsidP="00B31439">
            <w:pPr>
              <w:pStyle w:val="CETBodytext"/>
              <w:ind w:right="-1"/>
              <w:jc w:val="left"/>
              <w:rPr>
                <w:rFonts w:cs="Arial"/>
                <w:szCs w:val="18"/>
                <w:lang w:val="it-IT"/>
              </w:rPr>
            </w:pPr>
          </w:p>
        </w:tc>
        <w:tc>
          <w:tcPr>
            <w:tcW w:w="1706" w:type="dxa"/>
            <w:shd w:val="clear" w:color="auto" w:fill="FFFFFF"/>
          </w:tcPr>
          <w:p w14:paraId="63D29E81" w14:textId="2334514D" w:rsidR="000C1096" w:rsidRPr="00E83D57" w:rsidRDefault="000C1096" w:rsidP="00B31439">
            <w:pPr>
              <w:pStyle w:val="CETBodytext"/>
              <w:ind w:right="-1"/>
              <w:jc w:val="left"/>
              <w:rPr>
                <w:rFonts w:cs="Arial"/>
                <w:szCs w:val="18"/>
                <w:lang w:val="it-IT"/>
              </w:rPr>
            </w:pPr>
            <w:r w:rsidRPr="00E83D57">
              <w:rPr>
                <w:rFonts w:cs="Arial"/>
                <w:szCs w:val="18"/>
                <w:lang w:val="it-IT"/>
              </w:rPr>
              <w:t>[</w:t>
            </w:r>
            <w:proofErr w:type="spellStart"/>
            <w:proofErr w:type="gramStart"/>
            <w:r w:rsidRPr="00E83D57">
              <w:rPr>
                <w:rFonts w:cs="Arial"/>
                <w:szCs w:val="18"/>
                <w:lang w:val="it-IT"/>
              </w:rPr>
              <w:t>kgSb,eq</w:t>
            </w:r>
            <w:proofErr w:type="spellEnd"/>
            <w:proofErr w:type="gramEnd"/>
            <w:r w:rsidRPr="00E83D57">
              <w:rPr>
                <w:rFonts w:cs="Arial"/>
                <w:szCs w:val="18"/>
                <w:lang w:val="it-IT"/>
              </w:rPr>
              <w:t>/</w:t>
            </w:r>
            <w:proofErr w:type="spellStart"/>
            <w:r w:rsidR="006B184A" w:rsidRPr="00E83D57">
              <w:rPr>
                <w:rFonts w:cs="Arial"/>
                <w:szCs w:val="18"/>
                <w:lang w:val="it-IT"/>
              </w:rPr>
              <w:t>ref</w:t>
            </w:r>
            <w:proofErr w:type="spellEnd"/>
            <w:r w:rsidR="006B184A" w:rsidRPr="00E83D57">
              <w:rPr>
                <w:rFonts w:cs="Arial"/>
                <w:szCs w:val="18"/>
                <w:lang w:val="it-IT"/>
              </w:rPr>
              <w:t xml:space="preserve">. </w:t>
            </w:r>
            <w:proofErr w:type="spellStart"/>
            <w:r w:rsidR="006B184A" w:rsidRPr="00E83D57">
              <w:rPr>
                <w:rFonts w:cs="Arial"/>
                <w:szCs w:val="18"/>
                <w:lang w:val="it-IT"/>
              </w:rPr>
              <w:t>unit</w:t>
            </w:r>
            <w:proofErr w:type="spellEnd"/>
            <w:r w:rsidR="006B184A" w:rsidRPr="00E83D57">
              <w:rPr>
                <w:rFonts w:cs="Arial"/>
                <w:szCs w:val="18"/>
                <w:lang w:val="it-IT"/>
              </w:rPr>
              <w:t>.</w:t>
            </w:r>
            <w:r w:rsidRPr="00E83D57">
              <w:rPr>
                <w:rFonts w:cs="Arial"/>
                <w:szCs w:val="18"/>
                <w:lang w:val="it-IT"/>
              </w:rPr>
              <w:t>]</w:t>
            </w:r>
          </w:p>
        </w:tc>
        <w:tc>
          <w:tcPr>
            <w:tcW w:w="129" w:type="dxa"/>
            <w:shd w:val="clear" w:color="auto" w:fill="FFFFFF"/>
          </w:tcPr>
          <w:p w14:paraId="7A3195AD" w14:textId="77777777" w:rsidR="000C1096" w:rsidRPr="00E83D57" w:rsidRDefault="000C1096" w:rsidP="00C5353E">
            <w:pPr>
              <w:pStyle w:val="CETBodytext"/>
              <w:ind w:right="-1"/>
              <w:rPr>
                <w:rFonts w:cs="Arial"/>
                <w:szCs w:val="18"/>
                <w:lang w:val="it-IT"/>
              </w:rPr>
            </w:pPr>
          </w:p>
        </w:tc>
      </w:tr>
      <w:tr w:rsidR="00AE3E47" w:rsidRPr="00776637" w14:paraId="28EEBA48" w14:textId="5B480FB2" w:rsidTr="00AD1C89">
        <w:trPr>
          <w:trHeight w:val="170"/>
        </w:trPr>
        <w:tc>
          <w:tcPr>
            <w:tcW w:w="1526" w:type="dxa"/>
            <w:shd w:val="clear" w:color="auto" w:fill="FFFFFF"/>
          </w:tcPr>
          <w:p w14:paraId="21199AE4" w14:textId="06D92FE3" w:rsidR="00AE3E47" w:rsidRPr="00B57B36" w:rsidRDefault="00AE3E47" w:rsidP="00AE3E47">
            <w:pPr>
              <w:pStyle w:val="CETBodytext"/>
              <w:ind w:right="-1"/>
              <w:rPr>
                <w:rFonts w:cs="Arial"/>
                <w:szCs w:val="18"/>
                <w:lang w:val="en-GB"/>
              </w:rPr>
            </w:pPr>
            <w:proofErr w:type="spellStart"/>
            <w:r>
              <w:rPr>
                <w:rFonts w:cs="Arial"/>
                <w:szCs w:val="18"/>
                <w:lang w:val="en-GB"/>
              </w:rPr>
              <w:t>ADI,f</w:t>
            </w:r>
            <w:proofErr w:type="spellEnd"/>
          </w:p>
        </w:tc>
        <w:tc>
          <w:tcPr>
            <w:tcW w:w="3224" w:type="dxa"/>
            <w:shd w:val="clear" w:color="auto" w:fill="FFFFFF"/>
          </w:tcPr>
          <w:p w14:paraId="6E57EDF9" w14:textId="38F687CF" w:rsidR="00AE3E47" w:rsidRPr="00B57B36" w:rsidRDefault="00AE3E47" w:rsidP="00AE3E47">
            <w:pPr>
              <w:pStyle w:val="CETBodytext"/>
              <w:ind w:right="-1"/>
              <w:rPr>
                <w:rFonts w:cs="Arial"/>
                <w:szCs w:val="18"/>
                <w:lang w:val="en-GB"/>
              </w:rPr>
            </w:pPr>
            <w:r>
              <w:rPr>
                <w:rFonts w:cs="Arial"/>
                <w:szCs w:val="18"/>
                <w:lang w:val="en-GB"/>
              </w:rPr>
              <w:t xml:space="preserve">Abiotic Depletion </w:t>
            </w:r>
            <w:r>
              <w:rPr>
                <w:lang w:val="en-GB"/>
              </w:rPr>
              <w:t>Indicator</w:t>
            </w:r>
            <w:r w:rsidDel="00C5353E">
              <w:rPr>
                <w:rFonts w:cs="Arial"/>
                <w:szCs w:val="18"/>
                <w:lang w:val="en-GB"/>
              </w:rPr>
              <w:t xml:space="preserve"> </w:t>
            </w:r>
            <w:r>
              <w:rPr>
                <w:rFonts w:cs="Arial"/>
                <w:szCs w:val="18"/>
                <w:lang w:val="en-GB"/>
              </w:rPr>
              <w:t>(fossil fuels)</w:t>
            </w:r>
          </w:p>
        </w:tc>
        <w:tc>
          <w:tcPr>
            <w:tcW w:w="2337" w:type="dxa"/>
            <w:shd w:val="clear" w:color="auto" w:fill="FFFFFF"/>
          </w:tcPr>
          <w:p w14:paraId="3E515ECC" w14:textId="42D4523C" w:rsidR="00AE3E47" w:rsidRPr="00776637" w:rsidRDefault="00AE3E47" w:rsidP="00AE3E47">
            <w:pPr>
              <w:pStyle w:val="CETBodytext"/>
              <w:ind w:right="-1"/>
              <w:jc w:val="left"/>
              <w:rPr>
                <w:rFonts w:cs="Arial"/>
                <w:szCs w:val="18"/>
                <w:lang w:val="en-GB"/>
              </w:rPr>
            </w:pPr>
            <w:r>
              <w:rPr>
                <w:rFonts w:cs="Arial"/>
                <w:szCs w:val="18"/>
                <w:lang w:val="en-GB"/>
              </w:rPr>
              <w:t>F</w:t>
            </w:r>
            <w:r w:rsidRPr="00776637">
              <w:rPr>
                <w:rFonts w:cs="Arial"/>
                <w:szCs w:val="18"/>
                <w:lang w:val="en-GB"/>
              </w:rPr>
              <w:t>ossil fuel*, natural gas, co</w:t>
            </w:r>
            <w:r>
              <w:rPr>
                <w:rFonts w:cs="Arial"/>
                <w:szCs w:val="18"/>
                <w:lang w:val="en-GB"/>
              </w:rPr>
              <w:t>al, oil crude</w:t>
            </w:r>
          </w:p>
        </w:tc>
        <w:tc>
          <w:tcPr>
            <w:tcW w:w="29" w:type="dxa"/>
            <w:shd w:val="clear" w:color="auto" w:fill="FFFFFF"/>
          </w:tcPr>
          <w:p w14:paraId="1A3BBA6E" w14:textId="77777777" w:rsidR="00AE3E47" w:rsidRPr="00776637" w:rsidRDefault="00AE3E47" w:rsidP="00AE3E47">
            <w:pPr>
              <w:pStyle w:val="CETBodytext"/>
              <w:ind w:right="-1"/>
              <w:jc w:val="left"/>
              <w:rPr>
                <w:rFonts w:cs="Arial"/>
                <w:szCs w:val="18"/>
                <w:lang w:val="en-GB"/>
              </w:rPr>
            </w:pPr>
          </w:p>
        </w:tc>
        <w:tc>
          <w:tcPr>
            <w:tcW w:w="1706" w:type="dxa"/>
            <w:shd w:val="clear" w:color="auto" w:fill="FFFFFF"/>
          </w:tcPr>
          <w:p w14:paraId="0198E210" w14:textId="321123FF" w:rsidR="00AE3E47" w:rsidRPr="00776637" w:rsidRDefault="00AE3E47" w:rsidP="00AE3E47">
            <w:pPr>
              <w:pStyle w:val="CETBodytext"/>
              <w:ind w:right="-1"/>
              <w:jc w:val="left"/>
              <w:rPr>
                <w:rFonts w:cs="Arial"/>
                <w:szCs w:val="18"/>
                <w:lang w:val="en-GB"/>
              </w:rPr>
            </w:pPr>
            <w:r w:rsidRPr="00E83D57">
              <w:rPr>
                <w:rFonts w:cs="Arial"/>
                <w:szCs w:val="18"/>
                <w:lang w:val="it-IT"/>
              </w:rPr>
              <w:t>[</w:t>
            </w:r>
            <w:r>
              <w:rPr>
                <w:rFonts w:cs="Arial"/>
                <w:szCs w:val="18"/>
                <w:lang w:val="it-IT"/>
              </w:rPr>
              <w:t>MJ</w:t>
            </w:r>
            <w:r w:rsidR="007C0799">
              <w:rPr>
                <w:rFonts w:cs="Arial"/>
                <w:szCs w:val="18"/>
                <w:lang w:val="it-IT"/>
              </w:rPr>
              <w:t>/</w:t>
            </w:r>
            <w:proofErr w:type="spellStart"/>
            <w:r w:rsidRPr="00E83D57">
              <w:rPr>
                <w:rFonts w:cs="Arial"/>
                <w:szCs w:val="18"/>
                <w:lang w:val="it-IT"/>
              </w:rPr>
              <w:t>ref</w:t>
            </w:r>
            <w:proofErr w:type="spellEnd"/>
            <w:r w:rsidRPr="00E83D57">
              <w:rPr>
                <w:rFonts w:cs="Arial"/>
                <w:szCs w:val="18"/>
                <w:lang w:val="it-IT"/>
              </w:rPr>
              <w:t xml:space="preserve">. </w:t>
            </w:r>
            <w:proofErr w:type="spellStart"/>
            <w:r w:rsidRPr="00E83D57">
              <w:rPr>
                <w:rFonts w:cs="Arial"/>
                <w:szCs w:val="18"/>
                <w:lang w:val="it-IT"/>
              </w:rPr>
              <w:t>unit</w:t>
            </w:r>
            <w:proofErr w:type="spellEnd"/>
            <w:r w:rsidRPr="00E83D57">
              <w:rPr>
                <w:rFonts w:cs="Arial"/>
                <w:szCs w:val="18"/>
                <w:lang w:val="it-IT"/>
              </w:rPr>
              <w:t>.]</w:t>
            </w:r>
          </w:p>
        </w:tc>
        <w:tc>
          <w:tcPr>
            <w:tcW w:w="129" w:type="dxa"/>
            <w:shd w:val="clear" w:color="auto" w:fill="FFFFFF"/>
          </w:tcPr>
          <w:p w14:paraId="768F179F" w14:textId="77777777" w:rsidR="00AE3E47" w:rsidRPr="00776637" w:rsidRDefault="00AE3E47" w:rsidP="00AE3E47">
            <w:pPr>
              <w:pStyle w:val="CETBodytext"/>
              <w:ind w:right="-1"/>
              <w:rPr>
                <w:rFonts w:cs="Arial"/>
                <w:szCs w:val="18"/>
                <w:lang w:val="en-GB"/>
              </w:rPr>
            </w:pPr>
          </w:p>
        </w:tc>
      </w:tr>
      <w:tr w:rsidR="00B274F1" w:rsidRPr="00B57B36" w14:paraId="4F561A7F" w14:textId="77777777" w:rsidTr="00AD1C89">
        <w:trPr>
          <w:trHeight w:val="170"/>
        </w:trPr>
        <w:tc>
          <w:tcPr>
            <w:tcW w:w="1526" w:type="dxa"/>
            <w:shd w:val="clear" w:color="auto" w:fill="FFFFFF"/>
          </w:tcPr>
          <w:p w14:paraId="1EE086CE" w14:textId="7F0F3E62" w:rsidR="00B274F1" w:rsidRDefault="00B274F1" w:rsidP="00B274F1">
            <w:pPr>
              <w:pStyle w:val="CETBodytext"/>
              <w:ind w:right="-1"/>
              <w:rPr>
                <w:rFonts w:cs="Arial"/>
                <w:szCs w:val="18"/>
                <w:lang w:val="en-GB"/>
              </w:rPr>
            </w:pPr>
            <w:r>
              <w:rPr>
                <w:rFonts w:cs="Arial"/>
                <w:szCs w:val="18"/>
                <w:lang w:val="en-GB"/>
              </w:rPr>
              <w:t>GWI</w:t>
            </w:r>
          </w:p>
        </w:tc>
        <w:tc>
          <w:tcPr>
            <w:tcW w:w="3224" w:type="dxa"/>
            <w:shd w:val="clear" w:color="auto" w:fill="FFFFFF"/>
          </w:tcPr>
          <w:p w14:paraId="26A05D50" w14:textId="64C4D0EF" w:rsidR="00B274F1" w:rsidRPr="00B57B36" w:rsidRDefault="00B274F1" w:rsidP="00B274F1">
            <w:pPr>
              <w:pStyle w:val="CETBodytext"/>
              <w:ind w:right="-1"/>
              <w:rPr>
                <w:rFonts w:cs="Arial"/>
                <w:szCs w:val="18"/>
                <w:lang w:val="en-GB"/>
              </w:rPr>
            </w:pPr>
            <w:r>
              <w:rPr>
                <w:rFonts w:cs="Arial"/>
                <w:szCs w:val="18"/>
                <w:lang w:val="en-GB"/>
              </w:rPr>
              <w:t xml:space="preserve">Global Warming </w:t>
            </w:r>
            <w:r>
              <w:rPr>
                <w:lang w:val="en-GB"/>
              </w:rPr>
              <w:t>Indicator</w:t>
            </w:r>
          </w:p>
        </w:tc>
        <w:tc>
          <w:tcPr>
            <w:tcW w:w="2337" w:type="dxa"/>
            <w:shd w:val="clear" w:color="auto" w:fill="FFFFFF"/>
          </w:tcPr>
          <w:p w14:paraId="39442F60" w14:textId="72563BDA" w:rsidR="00B274F1" w:rsidRPr="00F67460" w:rsidRDefault="00B274F1" w:rsidP="00B274F1">
            <w:pPr>
              <w:pStyle w:val="CETBodytext"/>
              <w:ind w:right="-1"/>
              <w:jc w:val="left"/>
              <w:rPr>
                <w:rFonts w:cs="Arial"/>
                <w:szCs w:val="18"/>
                <w:lang w:val="en-GB"/>
              </w:rPr>
            </w:pPr>
            <w:r>
              <w:rPr>
                <w:rFonts w:cs="Arial"/>
                <w:szCs w:val="18"/>
                <w:lang w:val="en-GB"/>
              </w:rPr>
              <w:t>CO</w:t>
            </w:r>
            <w:r w:rsidRPr="00F67460">
              <w:rPr>
                <w:rFonts w:cs="Arial"/>
                <w:szCs w:val="18"/>
                <w:vertAlign w:val="subscript"/>
                <w:lang w:val="en-GB"/>
              </w:rPr>
              <w:t>2</w:t>
            </w:r>
            <w:r>
              <w:rPr>
                <w:rFonts w:cs="Arial"/>
                <w:szCs w:val="18"/>
                <w:lang w:val="en-GB"/>
              </w:rPr>
              <w:t>*, CH</w:t>
            </w:r>
            <w:r w:rsidRPr="00F51ECE">
              <w:rPr>
                <w:rFonts w:cs="Arial"/>
                <w:szCs w:val="18"/>
                <w:vertAlign w:val="subscript"/>
                <w:lang w:val="en-GB"/>
              </w:rPr>
              <w:t>4</w:t>
            </w:r>
            <w:r>
              <w:rPr>
                <w:rFonts w:cs="Arial"/>
                <w:szCs w:val="18"/>
                <w:lang w:val="en-GB"/>
              </w:rPr>
              <w:t xml:space="preserve">  </w:t>
            </w:r>
          </w:p>
        </w:tc>
        <w:tc>
          <w:tcPr>
            <w:tcW w:w="29" w:type="dxa"/>
            <w:shd w:val="clear" w:color="auto" w:fill="FFFFFF"/>
          </w:tcPr>
          <w:p w14:paraId="07DA3BA3" w14:textId="77777777" w:rsidR="00B274F1" w:rsidRPr="00B57B36" w:rsidRDefault="00B274F1" w:rsidP="00B274F1">
            <w:pPr>
              <w:pStyle w:val="CETBodytext"/>
              <w:ind w:right="-1"/>
              <w:jc w:val="left"/>
              <w:rPr>
                <w:rFonts w:cs="Arial"/>
                <w:szCs w:val="18"/>
                <w:lang w:val="en-GB"/>
              </w:rPr>
            </w:pPr>
          </w:p>
        </w:tc>
        <w:tc>
          <w:tcPr>
            <w:tcW w:w="1706" w:type="dxa"/>
            <w:shd w:val="clear" w:color="auto" w:fill="FFFFFF"/>
          </w:tcPr>
          <w:p w14:paraId="5FA8CBD5" w14:textId="09A41CAE" w:rsidR="00B274F1" w:rsidRPr="00B57B36" w:rsidRDefault="00B274F1" w:rsidP="00B274F1">
            <w:pPr>
              <w:pStyle w:val="CETBodytext"/>
              <w:ind w:right="-1"/>
              <w:jc w:val="left"/>
              <w:rPr>
                <w:rFonts w:cs="Arial"/>
                <w:szCs w:val="18"/>
                <w:lang w:val="en-GB"/>
              </w:rPr>
            </w:pPr>
            <w:r w:rsidRPr="00AD1C89">
              <w:rPr>
                <w:rFonts w:cs="Arial"/>
                <w:szCs w:val="18"/>
                <w:lang w:val="en-GB"/>
              </w:rPr>
              <w:t>[kg</w:t>
            </w:r>
            <w:r>
              <w:rPr>
                <w:rFonts w:cs="Arial"/>
                <w:szCs w:val="18"/>
                <w:lang w:val="en-GB"/>
              </w:rPr>
              <w:t xml:space="preserve"> CO</w:t>
            </w:r>
            <w:r w:rsidRPr="00F67460">
              <w:rPr>
                <w:rFonts w:cs="Arial"/>
                <w:szCs w:val="18"/>
                <w:vertAlign w:val="subscript"/>
                <w:lang w:val="en-GB"/>
              </w:rPr>
              <w:t>2</w:t>
            </w:r>
            <w:r w:rsidRPr="00AD1C89">
              <w:rPr>
                <w:rFonts w:cs="Arial"/>
                <w:szCs w:val="18"/>
                <w:lang w:val="en-GB"/>
              </w:rPr>
              <w:t>,eq/ref. unit.]</w:t>
            </w:r>
          </w:p>
        </w:tc>
        <w:tc>
          <w:tcPr>
            <w:tcW w:w="129" w:type="dxa"/>
            <w:shd w:val="clear" w:color="auto" w:fill="FFFFFF"/>
          </w:tcPr>
          <w:p w14:paraId="69A08D35" w14:textId="77777777" w:rsidR="00B274F1" w:rsidRPr="00B57B36" w:rsidRDefault="00B274F1" w:rsidP="00B274F1">
            <w:pPr>
              <w:pStyle w:val="CETBodytext"/>
              <w:ind w:right="-1"/>
              <w:rPr>
                <w:rFonts w:cs="Arial"/>
                <w:szCs w:val="18"/>
                <w:lang w:val="en-GB"/>
              </w:rPr>
            </w:pPr>
          </w:p>
        </w:tc>
      </w:tr>
      <w:tr w:rsidR="0014555F" w:rsidRPr="00B57B36" w14:paraId="590F0B36" w14:textId="77777777" w:rsidTr="00AD1C89">
        <w:trPr>
          <w:trHeight w:val="170"/>
        </w:trPr>
        <w:tc>
          <w:tcPr>
            <w:tcW w:w="1526" w:type="dxa"/>
            <w:shd w:val="clear" w:color="auto" w:fill="FFFFFF"/>
          </w:tcPr>
          <w:p w14:paraId="23510B35" w14:textId="550EDBB9" w:rsidR="0014555F" w:rsidRDefault="0014555F" w:rsidP="0014555F">
            <w:pPr>
              <w:pStyle w:val="CETBodytext"/>
              <w:ind w:right="-1"/>
              <w:rPr>
                <w:rFonts w:cs="Arial"/>
                <w:szCs w:val="18"/>
                <w:lang w:val="en-GB"/>
              </w:rPr>
            </w:pPr>
            <w:r>
              <w:rPr>
                <w:rFonts w:cs="Arial"/>
                <w:szCs w:val="18"/>
                <w:lang w:val="en-GB"/>
              </w:rPr>
              <w:t>AI</w:t>
            </w:r>
          </w:p>
        </w:tc>
        <w:tc>
          <w:tcPr>
            <w:tcW w:w="3224" w:type="dxa"/>
            <w:shd w:val="clear" w:color="auto" w:fill="FFFFFF"/>
          </w:tcPr>
          <w:p w14:paraId="7727BE7A" w14:textId="6D905EA0" w:rsidR="0014555F" w:rsidRPr="00B57B36" w:rsidRDefault="0014555F" w:rsidP="0014555F">
            <w:pPr>
              <w:pStyle w:val="CETBodytext"/>
              <w:ind w:right="-1"/>
              <w:rPr>
                <w:rFonts w:cs="Arial"/>
                <w:szCs w:val="18"/>
                <w:lang w:val="en-GB"/>
              </w:rPr>
            </w:pPr>
            <w:r>
              <w:rPr>
                <w:rFonts w:cs="Arial"/>
                <w:szCs w:val="18"/>
                <w:lang w:val="en-GB"/>
              </w:rPr>
              <w:t xml:space="preserve">Acidification </w:t>
            </w:r>
            <w:r>
              <w:rPr>
                <w:lang w:val="en-GB"/>
              </w:rPr>
              <w:t>Indicator</w:t>
            </w:r>
          </w:p>
        </w:tc>
        <w:tc>
          <w:tcPr>
            <w:tcW w:w="2337" w:type="dxa"/>
            <w:shd w:val="clear" w:color="auto" w:fill="FFFFFF"/>
          </w:tcPr>
          <w:p w14:paraId="3F8BD4BD" w14:textId="6415E8EA" w:rsidR="0014555F" w:rsidRPr="00B57B36" w:rsidRDefault="0014555F" w:rsidP="0014555F">
            <w:pPr>
              <w:pStyle w:val="CETBodytext"/>
              <w:ind w:right="-1"/>
              <w:jc w:val="left"/>
              <w:rPr>
                <w:rFonts w:cs="Arial"/>
                <w:szCs w:val="18"/>
                <w:lang w:val="en-GB"/>
              </w:rPr>
            </w:pPr>
            <w:proofErr w:type="spellStart"/>
            <w:r w:rsidRPr="00864BB7">
              <w:rPr>
                <w:rFonts w:cs="Arial"/>
                <w:szCs w:val="18"/>
                <w:lang w:val="en-GB"/>
              </w:rPr>
              <w:t>SO</w:t>
            </w:r>
            <w:r w:rsidRPr="00864BB7">
              <w:rPr>
                <w:rFonts w:cs="Arial"/>
                <w:szCs w:val="18"/>
                <w:vertAlign w:val="subscript"/>
                <w:lang w:val="en-GB"/>
              </w:rPr>
              <w:t>x</w:t>
            </w:r>
            <w:proofErr w:type="spellEnd"/>
            <w:r w:rsidRPr="00864BB7">
              <w:rPr>
                <w:rFonts w:cs="Arial"/>
                <w:szCs w:val="18"/>
                <w:lang w:val="en-GB"/>
              </w:rPr>
              <w:t>,</w:t>
            </w:r>
            <w:r>
              <w:rPr>
                <w:rFonts w:cs="Arial"/>
                <w:szCs w:val="18"/>
                <w:lang w:val="en-GB"/>
              </w:rPr>
              <w:t xml:space="preserve"> (</w:t>
            </w:r>
            <w:r w:rsidRPr="00864BB7">
              <w:rPr>
                <w:rFonts w:cs="Arial"/>
                <w:szCs w:val="18"/>
                <w:lang w:val="en-GB"/>
              </w:rPr>
              <w:t>SO</w:t>
            </w:r>
            <w:r>
              <w:rPr>
                <w:rFonts w:cs="Arial"/>
                <w:szCs w:val="18"/>
                <w:vertAlign w:val="subscript"/>
                <w:lang w:val="en-GB"/>
              </w:rPr>
              <w:t>2</w:t>
            </w:r>
            <w:r>
              <w:rPr>
                <w:rFonts w:cs="Arial"/>
                <w:szCs w:val="18"/>
                <w:lang w:val="en-GB"/>
              </w:rPr>
              <w:t xml:space="preserve">)*, </w:t>
            </w:r>
            <w:r w:rsidRPr="00864BB7">
              <w:rPr>
                <w:rFonts w:cs="Arial"/>
                <w:szCs w:val="18"/>
                <w:lang w:val="en-GB"/>
              </w:rPr>
              <w:t>NO</w:t>
            </w:r>
            <w:r w:rsidRPr="00864BB7">
              <w:rPr>
                <w:rFonts w:cs="Arial"/>
                <w:szCs w:val="18"/>
                <w:vertAlign w:val="subscript"/>
                <w:lang w:val="en-GB"/>
              </w:rPr>
              <w:t>x</w:t>
            </w:r>
            <w:r w:rsidRPr="00864BB7">
              <w:rPr>
                <w:rFonts w:cs="Arial"/>
                <w:szCs w:val="18"/>
                <w:lang w:val="en-GB"/>
              </w:rPr>
              <w:t>, NH</w:t>
            </w:r>
            <w:r w:rsidRPr="00864BB7">
              <w:rPr>
                <w:rFonts w:cs="Arial"/>
                <w:szCs w:val="18"/>
                <w:vertAlign w:val="subscript"/>
                <w:lang w:val="en-GB"/>
              </w:rPr>
              <w:t>3</w:t>
            </w:r>
            <w:r w:rsidRPr="00864BB7">
              <w:rPr>
                <w:rFonts w:cs="Arial"/>
                <w:szCs w:val="18"/>
                <w:lang w:val="en-GB"/>
              </w:rPr>
              <w:t>, HF</w:t>
            </w:r>
          </w:p>
        </w:tc>
        <w:tc>
          <w:tcPr>
            <w:tcW w:w="29" w:type="dxa"/>
            <w:shd w:val="clear" w:color="auto" w:fill="FFFFFF"/>
          </w:tcPr>
          <w:p w14:paraId="726D3E82" w14:textId="77777777" w:rsidR="0014555F" w:rsidRPr="00B57B36" w:rsidRDefault="0014555F" w:rsidP="0014555F">
            <w:pPr>
              <w:pStyle w:val="CETBodytext"/>
              <w:ind w:right="-1"/>
              <w:jc w:val="left"/>
              <w:rPr>
                <w:rFonts w:cs="Arial"/>
                <w:szCs w:val="18"/>
                <w:lang w:val="en-GB"/>
              </w:rPr>
            </w:pPr>
          </w:p>
        </w:tc>
        <w:tc>
          <w:tcPr>
            <w:tcW w:w="1706" w:type="dxa"/>
            <w:shd w:val="clear" w:color="auto" w:fill="FFFFFF"/>
          </w:tcPr>
          <w:p w14:paraId="4274A3E3" w14:textId="083CD5FB" w:rsidR="0014555F" w:rsidRPr="00B57B36" w:rsidRDefault="0014555F" w:rsidP="0014555F">
            <w:pPr>
              <w:pStyle w:val="CETBodytext"/>
              <w:ind w:right="-1"/>
              <w:jc w:val="left"/>
              <w:rPr>
                <w:rFonts w:cs="Arial"/>
                <w:szCs w:val="18"/>
                <w:lang w:val="en-GB"/>
              </w:rPr>
            </w:pPr>
            <w:r w:rsidRPr="00DC7281">
              <w:rPr>
                <w:rFonts w:cs="Arial"/>
                <w:szCs w:val="18"/>
                <w:lang w:val="en-GB"/>
              </w:rPr>
              <w:t>[kg</w:t>
            </w:r>
            <w:r>
              <w:rPr>
                <w:rFonts w:cs="Arial"/>
                <w:szCs w:val="18"/>
                <w:lang w:val="en-GB"/>
              </w:rPr>
              <w:t xml:space="preserve"> SO</w:t>
            </w:r>
            <w:r w:rsidRPr="00F67460">
              <w:rPr>
                <w:rFonts w:cs="Arial"/>
                <w:szCs w:val="18"/>
                <w:vertAlign w:val="subscript"/>
                <w:lang w:val="en-GB"/>
              </w:rPr>
              <w:t>2</w:t>
            </w:r>
            <w:r w:rsidRPr="00DC7281">
              <w:rPr>
                <w:rFonts w:cs="Arial"/>
                <w:szCs w:val="18"/>
                <w:lang w:val="en-GB"/>
              </w:rPr>
              <w:t>,eq/ref. unit.]</w:t>
            </w:r>
          </w:p>
        </w:tc>
        <w:tc>
          <w:tcPr>
            <w:tcW w:w="129" w:type="dxa"/>
            <w:shd w:val="clear" w:color="auto" w:fill="FFFFFF"/>
          </w:tcPr>
          <w:p w14:paraId="0FC02318" w14:textId="77777777" w:rsidR="0014555F" w:rsidRPr="00B57B36" w:rsidRDefault="0014555F" w:rsidP="0014555F">
            <w:pPr>
              <w:pStyle w:val="CETBodytext"/>
              <w:ind w:right="-1"/>
              <w:rPr>
                <w:rFonts w:cs="Arial"/>
                <w:szCs w:val="18"/>
                <w:lang w:val="en-GB"/>
              </w:rPr>
            </w:pPr>
          </w:p>
        </w:tc>
      </w:tr>
      <w:tr w:rsidR="0014555F" w:rsidRPr="00B57B36" w14:paraId="24E7368F" w14:textId="77777777" w:rsidTr="00AD1C89">
        <w:trPr>
          <w:trHeight w:val="170"/>
        </w:trPr>
        <w:tc>
          <w:tcPr>
            <w:tcW w:w="1526" w:type="dxa"/>
            <w:shd w:val="clear" w:color="auto" w:fill="FFFFFF"/>
          </w:tcPr>
          <w:p w14:paraId="25B4BB91" w14:textId="36103441" w:rsidR="0014555F" w:rsidRDefault="0014555F" w:rsidP="0014555F">
            <w:pPr>
              <w:pStyle w:val="CETBodytext"/>
              <w:ind w:right="-1"/>
              <w:rPr>
                <w:rFonts w:cs="Arial"/>
                <w:szCs w:val="18"/>
                <w:lang w:val="en-GB"/>
              </w:rPr>
            </w:pPr>
            <w:r>
              <w:rPr>
                <w:rFonts w:cs="Arial"/>
                <w:szCs w:val="18"/>
                <w:lang w:val="en-GB"/>
              </w:rPr>
              <w:t>EI</w:t>
            </w:r>
          </w:p>
        </w:tc>
        <w:tc>
          <w:tcPr>
            <w:tcW w:w="3224" w:type="dxa"/>
            <w:shd w:val="clear" w:color="auto" w:fill="FFFFFF"/>
          </w:tcPr>
          <w:p w14:paraId="218C71AF" w14:textId="568B1F5A" w:rsidR="0014555F" w:rsidRPr="00B57B36" w:rsidRDefault="0014555F" w:rsidP="0014555F">
            <w:pPr>
              <w:pStyle w:val="CETBodytext"/>
              <w:ind w:right="-1"/>
              <w:rPr>
                <w:rFonts w:cs="Arial"/>
                <w:szCs w:val="18"/>
                <w:lang w:val="en-GB"/>
              </w:rPr>
            </w:pPr>
            <w:r>
              <w:rPr>
                <w:rFonts w:cs="Arial"/>
                <w:szCs w:val="18"/>
                <w:lang w:val="en-GB"/>
              </w:rPr>
              <w:t xml:space="preserve">Eutrophication </w:t>
            </w:r>
            <w:r>
              <w:rPr>
                <w:lang w:val="en-GB"/>
              </w:rPr>
              <w:t>Indicator</w:t>
            </w:r>
          </w:p>
        </w:tc>
        <w:tc>
          <w:tcPr>
            <w:tcW w:w="2337" w:type="dxa"/>
            <w:shd w:val="clear" w:color="auto" w:fill="FFFFFF"/>
          </w:tcPr>
          <w:p w14:paraId="1845D18A" w14:textId="1C1D4EE5" w:rsidR="0014555F" w:rsidRPr="00B57B36" w:rsidRDefault="002F678D" w:rsidP="0014555F">
            <w:pPr>
              <w:pStyle w:val="CETBodytext"/>
              <w:ind w:right="-1"/>
              <w:jc w:val="left"/>
              <w:rPr>
                <w:rFonts w:cs="Arial"/>
                <w:szCs w:val="18"/>
                <w:lang w:val="en-GB"/>
              </w:rPr>
            </w:pPr>
            <m:oMath>
              <m:sSubSup>
                <m:sSubSupPr>
                  <m:ctrlPr>
                    <w:rPr>
                      <w:rFonts w:ascii="Cambria Math" w:hAnsi="Cambria Math"/>
                      <w:lang w:val="it-IT"/>
                    </w:rPr>
                  </m:ctrlPr>
                </m:sSubSupPr>
                <m:e>
                  <m:r>
                    <w:rPr>
                      <w:rFonts w:ascii="Cambria Math" w:hAnsi="Cambria Math"/>
                    </w:rPr>
                    <m:t>PO</m:t>
                  </m:r>
                </m:e>
                <m:sub>
                  <m:r>
                    <w:rPr>
                      <w:rFonts w:ascii="Cambria Math" w:hAnsi="Cambria Math"/>
                    </w:rPr>
                    <m:t>4</m:t>
                  </m:r>
                </m:sub>
                <m:sup>
                  <m:r>
                    <w:rPr>
                      <w:rFonts w:ascii="Cambria Math" w:hAnsi="Cambria Math"/>
                    </w:rPr>
                    <m:t>3-</m:t>
                  </m:r>
                </m:sup>
              </m:sSubSup>
            </m:oMath>
            <w:r w:rsidR="0014555F">
              <w:rPr>
                <w:rFonts w:cs="Arial"/>
                <w:lang w:val="it-IT"/>
              </w:rPr>
              <w:t xml:space="preserve"> *</w:t>
            </w:r>
            <w:r w:rsidR="0014555F" w:rsidRPr="00573995">
              <w:rPr>
                <w:rFonts w:cs="Arial"/>
                <w:szCs w:val="18"/>
                <w:lang w:val="en-GB"/>
              </w:rPr>
              <w:t>, NO</w:t>
            </w:r>
            <w:r w:rsidR="0014555F" w:rsidRPr="00573995">
              <w:rPr>
                <w:rFonts w:cs="Arial"/>
                <w:szCs w:val="18"/>
                <w:vertAlign w:val="subscript"/>
                <w:lang w:val="en-GB"/>
              </w:rPr>
              <w:t>x</w:t>
            </w:r>
            <w:r w:rsidR="0014555F" w:rsidRPr="00573995">
              <w:rPr>
                <w:rFonts w:cs="Arial"/>
                <w:szCs w:val="18"/>
                <w:lang w:val="en-GB"/>
              </w:rPr>
              <w:t>, NH</w:t>
            </w:r>
            <w:r w:rsidR="0014555F" w:rsidRPr="00573995">
              <w:rPr>
                <w:rFonts w:cs="Arial"/>
                <w:szCs w:val="18"/>
                <w:vertAlign w:val="subscript"/>
                <w:lang w:val="en-GB"/>
              </w:rPr>
              <w:t>3</w:t>
            </w:r>
          </w:p>
        </w:tc>
        <w:tc>
          <w:tcPr>
            <w:tcW w:w="29" w:type="dxa"/>
            <w:shd w:val="clear" w:color="auto" w:fill="FFFFFF"/>
          </w:tcPr>
          <w:p w14:paraId="49845CEB" w14:textId="77777777" w:rsidR="0014555F" w:rsidRPr="00B57B36" w:rsidRDefault="0014555F" w:rsidP="0014555F">
            <w:pPr>
              <w:pStyle w:val="CETBodytext"/>
              <w:ind w:right="-1"/>
              <w:jc w:val="left"/>
              <w:rPr>
                <w:rFonts w:cs="Arial"/>
                <w:szCs w:val="18"/>
                <w:lang w:val="en-GB"/>
              </w:rPr>
            </w:pPr>
          </w:p>
        </w:tc>
        <w:tc>
          <w:tcPr>
            <w:tcW w:w="1706" w:type="dxa"/>
            <w:shd w:val="clear" w:color="auto" w:fill="FFFFFF"/>
          </w:tcPr>
          <w:p w14:paraId="33B07B60" w14:textId="13795AEE" w:rsidR="0014555F" w:rsidRPr="00B57B36" w:rsidRDefault="0014555F" w:rsidP="0014555F">
            <w:pPr>
              <w:pStyle w:val="CETBodytext"/>
              <w:ind w:right="-1"/>
              <w:jc w:val="left"/>
              <w:rPr>
                <w:rFonts w:cs="Arial"/>
                <w:szCs w:val="18"/>
                <w:lang w:val="en-GB"/>
              </w:rPr>
            </w:pPr>
            <w:r w:rsidRPr="00DC7281">
              <w:rPr>
                <w:rFonts w:cs="Arial"/>
                <w:szCs w:val="18"/>
                <w:lang w:val="en-GB"/>
              </w:rPr>
              <w:t>[kg</w:t>
            </w:r>
            <w:r>
              <w:rPr>
                <w:rFonts w:cs="Arial"/>
                <w:szCs w:val="18"/>
                <w:lang w:val="en-GB"/>
              </w:rPr>
              <w:t xml:space="preserve"> </w:t>
            </w:r>
            <m:oMath>
              <m:sSubSup>
                <m:sSubSupPr>
                  <m:ctrlPr>
                    <w:rPr>
                      <w:rFonts w:ascii="Cambria Math" w:hAnsi="Cambria Math"/>
                      <w:lang w:val="it-IT"/>
                    </w:rPr>
                  </m:ctrlPr>
                </m:sSubSupPr>
                <m:e>
                  <m:r>
                    <w:rPr>
                      <w:rFonts w:ascii="Cambria Math" w:hAnsi="Cambria Math"/>
                    </w:rPr>
                    <m:t>PO</m:t>
                  </m:r>
                </m:e>
                <m:sub>
                  <m:r>
                    <w:rPr>
                      <w:rFonts w:ascii="Cambria Math" w:hAnsi="Cambria Math"/>
                    </w:rPr>
                    <m:t>4</m:t>
                  </m:r>
                </m:sub>
                <m:sup>
                  <m:r>
                    <w:rPr>
                      <w:rFonts w:ascii="Cambria Math" w:hAnsi="Cambria Math"/>
                    </w:rPr>
                    <m:t>3-</m:t>
                  </m:r>
                </m:sup>
              </m:sSubSup>
            </m:oMath>
            <w:r w:rsidRPr="00DC7281">
              <w:rPr>
                <w:rFonts w:cs="Arial"/>
                <w:szCs w:val="18"/>
                <w:lang w:val="en-GB"/>
              </w:rPr>
              <w:t>,eq/ref. unit.]</w:t>
            </w:r>
          </w:p>
        </w:tc>
        <w:tc>
          <w:tcPr>
            <w:tcW w:w="129" w:type="dxa"/>
            <w:shd w:val="clear" w:color="auto" w:fill="FFFFFF"/>
          </w:tcPr>
          <w:p w14:paraId="1479EF8A" w14:textId="77777777" w:rsidR="0014555F" w:rsidRPr="00B57B36" w:rsidRDefault="0014555F" w:rsidP="0014555F">
            <w:pPr>
              <w:pStyle w:val="CETBodytext"/>
              <w:ind w:right="-1"/>
              <w:rPr>
                <w:rFonts w:cs="Arial"/>
                <w:szCs w:val="18"/>
                <w:lang w:val="en-GB"/>
              </w:rPr>
            </w:pPr>
          </w:p>
        </w:tc>
      </w:tr>
      <w:tr w:rsidR="00F11D43" w:rsidRPr="00B57B36" w14:paraId="47384F35" w14:textId="77777777" w:rsidTr="00AD1C89">
        <w:trPr>
          <w:trHeight w:val="170"/>
        </w:trPr>
        <w:tc>
          <w:tcPr>
            <w:tcW w:w="1526" w:type="dxa"/>
            <w:shd w:val="clear" w:color="auto" w:fill="FFFFFF"/>
          </w:tcPr>
          <w:p w14:paraId="41A55B6C" w14:textId="26B1789B" w:rsidR="00F11D43" w:rsidRDefault="00F11D43" w:rsidP="00F11D43">
            <w:pPr>
              <w:pStyle w:val="CETBodytext"/>
              <w:ind w:right="-1"/>
              <w:rPr>
                <w:rFonts w:cs="Arial"/>
                <w:szCs w:val="18"/>
                <w:lang w:val="en-GB"/>
              </w:rPr>
            </w:pPr>
            <w:r>
              <w:rPr>
                <w:rFonts w:cs="Arial"/>
                <w:szCs w:val="18"/>
                <w:lang w:val="en-GB"/>
              </w:rPr>
              <w:t>POCI</w:t>
            </w:r>
          </w:p>
        </w:tc>
        <w:tc>
          <w:tcPr>
            <w:tcW w:w="3224" w:type="dxa"/>
            <w:shd w:val="clear" w:color="auto" w:fill="FFFFFF"/>
          </w:tcPr>
          <w:p w14:paraId="7FB10783" w14:textId="323EAA05" w:rsidR="00F11D43" w:rsidRPr="00B57B36" w:rsidRDefault="00F11D43" w:rsidP="00F11D43">
            <w:pPr>
              <w:pStyle w:val="CETBodytext"/>
              <w:ind w:right="-1"/>
              <w:jc w:val="left"/>
              <w:rPr>
                <w:rFonts w:cs="Arial"/>
                <w:szCs w:val="18"/>
                <w:lang w:val="en-GB"/>
              </w:rPr>
            </w:pPr>
            <w:r>
              <w:rPr>
                <w:rFonts w:cs="Arial"/>
                <w:szCs w:val="18"/>
                <w:lang w:val="en-GB"/>
              </w:rPr>
              <w:t xml:space="preserve">Photochemical Ozone Creation </w:t>
            </w:r>
            <w:r>
              <w:rPr>
                <w:lang w:val="en-GB"/>
              </w:rPr>
              <w:t>Indicator</w:t>
            </w:r>
          </w:p>
        </w:tc>
        <w:tc>
          <w:tcPr>
            <w:tcW w:w="2337" w:type="dxa"/>
            <w:shd w:val="clear" w:color="auto" w:fill="FFFFFF"/>
          </w:tcPr>
          <w:p w14:paraId="790A1107" w14:textId="2FEC893E" w:rsidR="00F11D43" w:rsidRPr="00E94CA9" w:rsidRDefault="00F11D43" w:rsidP="00F11D43">
            <w:pPr>
              <w:pStyle w:val="CETBodytext"/>
              <w:ind w:right="-1"/>
              <w:jc w:val="left"/>
              <w:rPr>
                <w:rFonts w:cs="Arial"/>
                <w:szCs w:val="18"/>
                <w:lang w:val="en-GB"/>
              </w:rPr>
            </w:pPr>
            <w:r>
              <w:rPr>
                <w:rFonts w:cs="Arial"/>
                <w:szCs w:val="18"/>
                <w:lang w:val="en-GB"/>
              </w:rPr>
              <w:t>C</w:t>
            </w:r>
            <w:r w:rsidRPr="00E94CA9">
              <w:rPr>
                <w:rFonts w:cs="Arial"/>
                <w:szCs w:val="18"/>
                <w:vertAlign w:val="subscript"/>
                <w:lang w:val="en-GB"/>
              </w:rPr>
              <w:t>2</w:t>
            </w:r>
            <w:r>
              <w:rPr>
                <w:rFonts w:cs="Arial"/>
                <w:szCs w:val="18"/>
                <w:lang w:val="en-GB"/>
              </w:rPr>
              <w:t>H</w:t>
            </w:r>
            <w:r>
              <w:rPr>
                <w:rFonts w:cs="Arial"/>
                <w:szCs w:val="18"/>
                <w:vertAlign w:val="subscript"/>
                <w:lang w:val="en-GB"/>
              </w:rPr>
              <w:t xml:space="preserve">4 </w:t>
            </w:r>
            <w:r>
              <w:rPr>
                <w:rFonts w:cs="Arial"/>
                <w:szCs w:val="18"/>
                <w:lang w:val="en-GB"/>
              </w:rPr>
              <w:t xml:space="preserve">*, VOCs, </w:t>
            </w:r>
            <w:r w:rsidRPr="00573995">
              <w:rPr>
                <w:rFonts w:cs="Arial"/>
                <w:szCs w:val="18"/>
                <w:lang w:val="en-GB"/>
              </w:rPr>
              <w:t>NO</w:t>
            </w:r>
            <w:r w:rsidRPr="00573995">
              <w:rPr>
                <w:rFonts w:cs="Arial"/>
                <w:szCs w:val="18"/>
                <w:vertAlign w:val="subscript"/>
                <w:lang w:val="en-GB"/>
              </w:rPr>
              <w:t>x</w:t>
            </w:r>
            <w:r>
              <w:rPr>
                <w:rFonts w:cs="Arial"/>
                <w:szCs w:val="18"/>
                <w:lang w:val="en-GB"/>
              </w:rPr>
              <w:t xml:space="preserve"> </w:t>
            </w:r>
          </w:p>
        </w:tc>
        <w:tc>
          <w:tcPr>
            <w:tcW w:w="29" w:type="dxa"/>
            <w:shd w:val="clear" w:color="auto" w:fill="FFFFFF"/>
          </w:tcPr>
          <w:p w14:paraId="123C2F09" w14:textId="77777777" w:rsidR="00F11D43" w:rsidRPr="00B57B36" w:rsidRDefault="00F11D43" w:rsidP="00F11D43">
            <w:pPr>
              <w:pStyle w:val="CETBodytext"/>
              <w:ind w:right="-1"/>
              <w:jc w:val="left"/>
              <w:rPr>
                <w:rFonts w:cs="Arial"/>
                <w:szCs w:val="18"/>
                <w:lang w:val="en-GB"/>
              </w:rPr>
            </w:pPr>
          </w:p>
        </w:tc>
        <w:tc>
          <w:tcPr>
            <w:tcW w:w="1706" w:type="dxa"/>
            <w:shd w:val="clear" w:color="auto" w:fill="FFFFFF"/>
          </w:tcPr>
          <w:p w14:paraId="7343C755" w14:textId="28DC8FCE" w:rsidR="00F11D43" w:rsidRPr="00B57B36" w:rsidRDefault="00F11D43" w:rsidP="00F11D43">
            <w:pPr>
              <w:pStyle w:val="CETBodytext"/>
              <w:ind w:right="-1"/>
              <w:jc w:val="left"/>
              <w:rPr>
                <w:rFonts w:cs="Arial"/>
                <w:szCs w:val="18"/>
                <w:lang w:val="en-GB"/>
              </w:rPr>
            </w:pPr>
            <w:r w:rsidRPr="00DC7281">
              <w:rPr>
                <w:rFonts w:cs="Arial"/>
                <w:szCs w:val="18"/>
                <w:lang w:val="en-GB"/>
              </w:rPr>
              <w:t>[</w:t>
            </w:r>
            <w:proofErr w:type="spellStart"/>
            <w:r w:rsidRPr="00DC7281">
              <w:rPr>
                <w:rFonts w:cs="Arial"/>
                <w:szCs w:val="18"/>
                <w:lang w:val="en-GB"/>
              </w:rPr>
              <w:t>kg</w:t>
            </w:r>
            <w:r>
              <w:rPr>
                <w:rFonts w:cs="Arial"/>
                <w:szCs w:val="18"/>
                <w:lang w:val="en-GB"/>
              </w:rPr>
              <w:t>Ethylene</w:t>
            </w:r>
            <w:r w:rsidRPr="00DC7281">
              <w:rPr>
                <w:rFonts w:cs="Arial"/>
                <w:szCs w:val="18"/>
                <w:lang w:val="en-GB"/>
              </w:rPr>
              <w:t>,eq</w:t>
            </w:r>
            <w:proofErr w:type="spellEnd"/>
            <w:r w:rsidRPr="00DC7281">
              <w:rPr>
                <w:rFonts w:cs="Arial"/>
                <w:szCs w:val="18"/>
                <w:lang w:val="en-GB"/>
              </w:rPr>
              <w:t>/ref. unit.]</w:t>
            </w:r>
          </w:p>
        </w:tc>
        <w:tc>
          <w:tcPr>
            <w:tcW w:w="129" w:type="dxa"/>
            <w:shd w:val="clear" w:color="auto" w:fill="FFFFFF"/>
          </w:tcPr>
          <w:p w14:paraId="0A42FEDE" w14:textId="77777777" w:rsidR="00F11D43" w:rsidRPr="00B57B36" w:rsidRDefault="00F11D43" w:rsidP="00F11D43">
            <w:pPr>
              <w:pStyle w:val="CETBodytext"/>
              <w:ind w:right="-1"/>
              <w:rPr>
                <w:rFonts w:cs="Arial"/>
                <w:szCs w:val="18"/>
                <w:lang w:val="en-GB"/>
              </w:rPr>
            </w:pPr>
          </w:p>
        </w:tc>
      </w:tr>
      <w:tr w:rsidR="00F11D43" w:rsidRPr="00B57B36" w14:paraId="490F04A7" w14:textId="77777777" w:rsidTr="00AD1C89">
        <w:trPr>
          <w:trHeight w:val="170"/>
        </w:trPr>
        <w:tc>
          <w:tcPr>
            <w:tcW w:w="1526" w:type="dxa"/>
            <w:shd w:val="clear" w:color="auto" w:fill="FFFFFF"/>
          </w:tcPr>
          <w:p w14:paraId="7CA91DEA" w14:textId="016CA7BB" w:rsidR="00F11D43" w:rsidRDefault="00F11D43" w:rsidP="00F11D43">
            <w:pPr>
              <w:pStyle w:val="CETBodytext"/>
              <w:ind w:right="-1"/>
              <w:rPr>
                <w:rFonts w:cs="Arial"/>
                <w:szCs w:val="18"/>
                <w:lang w:val="en-GB"/>
              </w:rPr>
            </w:pPr>
            <w:r>
              <w:rPr>
                <w:rFonts w:cs="Arial"/>
                <w:szCs w:val="18"/>
                <w:lang w:val="en-GB"/>
              </w:rPr>
              <w:t>HTI</w:t>
            </w:r>
          </w:p>
        </w:tc>
        <w:tc>
          <w:tcPr>
            <w:tcW w:w="3224" w:type="dxa"/>
            <w:shd w:val="clear" w:color="auto" w:fill="FFFFFF"/>
          </w:tcPr>
          <w:p w14:paraId="7EED8AFF" w14:textId="290D51FE" w:rsidR="00F11D43" w:rsidRPr="00B57B36" w:rsidRDefault="00F11D43" w:rsidP="00F11D43">
            <w:pPr>
              <w:pStyle w:val="CETBodytext"/>
              <w:ind w:right="-1"/>
              <w:rPr>
                <w:rFonts w:cs="Arial"/>
                <w:szCs w:val="18"/>
                <w:lang w:val="en-GB"/>
              </w:rPr>
            </w:pPr>
            <w:r>
              <w:rPr>
                <w:rFonts w:cs="Arial"/>
                <w:szCs w:val="18"/>
                <w:lang w:val="en-GB"/>
              </w:rPr>
              <w:t xml:space="preserve">Human Toxicity </w:t>
            </w:r>
            <w:r>
              <w:rPr>
                <w:lang w:val="en-GB"/>
              </w:rPr>
              <w:t>Indicator</w:t>
            </w:r>
          </w:p>
        </w:tc>
        <w:tc>
          <w:tcPr>
            <w:tcW w:w="2337" w:type="dxa"/>
            <w:shd w:val="clear" w:color="auto" w:fill="FFFFFF"/>
          </w:tcPr>
          <w:p w14:paraId="13B0878C" w14:textId="198EB3E0" w:rsidR="00F11D43" w:rsidRPr="00B57B36" w:rsidRDefault="00F11D43" w:rsidP="00F11D43">
            <w:pPr>
              <w:pStyle w:val="CETBodytext"/>
              <w:ind w:right="-1"/>
              <w:jc w:val="left"/>
              <w:rPr>
                <w:rFonts w:cs="Arial"/>
                <w:szCs w:val="18"/>
                <w:lang w:val="en-GB"/>
              </w:rPr>
            </w:pPr>
            <w:r w:rsidRPr="009C23F8">
              <w:rPr>
                <w:rFonts w:cs="Arial"/>
                <w:szCs w:val="18"/>
                <w:lang w:val="it-IT"/>
              </w:rPr>
              <w:t xml:space="preserve">1,4 </w:t>
            </w:r>
            <w:r>
              <w:rPr>
                <w:rFonts w:cs="Arial"/>
                <w:szCs w:val="18"/>
                <w:lang w:val="it-IT"/>
              </w:rPr>
              <w:t>–</w:t>
            </w:r>
            <w:r w:rsidRPr="009C23F8">
              <w:rPr>
                <w:rFonts w:cs="Arial"/>
                <w:szCs w:val="18"/>
                <w:lang w:val="it-IT"/>
              </w:rPr>
              <w:t xml:space="preserve"> </w:t>
            </w:r>
            <w:proofErr w:type="spellStart"/>
            <w:r w:rsidRPr="009C23F8">
              <w:rPr>
                <w:rFonts w:cs="Arial"/>
                <w:szCs w:val="18"/>
                <w:lang w:val="it-IT"/>
              </w:rPr>
              <w:t>Dichlorobenzene</w:t>
            </w:r>
            <w:proofErr w:type="spellEnd"/>
            <w:r>
              <w:rPr>
                <w:rFonts w:cs="Arial"/>
                <w:szCs w:val="18"/>
                <w:lang w:val="it-IT"/>
              </w:rPr>
              <w:t xml:space="preserve">*, </w:t>
            </w:r>
            <w:r w:rsidRPr="009C23F8">
              <w:rPr>
                <w:rFonts w:cs="Arial"/>
                <w:szCs w:val="18"/>
                <w:lang w:val="it-IT"/>
              </w:rPr>
              <w:t>Benzene</w:t>
            </w:r>
            <w:r w:rsidRPr="009C23F8">
              <w:rPr>
                <w:rFonts w:cs="Arial"/>
                <w:szCs w:val="18"/>
                <w:lang w:val="en-GB"/>
              </w:rPr>
              <w:t>, Acrylonitrile, Arsenic</w:t>
            </w:r>
          </w:p>
        </w:tc>
        <w:tc>
          <w:tcPr>
            <w:tcW w:w="29" w:type="dxa"/>
            <w:shd w:val="clear" w:color="auto" w:fill="FFFFFF"/>
          </w:tcPr>
          <w:p w14:paraId="764CB570" w14:textId="77777777" w:rsidR="00F11D43" w:rsidRPr="00B57B36" w:rsidRDefault="00F11D43" w:rsidP="00F11D43">
            <w:pPr>
              <w:pStyle w:val="CETBodytext"/>
              <w:ind w:right="-1"/>
              <w:jc w:val="left"/>
              <w:rPr>
                <w:rFonts w:cs="Arial"/>
                <w:szCs w:val="18"/>
                <w:lang w:val="en-GB"/>
              </w:rPr>
            </w:pPr>
          </w:p>
        </w:tc>
        <w:tc>
          <w:tcPr>
            <w:tcW w:w="1706" w:type="dxa"/>
            <w:shd w:val="clear" w:color="auto" w:fill="FFFFFF"/>
          </w:tcPr>
          <w:p w14:paraId="34DF7F8E" w14:textId="17D05522" w:rsidR="00F11D43" w:rsidRPr="00B57B36" w:rsidRDefault="00F11D43" w:rsidP="00F11D43">
            <w:pPr>
              <w:pStyle w:val="CETBodytext"/>
              <w:ind w:right="-1"/>
              <w:jc w:val="left"/>
              <w:rPr>
                <w:rFonts w:cs="Arial"/>
                <w:szCs w:val="18"/>
                <w:lang w:val="en-GB"/>
              </w:rPr>
            </w:pPr>
            <w:r w:rsidRPr="00DC7281">
              <w:rPr>
                <w:rFonts w:cs="Arial"/>
                <w:szCs w:val="18"/>
                <w:lang w:val="en-GB"/>
              </w:rPr>
              <w:t>[kg</w:t>
            </w:r>
            <w:r>
              <w:rPr>
                <w:rFonts w:cs="Arial"/>
                <w:szCs w:val="18"/>
                <w:lang w:val="en-GB"/>
              </w:rPr>
              <w:t xml:space="preserve"> </w:t>
            </w:r>
            <w:r w:rsidRPr="009C23F8">
              <w:rPr>
                <w:rFonts w:cs="Arial"/>
                <w:szCs w:val="18"/>
                <w:lang w:val="it-IT"/>
              </w:rPr>
              <w:t xml:space="preserve">1,4 </w:t>
            </w:r>
            <w:r>
              <w:rPr>
                <w:rFonts w:cs="Arial"/>
                <w:szCs w:val="18"/>
                <w:lang w:val="it-IT"/>
              </w:rPr>
              <w:t>–</w:t>
            </w:r>
            <w:r w:rsidRPr="009C23F8">
              <w:rPr>
                <w:rFonts w:cs="Arial"/>
                <w:szCs w:val="18"/>
                <w:lang w:val="it-IT"/>
              </w:rPr>
              <w:t xml:space="preserve"> </w:t>
            </w:r>
            <w:proofErr w:type="spellStart"/>
            <w:r w:rsidRPr="009C23F8">
              <w:rPr>
                <w:rFonts w:cs="Arial"/>
                <w:szCs w:val="18"/>
                <w:lang w:val="it-IT"/>
              </w:rPr>
              <w:t>Dichlorobenzene</w:t>
            </w:r>
            <w:proofErr w:type="spellEnd"/>
            <w:r w:rsidRPr="00DC7281">
              <w:rPr>
                <w:rFonts w:cs="Arial"/>
                <w:szCs w:val="18"/>
                <w:lang w:val="en-GB"/>
              </w:rPr>
              <w:t>,</w:t>
            </w:r>
            <w:proofErr w:type="spellStart"/>
            <w:r w:rsidRPr="00DC7281">
              <w:rPr>
                <w:rFonts w:cs="Arial"/>
                <w:szCs w:val="18"/>
                <w:lang w:val="en-GB"/>
              </w:rPr>
              <w:t>eq</w:t>
            </w:r>
            <w:proofErr w:type="spellEnd"/>
            <w:r w:rsidRPr="00DC7281">
              <w:rPr>
                <w:rFonts w:cs="Arial"/>
                <w:szCs w:val="18"/>
                <w:lang w:val="en-GB"/>
              </w:rPr>
              <w:t>/ref. unit.]</w:t>
            </w:r>
          </w:p>
        </w:tc>
        <w:tc>
          <w:tcPr>
            <w:tcW w:w="129" w:type="dxa"/>
            <w:shd w:val="clear" w:color="auto" w:fill="FFFFFF"/>
          </w:tcPr>
          <w:p w14:paraId="7D2D2C72" w14:textId="77777777" w:rsidR="00F11D43" w:rsidRPr="00B57B36" w:rsidRDefault="00F11D43" w:rsidP="00F11D43">
            <w:pPr>
              <w:pStyle w:val="CETBodytext"/>
              <w:ind w:right="-1"/>
              <w:rPr>
                <w:rFonts w:cs="Arial"/>
                <w:szCs w:val="18"/>
                <w:lang w:val="en-GB"/>
              </w:rPr>
            </w:pPr>
          </w:p>
        </w:tc>
      </w:tr>
    </w:tbl>
    <w:p w14:paraId="4C8E3B88" w14:textId="6B3E2C17" w:rsidR="0012301C" w:rsidRPr="00B31439" w:rsidRDefault="00C5353E" w:rsidP="003A07E3">
      <w:pPr>
        <w:rPr>
          <w:i/>
        </w:rPr>
      </w:pPr>
      <w:r w:rsidRPr="00B31439">
        <w:rPr>
          <w:i/>
        </w:rPr>
        <w:t>Star (*) marks the reference substance</w:t>
      </w:r>
      <w:r w:rsidR="003D368C">
        <w:rPr>
          <w:i/>
        </w:rPr>
        <w:t xml:space="preserve"> used in definition of CF.</w:t>
      </w:r>
    </w:p>
    <w:p w14:paraId="7D687F07" w14:textId="77777777" w:rsidR="00C5353E" w:rsidRPr="00B31439" w:rsidRDefault="00C5353E" w:rsidP="003A07E3">
      <w:pPr>
        <w:rPr>
          <w:lang w:val="en-US"/>
        </w:rPr>
      </w:pPr>
    </w:p>
    <w:p w14:paraId="62F3F775" w14:textId="304CFE89" w:rsidR="0012301C" w:rsidRDefault="003023BD" w:rsidP="003A07E3">
      <w:r w:rsidRPr="00B054B8">
        <w:rPr>
          <w:lang w:val="en-US"/>
        </w:rPr>
        <w:t>The mass flow</w:t>
      </w:r>
      <w:r>
        <w:rPr>
          <w:lang w:val="en-US"/>
        </w:rPr>
        <w:t>s</w:t>
      </w:r>
      <w:r w:rsidRPr="002F4D91">
        <w:rPr>
          <w:lang w:val="en-US"/>
        </w:rPr>
        <w:t xml:space="preserve"> </w:t>
      </w:r>
      <w:r>
        <w:rPr>
          <w:lang w:val="en-US"/>
        </w:rPr>
        <w:t xml:space="preserve">in </w:t>
      </w:r>
      <w:proofErr w:type="gramStart"/>
      <w:r w:rsidR="00694A19">
        <w:rPr>
          <w:lang w:val="en-US"/>
        </w:rPr>
        <w:t>Eq(</w:t>
      </w:r>
      <w:proofErr w:type="gramEnd"/>
      <w:r w:rsidR="00694A19">
        <w:rPr>
          <w:lang w:val="en-US"/>
        </w:rPr>
        <w:t>1)</w:t>
      </w:r>
      <w:r>
        <w:rPr>
          <w:lang w:val="en-US"/>
        </w:rPr>
        <w:t xml:space="preserve"> </w:t>
      </w:r>
      <w:r w:rsidRPr="002F4D91">
        <w:rPr>
          <w:lang w:val="en-US"/>
        </w:rPr>
        <w:t>shall</w:t>
      </w:r>
      <w:r>
        <w:rPr>
          <w:lang w:val="en-US"/>
        </w:rPr>
        <w:t xml:space="preserve"> be calculated taking into account all the emissions over the “environmental boundary” of Figure 1. Given the additive nature of the indicators, the calculation with reference to the emissions from specific processes within the boundary allows to monitor the entire polymer production chain from environmental standpoint. In this direction, the effect of utilization of different sources for material and energy supply can be quantified. Furthermore, comparative assessment can promote and drive design decision</w:t>
      </w:r>
      <w:r w:rsidR="00247F71">
        <w:rPr>
          <w:lang w:val="en-US"/>
        </w:rPr>
        <w:t>s</w:t>
      </w:r>
      <w:r>
        <w:rPr>
          <w:lang w:val="en-US"/>
        </w:rPr>
        <w:t xml:space="preserve"> through the quantification of specific set of indicators. This versatility allows to evaluate</w:t>
      </w:r>
      <w:r w:rsidRPr="00975117">
        <w:t xml:space="preserve"> </w:t>
      </w:r>
      <w:r>
        <w:t xml:space="preserve">the </w:t>
      </w:r>
      <w:r w:rsidRPr="00975117">
        <w:t>effect of specific background processes (</w:t>
      </w:r>
      <w:proofErr w:type="spellStart"/>
      <w:r w:rsidRPr="00975117">
        <w:t>e.g</w:t>
      </w:r>
      <w:proofErr w:type="spellEnd"/>
      <w:r w:rsidRPr="00975117">
        <w:t xml:space="preserve"> spanning from non-renewable to renewable technologies for electricity and steam generation).</w:t>
      </w:r>
    </w:p>
    <w:p w14:paraId="1DB8ED27" w14:textId="1E7F5724" w:rsidR="0012301C" w:rsidRDefault="0012301C" w:rsidP="009D22DB">
      <w:pPr>
        <w:pStyle w:val="CETheadingx"/>
      </w:pPr>
      <w:r>
        <w:lastRenderedPageBreak/>
        <w:t>Calculation of exergy indicators</w:t>
      </w:r>
    </w:p>
    <w:p w14:paraId="2E29EED8" w14:textId="77777777" w:rsidR="00037414" w:rsidRDefault="00037414" w:rsidP="00037414">
      <w:pPr>
        <w:pStyle w:val="Paragrafoelenco"/>
        <w:ind w:left="0"/>
      </w:pPr>
      <w:r>
        <w:t>Exergy analysis is based on the simultaneous application of the First and the Second Thermodynamic Laws. It is able to assess the way energy is used in operations, overcoming the limitation of energy balances based only on the First Thermodynamic Law, that do not provide information about the degradation of energy or material sources during a process use. Exergy of a system (e.g. process stream) is assumed equal to zero at environmental equilibrium of pressure and temperature (</w:t>
      </w:r>
      <w:r w:rsidRPr="006B464F">
        <w:t>dead state</w:t>
      </w:r>
      <w:r>
        <w:t>, e.g. Polymeric outlet stream).</w:t>
      </w:r>
    </w:p>
    <w:p w14:paraId="66756379" w14:textId="5DD430F1" w:rsidR="00C25B29" w:rsidRDefault="00EA6871" w:rsidP="003A07E3">
      <w:r>
        <w:t xml:space="preserve">Exergy </w:t>
      </w:r>
      <w:r w:rsidR="007B6B3B">
        <w:t xml:space="preserve">value of </w:t>
      </w:r>
      <w:r>
        <w:t xml:space="preserve">material input and output is calculated by </w:t>
      </w:r>
      <w:proofErr w:type="spellStart"/>
      <w:r>
        <w:t>Eq</w:t>
      </w:r>
      <w:proofErr w:type="spellEnd"/>
      <w:r>
        <w:t>(2)</w:t>
      </w:r>
      <w:r w:rsidR="003023BD">
        <w:t>.</w:t>
      </w:r>
      <w:r>
        <w:t xml:space="preserve"> </w:t>
      </w:r>
      <w:r w:rsidR="00B801B5">
        <w:t>Exergy destruction indicator is derived by the application of exergy balance</w:t>
      </w:r>
      <w:r w:rsidR="005A3176">
        <w:t xml:space="preserve"> </w:t>
      </w:r>
      <w:proofErr w:type="spellStart"/>
      <w:r w:rsidR="00A03A22">
        <w:t>Eq</w:t>
      </w:r>
      <w:proofErr w:type="spellEnd"/>
      <w:r w:rsidR="00A03A22">
        <w:t>(</w:t>
      </w:r>
      <w:r w:rsidR="00FE0FBC">
        <w:t>3</w:t>
      </w:r>
      <w:r w:rsidR="00A03A22">
        <w:t xml:space="preserve">) </w:t>
      </w:r>
      <w:r w:rsidR="005A3176">
        <w:t xml:space="preserve">to the reference system. </w:t>
      </w:r>
      <w:r w:rsidR="00996422">
        <w:t>This approach allows to characterize</w:t>
      </w:r>
      <w:r w:rsidR="0063799B">
        <w:t xml:space="preserve"> the exergy lost due to the irreversibility </w:t>
      </w:r>
      <w:r w:rsidR="00EA3320">
        <w:t xml:space="preserve">of chemical and physical transformations inside the system. </w:t>
      </w:r>
    </w:p>
    <w:tbl>
      <w:tblPr>
        <w:tblW w:w="5000" w:type="pct"/>
        <w:tblLook w:val="04A0" w:firstRow="1" w:lastRow="0" w:firstColumn="1" w:lastColumn="0" w:noHBand="0" w:noVBand="1"/>
      </w:tblPr>
      <w:tblGrid>
        <w:gridCol w:w="7986"/>
        <w:gridCol w:w="801"/>
      </w:tblGrid>
      <w:tr w:rsidR="00AF3376" w:rsidRPr="00B57B36" w14:paraId="378B9298" w14:textId="77777777" w:rsidTr="00AF3376">
        <w:tc>
          <w:tcPr>
            <w:tcW w:w="7986" w:type="dxa"/>
            <w:shd w:val="clear" w:color="auto" w:fill="auto"/>
            <w:vAlign w:val="center"/>
          </w:tcPr>
          <w:p w14:paraId="7C5C3BCD" w14:textId="19AC976A" w:rsidR="00AF3376" w:rsidRPr="00AF3376" w:rsidRDefault="002F678D" w:rsidP="00C5353E">
            <w:pPr>
              <w:pStyle w:val="CETEquation"/>
            </w:pPr>
            <m:oMathPara>
              <m:oMathParaPr>
                <m:jc m:val="left"/>
              </m:oMathParaPr>
              <m:oMath>
                <m:sSub>
                  <m:sSubPr>
                    <m:ctrlPr>
                      <w:rPr>
                        <w:rFonts w:ascii="Cambria Math" w:hAnsi="Cambria Math"/>
                        <w:i/>
                        <w:iCs/>
                      </w:rPr>
                    </m:ctrlPr>
                  </m:sSubPr>
                  <m:e>
                    <m:r>
                      <w:rPr>
                        <w:rFonts w:ascii="Cambria Math" w:hAnsi="Cambria Math"/>
                        <w:lang w:val="it-IT"/>
                      </w:rPr>
                      <m:t>EX</m:t>
                    </m:r>
                  </m:e>
                  <m:sub>
                    <m:r>
                      <w:rPr>
                        <w:rFonts w:ascii="Cambria Math" w:hAnsi="Cambria Math"/>
                        <w:lang w:val="it-IT"/>
                      </w:rPr>
                      <m:t>IN</m:t>
                    </m:r>
                    <m:r>
                      <w:rPr>
                        <w:rFonts w:ascii="Cambria Math" w:hAnsi="Cambria Math"/>
                      </w:rPr>
                      <m:t>/</m:t>
                    </m:r>
                    <m:r>
                      <w:rPr>
                        <w:rFonts w:ascii="Cambria Math" w:hAnsi="Cambria Math"/>
                        <w:lang w:val="it-IT"/>
                      </w:rPr>
                      <m:t>OUT</m:t>
                    </m:r>
                  </m:sub>
                </m:sSub>
                <m:r>
                  <m:rPr>
                    <m:sty m:val="p"/>
                  </m:rPr>
                  <w:rPr>
                    <w:rFonts w:ascii="Cambria Math" w:hAnsi="Cambria Math"/>
                  </w:rPr>
                  <m:t>=</m:t>
                </m:r>
                <m:nary>
                  <m:naryPr>
                    <m:chr m:val="∑"/>
                    <m:ctrlPr>
                      <w:rPr>
                        <w:rFonts w:ascii="Cambria Math" w:hAnsi="Cambria Math"/>
                        <w:i/>
                        <w:iCs/>
                      </w:rPr>
                    </m:ctrlPr>
                  </m:naryPr>
                  <m:sub>
                    <m:r>
                      <w:rPr>
                        <w:rFonts w:ascii="Cambria Math" w:hAnsi="Cambria Math"/>
                        <w:lang w:val="it-IT"/>
                      </w:rPr>
                      <m:t>i</m:t>
                    </m:r>
                    <m:r>
                      <w:rPr>
                        <w:rFonts w:ascii="Cambria Math" w:hAnsi="Cambria Math"/>
                      </w:rPr>
                      <m:t>=1</m:t>
                    </m:r>
                  </m:sub>
                  <m:sup>
                    <m:r>
                      <w:rPr>
                        <w:rFonts w:ascii="Cambria Math" w:hAnsi="Cambria Math"/>
                        <w:lang w:val="it-IT"/>
                      </w:rPr>
                      <m:t>Ncomp</m:t>
                    </m:r>
                  </m:sup>
                  <m:e>
                    <m:sSub>
                      <m:sSubPr>
                        <m:ctrlPr>
                          <w:rPr>
                            <w:rFonts w:ascii="Cambria Math" w:hAnsi="Cambria Math"/>
                            <w:i/>
                            <w:iCs/>
                          </w:rPr>
                        </m:ctrlPr>
                      </m:sSubPr>
                      <m:e>
                        <m:acc>
                          <m:accPr>
                            <m:chr m:val="̇"/>
                            <m:ctrlPr>
                              <w:rPr>
                                <w:rFonts w:ascii="Cambria Math" w:hAnsi="Cambria Math"/>
                                <w:i/>
                                <w:iCs/>
                              </w:rPr>
                            </m:ctrlPr>
                          </m:accPr>
                          <m:e>
                            <m:r>
                              <w:rPr>
                                <w:rFonts w:ascii="Cambria Math" w:hAnsi="Cambria Math"/>
                                <w:lang w:val="it-IT"/>
                              </w:rPr>
                              <m:t>m</m:t>
                            </m:r>
                          </m:e>
                        </m:acc>
                      </m:e>
                      <m:sub>
                        <m:r>
                          <w:rPr>
                            <w:rFonts w:ascii="Cambria Math" w:hAnsi="Cambria Math"/>
                            <w:lang w:val="it-IT"/>
                          </w:rPr>
                          <m:t>i</m:t>
                        </m:r>
                        <m:r>
                          <w:rPr>
                            <w:rFonts w:ascii="Cambria Math" w:hAnsi="Cambria Math"/>
                          </w:rPr>
                          <m:t>,</m:t>
                        </m:r>
                        <m:r>
                          <w:rPr>
                            <w:rFonts w:ascii="Cambria Math" w:hAnsi="Cambria Math"/>
                            <w:lang w:val="it-IT"/>
                          </w:rPr>
                          <m:t>IN</m:t>
                        </m:r>
                        <m:r>
                          <w:rPr>
                            <w:rFonts w:ascii="Cambria Math" w:hAnsi="Cambria Math"/>
                          </w:rPr>
                          <m:t> /</m:t>
                        </m:r>
                        <m:r>
                          <w:rPr>
                            <w:rFonts w:ascii="Cambria Math" w:hAnsi="Cambria Math"/>
                            <w:lang w:val="it-IT"/>
                          </w:rPr>
                          <m:t>OUT</m:t>
                        </m:r>
                      </m:sub>
                    </m:sSub>
                    <m:d>
                      <m:dPr>
                        <m:begChr m:val="["/>
                        <m:endChr m:val="]"/>
                        <m:ctrlPr>
                          <w:rPr>
                            <w:rFonts w:ascii="Cambria Math" w:hAnsi="Cambria Math"/>
                            <w:i/>
                            <w:iCs/>
                          </w:rPr>
                        </m:ctrlPr>
                      </m:dPr>
                      <m:e>
                        <m:sSub>
                          <m:sSubPr>
                            <m:ctrlPr>
                              <w:rPr>
                                <w:rFonts w:ascii="Cambria Math" w:hAnsi="Cambria Math"/>
                                <w:i/>
                                <w:iCs/>
                              </w:rPr>
                            </m:ctrlPr>
                          </m:sSubPr>
                          <m:e>
                            <m:acc>
                              <m:accPr>
                                <m:ctrlPr>
                                  <w:rPr>
                                    <w:rFonts w:ascii="Cambria Math" w:hAnsi="Cambria Math"/>
                                    <w:i/>
                                    <w:iCs/>
                                  </w:rPr>
                                </m:ctrlPr>
                              </m:accPr>
                              <m:e>
                                <m:r>
                                  <w:rPr>
                                    <w:rFonts w:ascii="Cambria Math" w:hAnsi="Cambria Math"/>
                                    <w:lang w:val="it-IT"/>
                                  </w:rPr>
                                  <m:t>H</m:t>
                                </m:r>
                              </m:e>
                            </m:acc>
                          </m:e>
                          <m:sub>
                            <m:r>
                              <w:rPr>
                                <w:rFonts w:ascii="Cambria Math" w:hAnsi="Cambria Math"/>
                                <w:lang w:val="it-IT"/>
                              </w:rPr>
                              <m:t>i</m:t>
                            </m:r>
                          </m:sub>
                        </m:sSub>
                        <m:r>
                          <w:rPr>
                            <w:rFonts w:ascii="Cambria Math" w:hAnsi="Cambria Math"/>
                          </w:rPr>
                          <m:t>-</m:t>
                        </m:r>
                        <m:sSub>
                          <m:sSubPr>
                            <m:ctrlPr>
                              <w:rPr>
                                <w:rFonts w:ascii="Cambria Math" w:hAnsi="Cambria Math"/>
                                <w:i/>
                                <w:iCs/>
                              </w:rPr>
                            </m:ctrlPr>
                          </m:sSubPr>
                          <m:e>
                            <m:acc>
                              <m:accPr>
                                <m:ctrlPr>
                                  <w:rPr>
                                    <w:rFonts w:ascii="Cambria Math" w:hAnsi="Cambria Math"/>
                                    <w:i/>
                                    <w:iCs/>
                                  </w:rPr>
                                </m:ctrlPr>
                              </m:accPr>
                              <m:e>
                                <m:r>
                                  <w:rPr>
                                    <w:rFonts w:ascii="Cambria Math" w:hAnsi="Cambria Math"/>
                                    <w:lang w:val="it-IT"/>
                                  </w:rPr>
                                  <m:t>H</m:t>
                                </m:r>
                              </m:e>
                            </m:acc>
                          </m:e>
                          <m:sub>
                            <m:r>
                              <w:rPr>
                                <w:rFonts w:ascii="Cambria Math" w:hAnsi="Cambria Math"/>
                                <w:lang w:val="it-IT"/>
                              </w:rPr>
                              <m:t>i</m:t>
                            </m:r>
                            <m:r>
                              <w:rPr>
                                <w:rFonts w:ascii="Cambria Math" w:hAnsi="Cambria Math"/>
                              </w:rPr>
                              <m:t>,0</m:t>
                            </m:r>
                          </m:sub>
                        </m:sSub>
                        <m:r>
                          <w:rPr>
                            <w:rFonts w:ascii="Cambria Math" w:hAnsi="Cambria Math"/>
                          </w:rPr>
                          <m:t>-</m:t>
                        </m:r>
                        <m:sSub>
                          <m:sSubPr>
                            <m:ctrlPr>
                              <w:rPr>
                                <w:rFonts w:ascii="Cambria Math" w:hAnsi="Cambria Math"/>
                                <w:i/>
                                <w:iCs/>
                              </w:rPr>
                            </m:ctrlPr>
                          </m:sSubPr>
                          <m:e>
                            <m:r>
                              <w:rPr>
                                <w:rFonts w:ascii="Cambria Math" w:hAnsi="Cambria Math"/>
                                <w:lang w:val="it-IT"/>
                              </w:rPr>
                              <m:t>T</m:t>
                            </m:r>
                          </m:e>
                          <m:sub>
                            <m:r>
                              <w:rPr>
                                <w:rFonts w:ascii="Cambria Math" w:hAnsi="Cambria Math"/>
                              </w:rPr>
                              <m:t>0</m:t>
                            </m:r>
                          </m:sub>
                        </m:sSub>
                        <m:d>
                          <m:dPr>
                            <m:ctrlPr>
                              <w:rPr>
                                <w:rFonts w:ascii="Cambria Math" w:hAnsi="Cambria Math"/>
                                <w:i/>
                                <w:iCs/>
                              </w:rPr>
                            </m:ctrlPr>
                          </m:dPr>
                          <m:e>
                            <m:sSub>
                              <m:sSubPr>
                                <m:ctrlPr>
                                  <w:rPr>
                                    <w:rFonts w:ascii="Cambria Math" w:hAnsi="Cambria Math"/>
                                    <w:i/>
                                    <w:iCs/>
                                  </w:rPr>
                                </m:ctrlPr>
                              </m:sSubPr>
                              <m:e>
                                <m:acc>
                                  <m:accPr>
                                    <m:ctrlPr>
                                      <w:rPr>
                                        <w:rFonts w:ascii="Cambria Math" w:hAnsi="Cambria Math"/>
                                        <w:i/>
                                        <w:iCs/>
                                      </w:rPr>
                                    </m:ctrlPr>
                                  </m:accPr>
                                  <m:e>
                                    <m:r>
                                      <w:rPr>
                                        <w:rFonts w:ascii="Cambria Math" w:hAnsi="Cambria Math"/>
                                        <w:lang w:val="it-IT"/>
                                      </w:rPr>
                                      <m:t>s</m:t>
                                    </m:r>
                                  </m:e>
                                </m:acc>
                              </m:e>
                              <m:sub>
                                <m:r>
                                  <w:rPr>
                                    <w:rFonts w:ascii="Cambria Math" w:hAnsi="Cambria Math"/>
                                    <w:lang w:val="it-IT"/>
                                  </w:rPr>
                                  <m:t>i</m:t>
                                </m:r>
                              </m:sub>
                            </m:sSub>
                            <m:r>
                              <w:rPr>
                                <w:rFonts w:ascii="Cambria Math" w:hAnsi="Cambria Math"/>
                              </w:rPr>
                              <m:t>-</m:t>
                            </m:r>
                            <m:sSub>
                              <m:sSubPr>
                                <m:ctrlPr>
                                  <w:rPr>
                                    <w:rFonts w:ascii="Cambria Math" w:hAnsi="Cambria Math"/>
                                    <w:i/>
                                    <w:iCs/>
                                  </w:rPr>
                                </m:ctrlPr>
                              </m:sSubPr>
                              <m:e>
                                <m:acc>
                                  <m:accPr>
                                    <m:ctrlPr>
                                      <w:rPr>
                                        <w:rFonts w:ascii="Cambria Math" w:hAnsi="Cambria Math"/>
                                        <w:i/>
                                        <w:iCs/>
                                      </w:rPr>
                                    </m:ctrlPr>
                                  </m:accPr>
                                  <m:e>
                                    <m:r>
                                      <w:rPr>
                                        <w:rFonts w:ascii="Cambria Math" w:hAnsi="Cambria Math"/>
                                        <w:lang w:val="it-IT"/>
                                      </w:rPr>
                                      <m:t>s</m:t>
                                    </m:r>
                                  </m:e>
                                </m:acc>
                              </m:e>
                              <m:sub>
                                <m:r>
                                  <w:rPr>
                                    <w:rFonts w:ascii="Cambria Math" w:hAnsi="Cambria Math"/>
                                    <w:lang w:val="it-IT"/>
                                  </w:rPr>
                                  <m:t>i</m:t>
                                </m:r>
                                <m:r>
                                  <w:rPr>
                                    <w:rFonts w:ascii="Cambria Math" w:hAnsi="Cambria Math"/>
                                  </w:rPr>
                                  <m:t>,0</m:t>
                                </m:r>
                              </m:sub>
                            </m:sSub>
                          </m:e>
                        </m:d>
                      </m:e>
                    </m:d>
                  </m:e>
                </m:nary>
              </m:oMath>
            </m:oMathPara>
          </w:p>
        </w:tc>
        <w:tc>
          <w:tcPr>
            <w:tcW w:w="801" w:type="dxa"/>
            <w:shd w:val="clear" w:color="auto" w:fill="auto"/>
            <w:vAlign w:val="center"/>
          </w:tcPr>
          <w:p w14:paraId="796F2280" w14:textId="2D29BA9B" w:rsidR="00AF3376" w:rsidRPr="00B57B36" w:rsidRDefault="00AF3376" w:rsidP="00C5353E">
            <w:pPr>
              <w:pStyle w:val="CETEquation"/>
              <w:jc w:val="right"/>
            </w:pPr>
            <w:r w:rsidRPr="00B57B36">
              <w:t>(</w:t>
            </w:r>
            <w:r>
              <w:t>2</w:t>
            </w:r>
            <w:r w:rsidRPr="00B57B36">
              <w:t>)</w:t>
            </w:r>
          </w:p>
        </w:tc>
      </w:tr>
      <w:tr w:rsidR="00D05068" w:rsidRPr="00B57B36" w14:paraId="21C5C0FC" w14:textId="77777777" w:rsidTr="00D05068">
        <w:tc>
          <w:tcPr>
            <w:tcW w:w="7986" w:type="dxa"/>
            <w:shd w:val="clear" w:color="auto" w:fill="auto"/>
            <w:vAlign w:val="center"/>
          </w:tcPr>
          <w:p w14:paraId="79F324FC" w14:textId="571E107E" w:rsidR="00D05068" w:rsidRPr="00D05068" w:rsidRDefault="00D05068" w:rsidP="00C5353E">
            <w:pPr>
              <w:pStyle w:val="CETEquation"/>
              <w:rPr>
                <w:rFonts w:ascii="Cambria Math" w:hAnsi="Cambria Math"/>
                <w:oMath/>
              </w:rPr>
            </w:pPr>
            <m:oMathPara>
              <m:oMathParaPr>
                <m:jc m:val="left"/>
              </m:oMathParaPr>
              <m:oMath>
                <m:r>
                  <w:rPr>
                    <w:rFonts w:ascii="Cambria Math" w:hAnsi="Cambria Math"/>
                  </w:rPr>
                  <m:t>Ex,</m:t>
                </m:r>
                <m:r>
                  <w:rPr>
                    <w:rFonts w:ascii="Cambria Math" w:hAnsi="Cambria Math"/>
                    <w:lang w:val="it-IT"/>
                  </w:rPr>
                  <m:t>d</m:t>
                </m:r>
                <m:r>
                  <w:rPr>
                    <w:rFonts w:ascii="Cambria Math" w:hAnsi="Cambria Math"/>
                  </w:rPr>
                  <m:t>=</m:t>
                </m:r>
                <m:f>
                  <m:fPr>
                    <m:ctrlPr>
                      <w:rPr>
                        <w:rFonts w:ascii="Cambria Math" w:hAnsi="Cambria Math"/>
                        <w:i/>
                        <w:iCs/>
                      </w:rPr>
                    </m:ctrlPr>
                  </m:fPr>
                  <m:num>
                    <m:nary>
                      <m:naryPr>
                        <m:chr m:val="∑"/>
                        <m:limLoc m:val="undOvr"/>
                        <m:ctrlPr>
                          <w:rPr>
                            <w:rFonts w:ascii="Cambria Math" w:hAnsi="Cambria Math"/>
                            <w:i/>
                            <w:iCs/>
                          </w:rPr>
                        </m:ctrlPr>
                      </m:naryPr>
                      <m:sub>
                        <m:r>
                          <w:rPr>
                            <w:rFonts w:ascii="Cambria Math" w:hAnsi="Cambria Math"/>
                          </w:rPr>
                          <m:t>i</m:t>
                        </m:r>
                      </m:sub>
                      <m:sup>
                        <m:r>
                          <w:rPr>
                            <w:rFonts w:ascii="Cambria Math" w:hAnsi="Cambria Math"/>
                          </w:rPr>
                          <m:t>Streams</m:t>
                        </m:r>
                      </m:sup>
                      <m:e>
                        <m:r>
                          <w:rPr>
                            <w:rFonts w:ascii="Cambria Math" w:hAnsi="Cambria Math"/>
                          </w:rPr>
                          <m:t>(</m:t>
                        </m:r>
                        <m:sSub>
                          <m:sSubPr>
                            <m:ctrlPr>
                              <w:rPr>
                                <w:rFonts w:ascii="Cambria Math" w:hAnsi="Cambria Math"/>
                                <w:i/>
                                <w:iCs/>
                              </w:rPr>
                            </m:ctrlPr>
                          </m:sSubPr>
                          <m:e>
                            <m:r>
                              <w:rPr>
                                <w:rFonts w:ascii="Cambria Math" w:hAnsi="Cambria Math"/>
                                <w:lang w:val="it-IT"/>
                              </w:rPr>
                              <m:t>EX</m:t>
                            </m:r>
                          </m:e>
                          <m:sub>
                            <m:f>
                              <m:fPr>
                                <m:type m:val="skw"/>
                                <m:ctrlPr>
                                  <w:rPr>
                                    <w:rFonts w:ascii="Cambria Math" w:hAnsi="Cambria Math"/>
                                    <w:i/>
                                    <w:lang w:val="it-IT"/>
                                  </w:rPr>
                                </m:ctrlPr>
                              </m:fPr>
                              <m:num>
                                <m:sSub>
                                  <m:sSubPr>
                                    <m:ctrlPr>
                                      <w:rPr>
                                        <w:rFonts w:ascii="Cambria Math" w:hAnsi="Cambria Math"/>
                                        <w:i/>
                                        <w:lang w:val="it-IT"/>
                                      </w:rPr>
                                    </m:ctrlPr>
                                  </m:sSubPr>
                                  <m:e>
                                    <m:r>
                                      <w:rPr>
                                        <w:rFonts w:ascii="Cambria Math" w:hAnsi="Cambria Math"/>
                                        <w:lang w:val="it-IT"/>
                                      </w:rPr>
                                      <m:t>IN</m:t>
                                    </m:r>
                                  </m:e>
                                  <m:sub>
                                    <m:r>
                                      <w:rPr>
                                        <w:rFonts w:ascii="Cambria Math" w:hAnsi="Cambria Math"/>
                                        <w:lang w:val="it-IT"/>
                                      </w:rPr>
                                      <m:t>i</m:t>
                                    </m:r>
                                  </m:sub>
                                </m:sSub>
                              </m:num>
                              <m:den>
                                <m:sSub>
                                  <m:sSubPr>
                                    <m:ctrlPr>
                                      <w:rPr>
                                        <w:rFonts w:ascii="Cambria Math" w:hAnsi="Cambria Math"/>
                                        <w:i/>
                                        <w:lang w:val="it-IT"/>
                                      </w:rPr>
                                    </m:ctrlPr>
                                  </m:sSubPr>
                                  <m:e>
                                    <m:r>
                                      <w:rPr>
                                        <w:rFonts w:ascii="Cambria Math" w:hAnsi="Cambria Math"/>
                                        <w:lang w:val="it-IT"/>
                                      </w:rPr>
                                      <m:t>OUT</m:t>
                                    </m:r>
                                  </m:e>
                                  <m:sub>
                                    <m:r>
                                      <w:rPr>
                                        <w:rFonts w:ascii="Cambria Math" w:hAnsi="Cambria Math"/>
                                        <w:lang w:val="it-IT"/>
                                      </w:rPr>
                                      <m:t>i</m:t>
                                    </m:r>
                                  </m:sub>
                                </m:sSub>
                              </m:den>
                            </m:f>
                          </m:sub>
                        </m:sSub>
                        <m:r>
                          <w:rPr>
                            <w:rFonts w:ascii="Cambria Math" w:hAnsi="Cambria Math"/>
                          </w:rPr>
                          <m:t xml:space="preserve"> </m:t>
                        </m:r>
                        <m:r>
                          <w:rPr>
                            <w:rFonts w:ascii="Cambria Math" w:hAnsi="Cambria Math" w:cstheme="minorHAnsi"/>
                          </w:rPr>
                          <m:t>+</m:t>
                        </m:r>
                        <m:acc>
                          <m:accPr>
                            <m:chr m:val="̇"/>
                            <m:ctrlPr>
                              <w:rPr>
                                <w:rFonts w:ascii="Cambria Math" w:hAnsi="Cambria Math"/>
                                <w:i/>
                                <w:iCs/>
                              </w:rPr>
                            </m:ctrlPr>
                          </m:accPr>
                          <m:e>
                            <m:r>
                              <w:rPr>
                                <w:rFonts w:ascii="Cambria Math" w:hAnsi="Cambria Math"/>
                              </w:rPr>
                              <m:t>W</m:t>
                            </m:r>
                          </m:e>
                        </m:acc>
                        <m:r>
                          <w:rPr>
                            <w:rFonts w:ascii="Cambria Math" w:hAnsi="Cambria Math"/>
                          </w:rPr>
                          <m:t xml:space="preserve">) </m:t>
                        </m:r>
                      </m:e>
                    </m:nary>
                    <m:r>
                      <w:rPr>
                        <w:rFonts w:ascii="Cambria Math" w:hAnsi="Cambria Math"/>
                      </w:rPr>
                      <m:t xml:space="preserve"> </m:t>
                    </m:r>
                  </m:num>
                  <m:den>
                    <m:r>
                      <w:rPr>
                        <w:rFonts w:ascii="Cambria Math" w:hAnsi="Cambria Math"/>
                      </w:rPr>
                      <m:t>P</m:t>
                    </m:r>
                  </m:den>
                </m:f>
              </m:oMath>
            </m:oMathPara>
          </w:p>
        </w:tc>
        <w:tc>
          <w:tcPr>
            <w:tcW w:w="801" w:type="dxa"/>
            <w:shd w:val="clear" w:color="auto" w:fill="auto"/>
            <w:vAlign w:val="center"/>
          </w:tcPr>
          <w:p w14:paraId="7FDECF5B" w14:textId="6D919428" w:rsidR="00D05068" w:rsidRPr="00B57B36" w:rsidRDefault="00D05068" w:rsidP="00C5353E">
            <w:pPr>
              <w:pStyle w:val="CETEquation"/>
              <w:jc w:val="right"/>
            </w:pPr>
            <w:r w:rsidRPr="00B57B36">
              <w:t>(</w:t>
            </w:r>
            <w:r w:rsidR="00E2741A">
              <w:t>3</w:t>
            </w:r>
            <w:r w:rsidRPr="00B57B36">
              <w:t>)</w:t>
            </w:r>
          </w:p>
        </w:tc>
      </w:tr>
    </w:tbl>
    <w:p w14:paraId="0F747605" w14:textId="13B18076" w:rsidR="00037414" w:rsidRDefault="003023BD" w:rsidP="002D0763">
      <w:r>
        <w:t xml:space="preserve">Where H is the specific enthalpy of </w:t>
      </w:r>
      <w:r w:rsidR="00037414">
        <w:t>a material stream, T is the temperature of the material stream, s is the specific entropy of the</w:t>
      </w:r>
      <w:r w:rsidR="00037414" w:rsidRPr="00037414">
        <w:t xml:space="preserve"> </w:t>
      </w:r>
      <w:r w:rsidR="00037414">
        <w:t>material stream, m is the mass flowrate of the material stream and W is the energy flowrate of an electric stream.</w:t>
      </w:r>
    </w:p>
    <w:p w14:paraId="3595C187" w14:textId="2697598D" w:rsidR="00037414" w:rsidRDefault="00037414" w:rsidP="00037414">
      <w:pPr>
        <w:pStyle w:val="Paragrafoelenco"/>
        <w:ind w:left="0"/>
      </w:pPr>
      <w:r>
        <w:t xml:space="preserve">Exergy balance is </w:t>
      </w:r>
      <w:r w:rsidR="002E0465">
        <w:t>typically</w:t>
      </w:r>
      <w:r>
        <w:t xml:space="preserve"> applied to a single process boundary aimed at the determination of an index of irreversibility due to chemical and physical operations within the framework. Furthermore, the application of exergy balance to single unit allows to determinate the specific energy efficiency index of the involved operations. In this context, the quantification of single unit exergy destruction terms allows to monitor the efficiency of each single operation inside the boundary pinpointing potential for improvement. In a lifecycle </w:t>
      </w:r>
      <w:r w:rsidR="002E0465">
        <w:t>perceptive</w:t>
      </w:r>
      <w:r>
        <w:t xml:space="preserve"> the minimization of exergy destruction term is an index of the sustainability of the process.  The definition of exergy destruction term in a comparative assessment is a key driver for decision making supporting design activities (e.g. technology selection, improvement study). </w:t>
      </w:r>
    </w:p>
    <w:p w14:paraId="6AEB87EA" w14:textId="2362679F" w:rsidR="005334EB" w:rsidRDefault="00D14718" w:rsidP="005334EB">
      <w:pPr>
        <w:pStyle w:val="CETHeading1"/>
      </w:pPr>
      <w:r>
        <w:t xml:space="preserve">Case-study </w:t>
      </w:r>
    </w:p>
    <w:p w14:paraId="150AE207" w14:textId="71716257" w:rsidR="005334EB" w:rsidRDefault="005334EB" w:rsidP="009D22DB">
      <w:pPr>
        <w:pStyle w:val="CETheadingx"/>
      </w:pPr>
      <w:r>
        <w:t>Set up of the case</w:t>
      </w:r>
    </w:p>
    <w:p w14:paraId="633760D8" w14:textId="5EE5CDDE" w:rsidR="005334EB" w:rsidRDefault="009A4F33" w:rsidP="005334EB">
      <w:pPr>
        <w:pStyle w:val="CETBodytext"/>
      </w:pPr>
      <w:r>
        <w:t xml:space="preserve">The </w:t>
      </w:r>
      <w:r w:rsidR="006135B3">
        <w:t xml:space="preserve">method is demonstrated by the </w:t>
      </w:r>
      <w:r>
        <w:t xml:space="preserve">application </w:t>
      </w:r>
      <w:r w:rsidR="006135B3">
        <w:t xml:space="preserve">to the design of a </w:t>
      </w:r>
      <w:r>
        <w:t xml:space="preserve">polypropylene production </w:t>
      </w:r>
      <w:r w:rsidR="006135B3">
        <w:t>plant</w:t>
      </w:r>
      <w:r>
        <w:t xml:space="preserve">. </w:t>
      </w:r>
      <w:r w:rsidR="005334EB">
        <w:t>Plant potentiality is assumed to b</w:t>
      </w:r>
      <w:r w:rsidR="003407D0">
        <w:t xml:space="preserve">e 400 </w:t>
      </w:r>
      <w:proofErr w:type="spellStart"/>
      <w:r w:rsidR="003407D0">
        <w:t>kt</w:t>
      </w:r>
      <w:proofErr w:type="spellEnd"/>
      <w:r w:rsidR="003407D0">
        <w:t xml:space="preserve">/y of polymeric pellet. </w:t>
      </w:r>
    </w:p>
    <w:p w14:paraId="3BC4C4C3" w14:textId="78D3BFAA" w:rsidR="00942E71" w:rsidRDefault="00942E71" w:rsidP="00942E71">
      <w:pPr>
        <w:pStyle w:val="Paragrafoelenco"/>
        <w:ind w:left="0"/>
      </w:pPr>
      <w:r>
        <w:t>Polypropylene (PP) is a thermoplastic polymer involved in a wide number of applications in packaging, textiles, stationery, containers, and components in the manufactory industry. New plants are continuously built to full fill the ever-increasing plastic demand. Despite the fossil origin of the feedstocks currently used in production of PP, outlooks of the future of the market agree on the expectation that production will increase and new plants will be built in the future.</w:t>
      </w:r>
    </w:p>
    <w:p w14:paraId="6019974B" w14:textId="469058DC" w:rsidR="00A1380B" w:rsidRDefault="009A4F33" w:rsidP="00D70222">
      <w:pPr>
        <w:pStyle w:val="CETBodytext"/>
      </w:pPr>
      <w:r>
        <w:t xml:space="preserve">The </w:t>
      </w:r>
      <w:r w:rsidRPr="00892F47">
        <w:rPr>
          <w:i/>
          <w:iCs/>
        </w:rPr>
        <w:t>Primary process</w:t>
      </w:r>
      <w:r w:rsidR="006135B3">
        <w:t>, in this case</w:t>
      </w:r>
      <w:r w:rsidR="00037414">
        <w:t xml:space="preserve"> study</w:t>
      </w:r>
      <w:r w:rsidR="006135B3">
        <w:t>,</w:t>
      </w:r>
      <w:r>
        <w:t xml:space="preserve"> is </w:t>
      </w:r>
      <w:r w:rsidR="00AA2EF1">
        <w:t xml:space="preserve">represented by the polymerization technology which convert propylene to polypropylene. </w:t>
      </w:r>
      <w:r w:rsidR="006135B3">
        <w:t xml:space="preserve">Main </w:t>
      </w:r>
      <w:r w:rsidR="00806E03">
        <w:rPr>
          <w:i/>
          <w:iCs/>
        </w:rPr>
        <w:t>B</w:t>
      </w:r>
      <w:r w:rsidR="00AA2EF1" w:rsidRPr="00892F47">
        <w:rPr>
          <w:i/>
          <w:iCs/>
        </w:rPr>
        <w:t>ackground processes</w:t>
      </w:r>
      <w:r w:rsidR="00AA2EF1">
        <w:t xml:space="preserve"> </w:t>
      </w:r>
      <w:r w:rsidR="006135B3">
        <w:t>are</w:t>
      </w:r>
      <w:r w:rsidR="00AA2EF1">
        <w:t xml:space="preserve">: </w:t>
      </w:r>
    </w:p>
    <w:p w14:paraId="2116DE31" w14:textId="6FA6F3E3" w:rsidR="00AA2EF1" w:rsidRDefault="00AA2EF1" w:rsidP="00AA2EF1">
      <w:pPr>
        <w:pStyle w:val="CETBodytext"/>
        <w:numPr>
          <w:ilvl w:val="0"/>
          <w:numId w:val="24"/>
        </w:numPr>
      </w:pPr>
      <w:r>
        <w:t xml:space="preserve">Monomer production technologies (Crude oil extraction, </w:t>
      </w:r>
      <w:r w:rsidR="00251D04">
        <w:t>Naphtha</w:t>
      </w:r>
      <w:r>
        <w:t xml:space="preserve"> reforming and Steam Cracker)</w:t>
      </w:r>
    </w:p>
    <w:p w14:paraId="3A8EBBF9" w14:textId="464FCEF0" w:rsidR="00AA2EF1" w:rsidRDefault="00AA2EF1" w:rsidP="00AA2EF1">
      <w:pPr>
        <w:pStyle w:val="CETBodytext"/>
        <w:numPr>
          <w:ilvl w:val="0"/>
          <w:numId w:val="24"/>
        </w:numPr>
      </w:pPr>
      <w:r>
        <w:t xml:space="preserve">Electricity generation </w:t>
      </w:r>
      <w:r w:rsidR="0013795E">
        <w:t>process</w:t>
      </w:r>
    </w:p>
    <w:p w14:paraId="2CA6C66E" w14:textId="79147B23" w:rsidR="00B769D6" w:rsidRDefault="00AA2EF1" w:rsidP="00B91BB4">
      <w:pPr>
        <w:pStyle w:val="CETBodytext"/>
        <w:numPr>
          <w:ilvl w:val="0"/>
          <w:numId w:val="24"/>
        </w:numPr>
      </w:pPr>
      <w:r>
        <w:t xml:space="preserve">Steam </w:t>
      </w:r>
      <w:r w:rsidR="006135B3">
        <w:t>production</w:t>
      </w:r>
      <w:r w:rsidR="00B91BB4">
        <w:t xml:space="preserve"> process</w:t>
      </w:r>
    </w:p>
    <w:p w14:paraId="21C4DF9C" w14:textId="77777777" w:rsidR="00C50BCA" w:rsidRDefault="00C50BCA" w:rsidP="00C50BCA">
      <w:pPr>
        <w:pStyle w:val="CETBodytext"/>
      </w:pPr>
    </w:p>
    <w:p w14:paraId="2F3370CF" w14:textId="51D85C8D" w:rsidR="00037414" w:rsidRDefault="005334EB" w:rsidP="00B91BB4">
      <w:pPr>
        <w:pStyle w:val="CETBodytext"/>
        <w:rPr>
          <w:lang w:val="en-GB"/>
        </w:rPr>
      </w:pPr>
      <w:r>
        <w:t>Use and disposal of the polymer are out of the scope of current analysis as they do not depend on the design choices of concern.</w:t>
      </w:r>
      <w:r w:rsidR="00016653">
        <w:t xml:space="preserve"> Reference </w:t>
      </w:r>
      <w:r>
        <w:t xml:space="preserve">process scheme to be analyzed </w:t>
      </w:r>
      <w:r w:rsidR="00016653">
        <w:t xml:space="preserve">is derived by Polypropylene </w:t>
      </w:r>
      <w:proofErr w:type="spellStart"/>
      <w:r w:rsidR="00016653">
        <w:t>EcoProfile</w:t>
      </w:r>
      <w:proofErr w:type="spellEnd"/>
      <w:r w:rsidR="00037414">
        <w:t xml:space="preserve"> </w:t>
      </w:r>
      <w:r w:rsidR="00016653">
        <w:fldChar w:fldCharType="begin" w:fldLock="1"/>
      </w:r>
      <w:r w:rsidR="0014320F">
        <w:instrText>ADDIN CSL_CITATION {"citationItems":[{"id":"ITEM-1","itemData":{"author":[{"dropping-particle":"","family":"PlasticsEurope AISBL","given":"","non-dropping-particle":"","parse-names":false,"suffix":""}],"container-title":"Eco-profiles and Environmental Product Declarations of the European Plastics Manufacturers","id":"ITEM-1","issue":"December","issued":{"date-parts":[["2016"]]},"number-of-pages":"45","title":"Polypropylene (PP) resin Eco-profile","type":"report"},"uris":["http://www.mendeley.com/documents/?uuid=b47f85b7-320e-48d9-a507-9fddc124c0ab"]}],"mendeley":{"formattedCitation":"(PlasticsEurope AISBL 2016)","manualFormatting":"(PlasticsEurope AISBL, 2016)","plainTextFormattedCitation":"(PlasticsEurope AISBL 2016)","previouslyFormattedCitation":"(PlasticsEurope AISBL 2016)"},"properties":{"noteIndex":0},"schema":"https://github.com/citation-style-language/schema/raw/master/csl-citation.json"}</w:instrText>
      </w:r>
      <w:r w:rsidR="00016653">
        <w:fldChar w:fldCharType="separate"/>
      </w:r>
      <w:r w:rsidR="00016653" w:rsidRPr="00D84906">
        <w:rPr>
          <w:noProof/>
        </w:rPr>
        <w:t>(PlasticsEurope</w:t>
      </w:r>
      <w:r w:rsidR="00C747E3">
        <w:rPr>
          <w:noProof/>
        </w:rPr>
        <w:t>,</w:t>
      </w:r>
      <w:r w:rsidR="00016653" w:rsidRPr="00D84906">
        <w:rPr>
          <w:noProof/>
        </w:rPr>
        <w:t xml:space="preserve"> 2016)</w:t>
      </w:r>
      <w:r w:rsidR="00016653">
        <w:fldChar w:fldCharType="end"/>
      </w:r>
      <w:r w:rsidR="00016653">
        <w:t xml:space="preserve">. Primary process is </w:t>
      </w:r>
      <w:r w:rsidR="009F6019">
        <w:t xml:space="preserve">based on available information on </w:t>
      </w:r>
      <w:r w:rsidR="00016653">
        <w:t xml:space="preserve">raw material and energy average consumption of </w:t>
      </w:r>
      <w:proofErr w:type="spellStart"/>
      <w:r w:rsidR="00016653">
        <w:t>Spheripol</w:t>
      </w:r>
      <w:proofErr w:type="spellEnd"/>
      <w:r w:rsidR="00016653">
        <w:t xml:space="preserve"> technology </w:t>
      </w:r>
      <w:r w:rsidR="00016653">
        <w:fldChar w:fldCharType="begin" w:fldLock="1"/>
      </w:r>
      <w:r w:rsidR="0014320F">
        <w:instrText>ADDIN CSL_CITATION {"citationItems":[{"id":"ITEM-1","itemData":{"author":[{"dropping-particle":"","family":"Axens","given":"","non-dropping-particle":"","parse-names":false,"suffix":""}],"id":"ITEM-1","issued":{"date-parts":[["2005"]]},"page":"139-141","title":"HP's Petrochemical Processes","type":"article-journal"},"uris":["http://www.mendeley.com/documents/?uuid=af3e33f1-01f6-4c4a-9a2f-eb2919f8a930"]}],"mendeley":{"formattedCitation":"(Axens 2005)","manualFormatting":"(Axens, 2005)","plainTextFormattedCitation":"(Axens 2005)","previouslyFormattedCitation":"(Axens 2005)"},"properties":{"noteIndex":0},"schema":"https://github.com/citation-style-language/schema/raw/master/csl-citation.json"}</w:instrText>
      </w:r>
      <w:r w:rsidR="00016653">
        <w:fldChar w:fldCharType="separate"/>
      </w:r>
      <w:r w:rsidR="00016653" w:rsidRPr="00D84906">
        <w:rPr>
          <w:noProof/>
        </w:rPr>
        <w:t>(Axens</w:t>
      </w:r>
      <w:r w:rsidR="00C747E3">
        <w:rPr>
          <w:noProof/>
        </w:rPr>
        <w:t>,</w:t>
      </w:r>
      <w:r w:rsidR="00016653" w:rsidRPr="00D84906">
        <w:rPr>
          <w:noProof/>
        </w:rPr>
        <w:t xml:space="preserve"> 2005)</w:t>
      </w:r>
      <w:r w:rsidR="00016653">
        <w:fldChar w:fldCharType="end"/>
      </w:r>
      <w:r w:rsidR="00037414">
        <w:t xml:space="preserve"> and </w:t>
      </w:r>
      <w:r w:rsidR="00016653">
        <w:t>extruder</w:t>
      </w:r>
      <w:r w:rsidR="00037414">
        <w:t xml:space="preserve">s </w:t>
      </w:r>
      <w:r w:rsidR="00016653">
        <w:fldChar w:fldCharType="begin" w:fldLock="1"/>
      </w:r>
      <w:r w:rsidR="0014320F">
        <w:instrText>ADDIN CSL_CITATION {"citationItems":[{"id":"ITEM-1","itemData":{"DOI":"10.1016/j.apenergy.2014.09.024","ISSN":"03062619","abstract":"Extrusion is one of the fundamental production methods in the polymer processing industry and is used in the production of a large number of commodities in a diverse industrial sector. Being an energy intensive production method, process energy efficiency is one of the major concerns and the selection of the most energy efficient processing conditions is a key to reducing operating costs. Usually, extruders consume energy through the drive motor, barrel heaters, cooling fans, cooling water pumps, gear pumps, etc. Typically the drive motor is the largest energy consuming device in an extruder while barrel/die heaters are responsible for the second largest energy demand. This study is focused on investigating the total energy demand of an extrusion plant under various processing conditions while identifying ways to optimise the energy efficiency. Initially, a review was carried out on the monitoring and modelling of the energy consumption in polymer extrusion. Also, the power factor, energy demand and losses of a typical extrusion plant were discussed in detail. The mass throughput, total energy consumption and power factor of an extruder were experimentally observed over different processing conditions and the total extruder energy demand was modelled empirically and also using a commercially available extrusion simulation software. The experimental results show that extruder energy demand is heavily coupled between the machine, material and process parameters. The total power predicted by the simulation software exhibits a lagging offset compared with the experimental measurements. Empirical models are in good agreement with the experimental measurements and hence these can be used in studying process energy behaviour in detail and to identify ways to optimise the process energy efficiency.","author":[{"dropping-particle":"","family":"Abeykoon","given":"Chamil","non-dropping-particle":"","parse-names":false,"suffix":""},{"dropping-particle":"","family":"Kelly","given":"Adrian L.","non-dropping-particle":"","parse-names":false,"suffix":""},{"dropping-particle":"","family":"Brown","given":"Elaine C.","non-dropping-particle":"","parse-names":false,"suffix":""},{"dropping-particle":"","family":"Vera-Sorroche","given":"Javier","non-dropping-particle":"","parse-names":false,"suffix":""},{"dropping-particle":"","family":"Coates","given":"Phil D.","non-dropping-particle":"","parse-names":false,"suffix":""},{"dropping-particle":"","family":"Harkin-Jones","given":"Eileen","non-dropping-particle":"","parse-names":false,"suffix":""},{"dropping-particle":"","family":"Howell","given":"Ken B.","non-dropping-particle":"","parse-names":false,"suffix":""},{"dropping-particle":"","family":"Deng","given":"Jing","non-dropping-particle":"","parse-names":false,"suffix":""},{"dropping-particle":"","family":"Li","given":"Kang","non-dropping-particle":"","parse-names":false,"suffix":""},{"dropping-particle":"","family":"Price","given":"Mark","non-dropping-particle":"","parse-names":false,"suffix":""}],"container-title":"Applied Energy","id":"ITEM-1","issued":{"date-parts":[["2014"]]},"page":"726-737","publisher":"Elsevier Ltd","title":"Investigation of the process energy demand in polymer extrusion: A brief review and an experimental study","type":"article-journal","volume":"136"},"uris":["http://www.mendeley.com/documents/?uuid=fca008b3-4630-4575-91c0-bfe8beb4f88f"]}],"mendeley":{"formattedCitation":"(Abeykoon et al. 2014)","manualFormatting":"(Abeykoon et al., 2014)","plainTextFormattedCitation":"(Abeykoon et al. 2014)","previouslyFormattedCitation":"(Abeykoon et al. 2014)"},"properties":{"noteIndex":0},"schema":"https://github.com/citation-style-language/schema/raw/master/csl-citation.json"}</w:instrText>
      </w:r>
      <w:r w:rsidR="00016653">
        <w:fldChar w:fldCharType="separate"/>
      </w:r>
      <w:r w:rsidR="00016653" w:rsidRPr="002F5164">
        <w:rPr>
          <w:noProof/>
          <w:lang w:val="en-GB"/>
        </w:rPr>
        <w:t>(Abeykoon et al.</w:t>
      </w:r>
      <w:r w:rsidR="00C747E3">
        <w:rPr>
          <w:noProof/>
          <w:lang w:val="en-GB"/>
        </w:rPr>
        <w:t>,</w:t>
      </w:r>
      <w:r w:rsidR="00016653" w:rsidRPr="002F5164">
        <w:rPr>
          <w:noProof/>
          <w:lang w:val="en-GB"/>
        </w:rPr>
        <w:t xml:space="preserve"> 2014)</w:t>
      </w:r>
      <w:r w:rsidR="00016653">
        <w:fldChar w:fldCharType="end"/>
      </w:r>
      <w:r w:rsidR="00016653" w:rsidRPr="002F5164">
        <w:rPr>
          <w:lang w:val="en-GB"/>
        </w:rPr>
        <w:t>.</w:t>
      </w:r>
    </w:p>
    <w:p w14:paraId="1C74DABD" w14:textId="2EB34A3A" w:rsidR="005334EB" w:rsidRPr="005F6269" w:rsidRDefault="003F3534" w:rsidP="00B91BB4">
      <w:pPr>
        <w:pStyle w:val="CETBodytext"/>
        <w:rPr>
          <w:lang w:val="en-GB"/>
        </w:rPr>
      </w:pPr>
      <w:r>
        <w:t xml:space="preserve">In this case, 1 kg of polypropylene (PP) with its </w:t>
      </w:r>
      <w:r w:rsidRPr="009A2171">
        <w:t>pellet shape</w:t>
      </w:r>
      <w:r>
        <w:t xml:space="preserve"> is adopted as reference unit. Indicators are expressed per kg of PP.</w:t>
      </w:r>
    </w:p>
    <w:p w14:paraId="7F735908" w14:textId="63707383" w:rsidR="00373322" w:rsidRDefault="005F6269" w:rsidP="00373322">
      <w:pPr>
        <w:pStyle w:val="CETBodytext"/>
      </w:pPr>
      <w:r w:rsidRPr="005F6269">
        <w:rPr>
          <w:lang w:val="en-GB"/>
        </w:rPr>
        <w:t>The goal of the study is th</w:t>
      </w:r>
      <w:r>
        <w:rPr>
          <w:lang w:val="en-GB"/>
        </w:rPr>
        <w:t xml:space="preserve">e </w:t>
      </w:r>
      <w:r w:rsidR="000F284C">
        <w:rPr>
          <w:lang w:val="en-GB"/>
        </w:rPr>
        <w:t xml:space="preserve">identification of critical points inside the polymer production chain. </w:t>
      </w:r>
      <w:r w:rsidR="00C50BCA">
        <w:rPr>
          <w:lang w:val="en-GB"/>
        </w:rPr>
        <w:t xml:space="preserve">In this framework, </w:t>
      </w:r>
      <w:r w:rsidR="007664BE">
        <w:rPr>
          <w:lang w:val="en-GB"/>
        </w:rPr>
        <w:t xml:space="preserve">two nested boundaries are introduced. </w:t>
      </w:r>
      <w:r w:rsidR="007664BE">
        <w:t>The first boundary (</w:t>
      </w:r>
      <w:r w:rsidR="007664BE" w:rsidRPr="00586514">
        <w:rPr>
          <w:i/>
        </w:rPr>
        <w:t>E</w:t>
      </w:r>
      <w:r w:rsidR="007664BE" w:rsidRPr="00017DD5">
        <w:rPr>
          <w:i/>
          <w:iCs/>
        </w:rPr>
        <w:t>nvironmental boundary</w:t>
      </w:r>
      <w:r w:rsidR="007664BE">
        <w:t xml:space="preserve">) includes all the principal </w:t>
      </w:r>
      <w:r w:rsidR="0044677C">
        <w:t>process operations</w:t>
      </w:r>
      <w:r w:rsidR="007664BE">
        <w:t xml:space="preserve"> (polymerization, monomer production, electricity generation and steam production). This boundary allows to obtain the environmental impact indicators associated to the production of 1 kg of PP.</w:t>
      </w:r>
      <w:r w:rsidR="001775A6">
        <w:t xml:space="preserve"> The sensitivity </w:t>
      </w:r>
      <w:r w:rsidR="00F13F5F">
        <w:t xml:space="preserve">of environmental results </w:t>
      </w:r>
      <w:r w:rsidR="001775A6">
        <w:t xml:space="preserve">regarding raw material and energetic polymerization input </w:t>
      </w:r>
      <w:r w:rsidR="00F13F5F">
        <w:t>can be performed considering different technologies for material and energy supply. In this context, t</w:t>
      </w:r>
      <w:r w:rsidR="009E3844">
        <w:t>hree</w:t>
      </w:r>
      <w:r w:rsidR="00F13F5F">
        <w:t xml:space="preserve"> </w:t>
      </w:r>
      <w:r w:rsidR="0001773B">
        <w:t>scenarios</w:t>
      </w:r>
      <w:r w:rsidR="00F13F5F">
        <w:t xml:space="preserve"> are considered in order to measu</w:t>
      </w:r>
      <w:r w:rsidR="005E69E8">
        <w:t>r</w:t>
      </w:r>
      <w:r w:rsidR="00F13F5F">
        <w:t xml:space="preserve">e the effect </w:t>
      </w:r>
      <w:r w:rsidR="007660D1">
        <w:t>of different</w:t>
      </w:r>
      <w:r w:rsidR="0001773B">
        <w:t xml:space="preserve"> utilization of</w:t>
      </w:r>
      <w:r w:rsidR="007660D1">
        <w:t xml:space="preserve"> electricity sources (renewable and non-renewable). </w:t>
      </w:r>
      <w:r w:rsidR="007664BE">
        <w:t xml:space="preserve">A second boundary </w:t>
      </w:r>
      <w:r w:rsidR="007664BE" w:rsidRPr="00051EB3">
        <w:t>(</w:t>
      </w:r>
      <w:r w:rsidR="007664BE" w:rsidRPr="00051EB3">
        <w:rPr>
          <w:i/>
          <w:iCs/>
        </w:rPr>
        <w:t>Polymerization boundary</w:t>
      </w:r>
      <w:r w:rsidR="007664BE" w:rsidRPr="00051EB3">
        <w:t>)</w:t>
      </w:r>
      <w:r w:rsidR="007664BE">
        <w:t xml:space="preserve"> is introduced </w:t>
      </w:r>
      <w:r w:rsidR="007660D1">
        <w:t xml:space="preserve">tailored </w:t>
      </w:r>
      <w:r w:rsidR="007664BE">
        <w:t>to</w:t>
      </w:r>
      <w:r w:rsidR="007660D1">
        <w:t xml:space="preserve"> the polymerization process. </w:t>
      </w:r>
      <w:r w:rsidR="0001773B">
        <w:t xml:space="preserve">This boundary </w:t>
      </w:r>
      <w:r w:rsidR="00717D0E">
        <w:lastRenderedPageBreak/>
        <w:t>allows</w:t>
      </w:r>
      <w:r w:rsidR="0001773B">
        <w:t xml:space="preserve"> to </w:t>
      </w:r>
      <w:r w:rsidR="007664BE">
        <w:t xml:space="preserve">carry out exergy balance </w:t>
      </w:r>
      <w:r w:rsidR="0001773B">
        <w:t>and define exergy destruction term associated to polymerization activities.</w:t>
      </w:r>
      <w:r w:rsidR="003F3534">
        <w:t xml:space="preserve"> </w:t>
      </w:r>
      <w:r w:rsidR="00373322" w:rsidRPr="00251D04">
        <w:rPr>
          <w:lang w:val="en-GB"/>
        </w:rPr>
        <w:t>Performances of background processes are obtained by literature datasets</w:t>
      </w:r>
      <w:r w:rsidR="00E56C29">
        <w:rPr>
          <w:lang w:val="en-GB"/>
        </w:rPr>
        <w:t xml:space="preserve"> </w:t>
      </w:r>
      <w:r w:rsidR="00E56C29">
        <w:rPr>
          <w:lang w:val="en-GB"/>
        </w:rPr>
        <w:fldChar w:fldCharType="begin" w:fldLock="1"/>
      </w:r>
      <w:r w:rsidR="0014320F">
        <w:rPr>
          <w:lang w:val="en-GB"/>
        </w:rPr>
        <w:instrText>ADDIN CSL_CITATION {"citationItems":[{"id":"ITEM-1","itemData":{"URL":"https://eplca.jrc.ec.europa.eu/LCDN/contactListEF.xhtml;jsessionid=77E5108B39040E1110DFEAB3F4BDCE94","accessed":{"date-parts":[["2022","1","7"]]},"author":[{"dropping-particle":"","family":"European Commision","given":"","non-dropping-particle":"","parse-names":false,"suffix":""}],"id":"ITEM-1","issued":{"date-parts":[["2022"]]},"title":"European Platform on Life Cycle Assessment","type":"webpage"},"uris":["http://www.mendeley.com/documents/?uuid=c725c654-684e-40c2-a485-21af4bc2b966"]}],"mendeley":{"formattedCitation":"(European Commision 2022)","manualFormatting":"(European Commision, 2022)","plainTextFormattedCitation":"(European Commision 2022)","previouslyFormattedCitation":"(European Commision 2022)"},"properties":{"noteIndex":0},"schema":"https://github.com/citation-style-language/schema/raw/master/csl-citation.json"}</w:instrText>
      </w:r>
      <w:r w:rsidR="00E56C29">
        <w:rPr>
          <w:lang w:val="en-GB"/>
        </w:rPr>
        <w:fldChar w:fldCharType="separate"/>
      </w:r>
      <w:r w:rsidR="00E56C29" w:rsidRPr="00E56C29">
        <w:rPr>
          <w:noProof/>
          <w:lang w:val="en-GB"/>
        </w:rPr>
        <w:t>(European Commision</w:t>
      </w:r>
      <w:r w:rsidR="00DE1C7B">
        <w:rPr>
          <w:noProof/>
          <w:lang w:val="en-GB"/>
        </w:rPr>
        <w:t>,</w:t>
      </w:r>
      <w:r w:rsidR="00E56C29" w:rsidRPr="00E56C29">
        <w:rPr>
          <w:noProof/>
          <w:lang w:val="en-GB"/>
        </w:rPr>
        <w:t xml:space="preserve"> 2022)</w:t>
      </w:r>
      <w:r w:rsidR="00E56C29">
        <w:rPr>
          <w:lang w:val="en-GB"/>
        </w:rPr>
        <w:fldChar w:fldCharType="end"/>
      </w:r>
      <w:r w:rsidR="00373322" w:rsidRPr="00251D04">
        <w:rPr>
          <w:lang w:val="en-GB"/>
        </w:rPr>
        <w:t xml:space="preserve">. </w:t>
      </w:r>
      <w:r w:rsidR="00373322">
        <w:t xml:space="preserve">A schematic representation of reference layout is given in </w:t>
      </w:r>
      <w:r w:rsidR="006931E4">
        <w:t>F</w:t>
      </w:r>
      <w:r w:rsidR="00373322">
        <w:t xml:space="preserve">igure </w:t>
      </w:r>
      <w:r w:rsidR="006931E4">
        <w:t>2</w:t>
      </w:r>
      <w:r w:rsidR="00373322">
        <w:t>.</w:t>
      </w:r>
    </w:p>
    <w:p w14:paraId="42BC3CEC" w14:textId="77777777" w:rsidR="003B664A" w:rsidRDefault="003B664A" w:rsidP="00373322">
      <w:pPr>
        <w:pStyle w:val="CETBodytext"/>
      </w:pPr>
    </w:p>
    <w:p w14:paraId="117DA63F" w14:textId="0A3B4CAE" w:rsidR="00A52077" w:rsidRDefault="00974D5F" w:rsidP="00B91BB4">
      <w:pPr>
        <w:pStyle w:val="CETBodytext"/>
        <w:rPr>
          <w:lang w:val="it-IT"/>
        </w:rPr>
      </w:pPr>
      <w:r>
        <w:rPr>
          <w:noProof/>
        </w:rPr>
        <w:drawing>
          <wp:inline distT="0" distB="0" distL="0" distR="0" wp14:anchorId="25CB6C4E" wp14:editId="67E2EB1A">
            <wp:extent cx="3982060" cy="26003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88237" cy="2604359"/>
                    </a:xfrm>
                    <a:prstGeom prst="rect">
                      <a:avLst/>
                    </a:prstGeom>
                  </pic:spPr>
                </pic:pic>
              </a:graphicData>
            </a:graphic>
          </wp:inline>
        </w:drawing>
      </w:r>
    </w:p>
    <w:p w14:paraId="1FF970A0" w14:textId="470ED558" w:rsidR="00CE2D18" w:rsidRPr="002C2849" w:rsidRDefault="00931839" w:rsidP="00F170FE">
      <w:pPr>
        <w:pStyle w:val="CETCaption"/>
        <w:jc w:val="left"/>
      </w:pPr>
      <w:r>
        <w:t xml:space="preserve">Figure </w:t>
      </w:r>
      <w:r w:rsidR="00317ED3">
        <w:t>2</w:t>
      </w:r>
      <w:r>
        <w:t>: Reference adopted scheme for the application of the presented method</w:t>
      </w:r>
    </w:p>
    <w:p w14:paraId="53295A10" w14:textId="28053D60" w:rsidR="00F219DB" w:rsidRPr="00A62A2C" w:rsidRDefault="00F219DB" w:rsidP="009D22DB">
      <w:pPr>
        <w:pStyle w:val="CETheadingx"/>
      </w:pPr>
      <w:r>
        <w:t>Results and discussion</w:t>
      </w:r>
    </w:p>
    <w:p w14:paraId="0EE7ADA7" w14:textId="594DA3EC" w:rsidR="00AD766A" w:rsidRDefault="00F219DB" w:rsidP="00B91BB4">
      <w:pPr>
        <w:pStyle w:val="CETBodytext"/>
      </w:pPr>
      <w:r w:rsidRPr="005831C1">
        <w:t xml:space="preserve">For sake of brevity only two </w:t>
      </w:r>
      <w:r w:rsidR="00062FFD" w:rsidRPr="00062FFD">
        <w:t>indicators</w:t>
      </w:r>
      <w:r w:rsidRPr="005831C1">
        <w:t xml:space="preserve"> will be presented in the </w:t>
      </w:r>
      <w:r w:rsidR="00062FFD" w:rsidRPr="00062FFD">
        <w:t>following</w:t>
      </w:r>
      <w:r w:rsidRPr="005831C1">
        <w:t>:</w:t>
      </w:r>
      <w:r>
        <w:t xml:space="preserve"> one environmental indicator (GWI) and </w:t>
      </w:r>
      <w:r w:rsidR="0000674B">
        <w:t>the Exergy destruction indicator (</w:t>
      </w:r>
      <w:proofErr w:type="spellStart"/>
      <w:proofErr w:type="gramStart"/>
      <w:r w:rsidR="0000674B">
        <w:t>Ex,d</w:t>
      </w:r>
      <w:proofErr w:type="spellEnd"/>
      <w:proofErr w:type="gramEnd"/>
      <w:r w:rsidR="0000674B">
        <w:t>).</w:t>
      </w:r>
      <w:r w:rsidR="00890319">
        <w:t xml:space="preserve"> </w:t>
      </w:r>
      <w:r w:rsidR="00AD766A">
        <w:t xml:space="preserve">Global Warming Indicator (GWI) </w:t>
      </w:r>
      <w:r w:rsidR="00890319">
        <w:t xml:space="preserve">was </w:t>
      </w:r>
      <w:r w:rsidR="00AD766A">
        <w:t>selected as representative of the environmental performance of the system</w:t>
      </w:r>
      <w:r w:rsidR="00890319">
        <w:t xml:space="preserve"> as</w:t>
      </w:r>
      <w:r w:rsidR="00CE2D18">
        <w:t xml:space="preserve"> strongly related to the energy and material efficiency of the process.</w:t>
      </w:r>
    </w:p>
    <w:p w14:paraId="50B9CAFC" w14:textId="1F1B7A05" w:rsidR="00EA79C3" w:rsidRDefault="00CE2D18" w:rsidP="008D1594">
      <w:pPr>
        <w:pStyle w:val="CETBodytext"/>
      </w:pPr>
      <w:r>
        <w:t xml:space="preserve">The principal results obtained </w:t>
      </w:r>
      <w:r w:rsidR="00EA79C3">
        <w:t>are reported</w:t>
      </w:r>
      <w:r w:rsidR="00FE3BB7" w:rsidRPr="00FE3BB7">
        <w:t xml:space="preserve"> </w:t>
      </w:r>
      <w:r w:rsidR="00FE3BB7">
        <w:t>in Table 2</w:t>
      </w:r>
      <w:r w:rsidR="00EA79C3">
        <w:t xml:space="preserve">. </w:t>
      </w:r>
      <w:proofErr w:type="gramStart"/>
      <w:r w:rsidR="00167F3E">
        <w:t>Eq(</w:t>
      </w:r>
      <w:proofErr w:type="gramEnd"/>
      <w:r w:rsidR="00167F3E">
        <w:t xml:space="preserve">1) </w:t>
      </w:r>
      <w:r w:rsidR="00C57E40">
        <w:t>introduced</w:t>
      </w:r>
      <w:r w:rsidR="00167F3E">
        <w:t xml:space="preserve"> in section </w:t>
      </w:r>
      <w:r w:rsidR="001223B0">
        <w:t>2.2</w:t>
      </w:r>
      <w:r w:rsidR="00167F3E">
        <w:t xml:space="preserve"> allows to estimate the carbon footprint of the </w:t>
      </w:r>
      <w:r w:rsidR="00167F3E" w:rsidRPr="00017DD5">
        <w:rPr>
          <w:i/>
          <w:iCs/>
        </w:rPr>
        <w:t>Environmental boundary</w:t>
      </w:r>
      <w:r w:rsidR="00260F63">
        <w:t xml:space="preserve">. </w:t>
      </w:r>
      <w:r w:rsidR="00E91BB5">
        <w:t>Different scenarios are analyzed</w:t>
      </w:r>
      <w:r>
        <w:t xml:space="preserve"> for plant location,</w:t>
      </w:r>
      <w:r w:rsidR="00E91BB5">
        <w:t xml:space="preserve"> </w:t>
      </w:r>
      <w:r w:rsidR="00CE4710">
        <w:t xml:space="preserve">considering </w:t>
      </w:r>
      <w:r>
        <w:t xml:space="preserve">Italy </w:t>
      </w:r>
      <w:r w:rsidR="005B1915">
        <w:t xml:space="preserve">(Scenario 1) </w:t>
      </w:r>
      <w:r w:rsidR="00C57E40">
        <w:t xml:space="preserve">and US </w:t>
      </w:r>
      <w:r w:rsidR="005B1915">
        <w:t>(Scenario 2)</w:t>
      </w:r>
      <w:r>
        <w:t xml:space="preserve">; this affects mainly the </w:t>
      </w:r>
      <w:r w:rsidR="00C57E40">
        <w:t xml:space="preserve">supply </w:t>
      </w:r>
      <w:r w:rsidR="000B44C1">
        <w:t xml:space="preserve">of </w:t>
      </w:r>
      <w:r w:rsidR="00CE4710">
        <w:t xml:space="preserve">electricity </w:t>
      </w:r>
      <w:r w:rsidR="000B44C1">
        <w:t>and steam</w:t>
      </w:r>
      <w:r>
        <w:t xml:space="preserve"> to the studied system</w:t>
      </w:r>
      <w:r w:rsidR="000B44C1">
        <w:t xml:space="preserve">. In </w:t>
      </w:r>
      <w:proofErr w:type="spellStart"/>
      <w:r w:rsidR="000B44C1">
        <w:t>addiction</w:t>
      </w:r>
      <w:proofErr w:type="spellEnd"/>
      <w:r w:rsidR="00280095">
        <w:t xml:space="preserve">, the effect of the use of </w:t>
      </w:r>
      <w:r w:rsidR="00EF440F">
        <w:t xml:space="preserve">exclusively </w:t>
      </w:r>
      <w:r w:rsidR="00280095">
        <w:t>renewable resource</w:t>
      </w:r>
      <w:r w:rsidR="00780531">
        <w:t xml:space="preserve"> </w:t>
      </w:r>
      <w:r w:rsidR="001223B0">
        <w:t>for electricity supply is evaluated</w:t>
      </w:r>
      <w:r w:rsidR="00B06FB2">
        <w:t xml:space="preserve"> </w:t>
      </w:r>
      <w:r w:rsidR="005B1915">
        <w:t>(Scenario 3)</w:t>
      </w:r>
      <w:r w:rsidR="009E3298">
        <w:t xml:space="preserve">. </w:t>
      </w:r>
      <w:proofErr w:type="gramStart"/>
      <w:r w:rsidR="00990C3B">
        <w:t>Eq(</w:t>
      </w:r>
      <w:proofErr w:type="gramEnd"/>
      <w:r w:rsidR="00D54EB4">
        <w:t>3</w:t>
      </w:r>
      <w:r w:rsidR="00990C3B">
        <w:t>)</w:t>
      </w:r>
      <w:r w:rsidR="001223B0">
        <w:t xml:space="preserve"> of section 2.3</w:t>
      </w:r>
      <w:r w:rsidR="00990C3B">
        <w:t xml:space="preserve"> applied to the </w:t>
      </w:r>
      <w:r w:rsidR="00017DD5" w:rsidRPr="00017DD5">
        <w:rPr>
          <w:i/>
          <w:iCs/>
        </w:rPr>
        <w:t>P</w:t>
      </w:r>
      <w:r w:rsidR="00990C3B" w:rsidRPr="00017DD5">
        <w:rPr>
          <w:i/>
          <w:iCs/>
        </w:rPr>
        <w:t>olymerization boundary</w:t>
      </w:r>
      <w:r w:rsidR="00990C3B">
        <w:t xml:space="preserve"> </w:t>
      </w:r>
      <w:r w:rsidR="005828D0">
        <w:t xml:space="preserve">allows to </w:t>
      </w:r>
      <w:r w:rsidR="0013795E">
        <w:t>obtain</w:t>
      </w:r>
      <w:r w:rsidR="005828D0">
        <w:t xml:space="preserve"> the exergy destruction indicator</w:t>
      </w:r>
      <w:r w:rsidR="009E3298">
        <w:t xml:space="preserve">. </w:t>
      </w:r>
    </w:p>
    <w:p w14:paraId="7CAAEB9D" w14:textId="69793146" w:rsidR="009E3298" w:rsidRPr="00B57B36" w:rsidRDefault="009E3298" w:rsidP="009E3298">
      <w:pPr>
        <w:pStyle w:val="CETTabletitle"/>
      </w:pPr>
      <w:r w:rsidRPr="00B57B36">
        <w:t xml:space="preserve">Table </w:t>
      </w:r>
      <w:r w:rsidR="00953B25">
        <w:t>2</w:t>
      </w:r>
      <w:r w:rsidRPr="00B57B36">
        <w:t xml:space="preserve">: </w:t>
      </w:r>
      <w:r w:rsidR="00061603">
        <w:t xml:space="preserve">Global Warming Indicator (GWI) and </w:t>
      </w:r>
      <w:r w:rsidR="007C0C07">
        <w:t>E</w:t>
      </w:r>
      <w:r w:rsidR="00061603">
        <w:t>xergy destruction indicators (</w:t>
      </w:r>
      <w:proofErr w:type="spellStart"/>
      <w:r w:rsidR="00061603">
        <w:t>Ex,d</w:t>
      </w:r>
      <w:proofErr w:type="spellEnd"/>
      <w:r w:rsidR="00061603">
        <w:t>)</w:t>
      </w:r>
      <w:r w:rsidR="005374D4">
        <w:t xml:space="preserve"> of the reference polypropylene production chain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0"/>
        <w:gridCol w:w="1428"/>
        <w:gridCol w:w="1494"/>
        <w:gridCol w:w="1614"/>
      </w:tblGrid>
      <w:tr w:rsidR="003D50F9" w:rsidRPr="00B57B36" w14:paraId="73517B87" w14:textId="77777777" w:rsidTr="00A8620F">
        <w:trPr>
          <w:trHeight w:val="221"/>
        </w:trPr>
        <w:tc>
          <w:tcPr>
            <w:tcW w:w="1560" w:type="dxa"/>
            <w:tcBorders>
              <w:top w:val="single" w:sz="12" w:space="0" w:color="008000"/>
              <w:bottom w:val="single" w:sz="6" w:space="0" w:color="008000"/>
            </w:tcBorders>
            <w:shd w:val="clear" w:color="auto" w:fill="FFFFFF"/>
          </w:tcPr>
          <w:p w14:paraId="441DEF01" w14:textId="154AA2E0" w:rsidR="003D50F9" w:rsidRPr="00B57B36" w:rsidRDefault="003D50F9" w:rsidP="00D35B77">
            <w:pPr>
              <w:pStyle w:val="CETBodytext"/>
              <w:jc w:val="left"/>
              <w:rPr>
                <w:lang w:val="en-GB"/>
              </w:rPr>
            </w:pPr>
            <w:r>
              <w:rPr>
                <w:lang w:val="en-GB"/>
              </w:rPr>
              <w:t>Indicators</w:t>
            </w:r>
          </w:p>
        </w:tc>
        <w:tc>
          <w:tcPr>
            <w:tcW w:w="1428" w:type="dxa"/>
            <w:tcBorders>
              <w:top w:val="single" w:sz="12" w:space="0" w:color="008000"/>
              <w:bottom w:val="single" w:sz="6" w:space="0" w:color="008000"/>
            </w:tcBorders>
            <w:shd w:val="clear" w:color="auto" w:fill="FFFFFF"/>
          </w:tcPr>
          <w:p w14:paraId="4B66D4B3" w14:textId="3E715B55" w:rsidR="003D50F9" w:rsidRPr="00B57B36" w:rsidRDefault="003D50F9" w:rsidP="00D35B77">
            <w:pPr>
              <w:pStyle w:val="CETBodytext"/>
              <w:jc w:val="center"/>
              <w:rPr>
                <w:lang w:val="en-GB"/>
              </w:rPr>
            </w:pPr>
            <w:r>
              <w:rPr>
                <w:lang w:val="en-GB"/>
              </w:rPr>
              <w:t>Scenario 1</w:t>
            </w:r>
          </w:p>
        </w:tc>
        <w:tc>
          <w:tcPr>
            <w:tcW w:w="1494" w:type="dxa"/>
            <w:tcBorders>
              <w:top w:val="single" w:sz="12" w:space="0" w:color="008000"/>
              <w:bottom w:val="single" w:sz="6" w:space="0" w:color="008000"/>
            </w:tcBorders>
            <w:shd w:val="clear" w:color="auto" w:fill="FFFFFF"/>
          </w:tcPr>
          <w:p w14:paraId="42FAC0FA" w14:textId="2E85ACAA" w:rsidR="003D50F9" w:rsidRPr="00B57B36" w:rsidRDefault="003D50F9" w:rsidP="00D35B77">
            <w:pPr>
              <w:pStyle w:val="CETBodytext"/>
              <w:jc w:val="center"/>
              <w:rPr>
                <w:lang w:val="en-GB"/>
              </w:rPr>
            </w:pPr>
            <w:r>
              <w:rPr>
                <w:lang w:val="en-GB"/>
              </w:rPr>
              <w:t>Scenario 2</w:t>
            </w:r>
          </w:p>
        </w:tc>
        <w:tc>
          <w:tcPr>
            <w:tcW w:w="1614" w:type="dxa"/>
            <w:tcBorders>
              <w:top w:val="single" w:sz="12" w:space="0" w:color="008000"/>
              <w:bottom w:val="single" w:sz="6" w:space="0" w:color="008000"/>
            </w:tcBorders>
            <w:shd w:val="clear" w:color="auto" w:fill="FFFFFF"/>
          </w:tcPr>
          <w:p w14:paraId="28CA0A84" w14:textId="31C036E9" w:rsidR="003D50F9" w:rsidRPr="00B57B36" w:rsidRDefault="003D50F9" w:rsidP="00D35B77">
            <w:pPr>
              <w:pStyle w:val="CETBodytext"/>
              <w:ind w:right="-1"/>
              <w:jc w:val="center"/>
              <w:rPr>
                <w:rFonts w:cs="Arial"/>
                <w:szCs w:val="18"/>
                <w:lang w:val="en-GB"/>
              </w:rPr>
            </w:pPr>
            <w:r>
              <w:rPr>
                <w:rFonts w:cs="Arial"/>
                <w:szCs w:val="18"/>
                <w:lang w:val="en-GB"/>
              </w:rPr>
              <w:t>Scenario 3</w:t>
            </w:r>
          </w:p>
        </w:tc>
      </w:tr>
      <w:tr w:rsidR="003D50F9" w:rsidRPr="00B57B36" w14:paraId="146EEA07" w14:textId="77777777" w:rsidTr="00A8620F">
        <w:trPr>
          <w:trHeight w:val="431"/>
        </w:trPr>
        <w:tc>
          <w:tcPr>
            <w:tcW w:w="1560" w:type="dxa"/>
            <w:shd w:val="clear" w:color="auto" w:fill="FFFFFF"/>
          </w:tcPr>
          <w:p w14:paraId="17FCE647" w14:textId="1224703C" w:rsidR="003D50F9" w:rsidRPr="00B57B36" w:rsidRDefault="003D50F9" w:rsidP="00D35B77">
            <w:pPr>
              <w:pStyle w:val="CETBodytext"/>
              <w:jc w:val="left"/>
              <w:rPr>
                <w:lang w:val="en-GB"/>
              </w:rPr>
            </w:pPr>
            <w:r>
              <w:rPr>
                <w:lang w:val="en-GB"/>
              </w:rPr>
              <w:t>GWI [kgCO</w:t>
            </w:r>
            <w:r w:rsidRPr="00484431">
              <w:rPr>
                <w:vertAlign w:val="subscript"/>
                <w:lang w:val="en-GB"/>
              </w:rPr>
              <w:t>2</w:t>
            </w:r>
            <w:r>
              <w:rPr>
                <w:lang w:val="en-GB"/>
              </w:rPr>
              <w:t>/</w:t>
            </w:r>
            <w:proofErr w:type="spellStart"/>
            <w:r>
              <w:rPr>
                <w:lang w:val="en-GB"/>
              </w:rPr>
              <w:t>kgPP</w:t>
            </w:r>
            <w:proofErr w:type="spellEnd"/>
            <w:r>
              <w:rPr>
                <w:lang w:val="en-GB"/>
              </w:rPr>
              <w:t>]</w:t>
            </w:r>
          </w:p>
        </w:tc>
        <w:tc>
          <w:tcPr>
            <w:tcW w:w="1428" w:type="dxa"/>
            <w:shd w:val="clear" w:color="auto" w:fill="FFFFFF"/>
          </w:tcPr>
          <w:p w14:paraId="5C1AEB90" w14:textId="05AE8444" w:rsidR="003D50F9" w:rsidRPr="00B57B36" w:rsidRDefault="003D50F9" w:rsidP="00D35B77">
            <w:pPr>
              <w:pStyle w:val="CETBodytext"/>
              <w:jc w:val="center"/>
              <w:rPr>
                <w:lang w:val="en-GB"/>
              </w:rPr>
            </w:pPr>
            <w:r>
              <w:rPr>
                <w:lang w:val="en-GB"/>
              </w:rPr>
              <w:t>1,520</w:t>
            </w:r>
          </w:p>
        </w:tc>
        <w:tc>
          <w:tcPr>
            <w:tcW w:w="1494" w:type="dxa"/>
            <w:shd w:val="clear" w:color="auto" w:fill="FFFFFF"/>
          </w:tcPr>
          <w:p w14:paraId="0FCBCEE1" w14:textId="37C8375E" w:rsidR="003D50F9" w:rsidRPr="00B57B36" w:rsidRDefault="003D50F9" w:rsidP="00D35B77">
            <w:pPr>
              <w:pStyle w:val="CETBodytext"/>
              <w:jc w:val="center"/>
              <w:rPr>
                <w:lang w:val="en-GB"/>
              </w:rPr>
            </w:pPr>
            <w:r>
              <w:rPr>
                <w:lang w:val="en-GB"/>
              </w:rPr>
              <w:t>1,556</w:t>
            </w:r>
          </w:p>
        </w:tc>
        <w:tc>
          <w:tcPr>
            <w:tcW w:w="1614" w:type="dxa"/>
            <w:shd w:val="clear" w:color="auto" w:fill="FFFFFF"/>
          </w:tcPr>
          <w:p w14:paraId="18CC3FDE" w14:textId="00C1414E" w:rsidR="003D50F9" w:rsidRPr="00B57B36" w:rsidRDefault="003D50F9" w:rsidP="00D35B77">
            <w:pPr>
              <w:pStyle w:val="CETBodytext"/>
              <w:ind w:right="-1"/>
              <w:jc w:val="center"/>
              <w:rPr>
                <w:rFonts w:cs="Arial"/>
                <w:szCs w:val="18"/>
                <w:lang w:val="en-GB"/>
              </w:rPr>
            </w:pPr>
            <w:r>
              <w:rPr>
                <w:rFonts w:cs="Arial"/>
                <w:szCs w:val="18"/>
                <w:lang w:val="en-GB"/>
              </w:rPr>
              <w:t>1,437</w:t>
            </w:r>
          </w:p>
        </w:tc>
      </w:tr>
      <w:tr w:rsidR="003D50F9" w:rsidRPr="00B57B36" w14:paraId="4D43D222" w14:textId="77777777" w:rsidTr="00A8620F">
        <w:trPr>
          <w:trHeight w:val="209"/>
        </w:trPr>
        <w:tc>
          <w:tcPr>
            <w:tcW w:w="1560" w:type="dxa"/>
            <w:shd w:val="clear" w:color="auto" w:fill="FFFFFF"/>
          </w:tcPr>
          <w:p w14:paraId="7E14D619" w14:textId="52819918" w:rsidR="003D50F9" w:rsidRPr="00B57B36" w:rsidRDefault="003D50F9" w:rsidP="00D35B77">
            <w:pPr>
              <w:pStyle w:val="CETBodytext"/>
              <w:ind w:right="-1"/>
              <w:jc w:val="left"/>
              <w:rPr>
                <w:rFonts w:cs="Arial"/>
                <w:szCs w:val="18"/>
                <w:lang w:val="en-GB"/>
              </w:rPr>
            </w:pPr>
            <w:proofErr w:type="spellStart"/>
            <w:r>
              <w:rPr>
                <w:rFonts w:cs="Arial"/>
                <w:szCs w:val="18"/>
                <w:lang w:val="en-GB"/>
              </w:rPr>
              <w:t>Ex,d</w:t>
            </w:r>
            <w:proofErr w:type="spellEnd"/>
            <w:r>
              <w:rPr>
                <w:rFonts w:cs="Arial"/>
                <w:szCs w:val="18"/>
                <w:lang w:val="en-GB"/>
              </w:rPr>
              <w:t xml:space="preserve"> [kJ/</w:t>
            </w:r>
            <w:proofErr w:type="spellStart"/>
            <w:r>
              <w:rPr>
                <w:rFonts w:cs="Arial"/>
                <w:szCs w:val="18"/>
                <w:lang w:val="en-GB"/>
              </w:rPr>
              <w:t>kgPP</w:t>
            </w:r>
            <w:proofErr w:type="spellEnd"/>
            <w:r>
              <w:rPr>
                <w:rFonts w:cs="Arial"/>
                <w:szCs w:val="18"/>
                <w:lang w:val="en-GB"/>
              </w:rPr>
              <w:t>]</w:t>
            </w:r>
          </w:p>
        </w:tc>
        <w:tc>
          <w:tcPr>
            <w:tcW w:w="1428" w:type="dxa"/>
            <w:shd w:val="clear" w:color="auto" w:fill="FFFFFF"/>
          </w:tcPr>
          <w:p w14:paraId="006668D5" w14:textId="009F62D3" w:rsidR="003D50F9" w:rsidRPr="00B57B36" w:rsidRDefault="003D50F9" w:rsidP="00D35B77">
            <w:pPr>
              <w:pStyle w:val="CETBodytext"/>
              <w:ind w:right="-1"/>
              <w:jc w:val="center"/>
              <w:rPr>
                <w:rFonts w:cs="Arial"/>
                <w:szCs w:val="18"/>
                <w:lang w:val="en-GB"/>
              </w:rPr>
            </w:pPr>
            <w:r>
              <w:rPr>
                <w:rFonts w:cs="Arial"/>
                <w:szCs w:val="18"/>
                <w:lang w:val="en-GB"/>
              </w:rPr>
              <w:t>1218,3</w:t>
            </w:r>
          </w:p>
        </w:tc>
        <w:tc>
          <w:tcPr>
            <w:tcW w:w="1494" w:type="dxa"/>
            <w:shd w:val="clear" w:color="auto" w:fill="FFFFFF"/>
          </w:tcPr>
          <w:p w14:paraId="73D06EA5" w14:textId="53C46BF2" w:rsidR="003D50F9" w:rsidRPr="00B57B36" w:rsidRDefault="003D50F9" w:rsidP="00D35B77">
            <w:pPr>
              <w:pStyle w:val="CETBodytext"/>
              <w:ind w:right="-1"/>
              <w:jc w:val="center"/>
              <w:rPr>
                <w:rFonts w:cs="Arial"/>
                <w:szCs w:val="18"/>
                <w:lang w:val="en-GB"/>
              </w:rPr>
            </w:pPr>
            <w:r>
              <w:rPr>
                <w:rFonts w:cs="Arial"/>
                <w:szCs w:val="18"/>
                <w:lang w:val="en-GB"/>
              </w:rPr>
              <w:t>1218,3</w:t>
            </w:r>
          </w:p>
        </w:tc>
        <w:tc>
          <w:tcPr>
            <w:tcW w:w="1614" w:type="dxa"/>
            <w:shd w:val="clear" w:color="auto" w:fill="FFFFFF"/>
          </w:tcPr>
          <w:p w14:paraId="1E31A3C9" w14:textId="316E0FC9" w:rsidR="003D50F9" w:rsidRPr="00B57B36" w:rsidRDefault="003D50F9" w:rsidP="00D35B77">
            <w:pPr>
              <w:pStyle w:val="CETBodytext"/>
              <w:ind w:right="-1"/>
              <w:jc w:val="center"/>
              <w:rPr>
                <w:rFonts w:cs="Arial"/>
                <w:szCs w:val="18"/>
                <w:lang w:val="en-GB"/>
              </w:rPr>
            </w:pPr>
            <w:r>
              <w:rPr>
                <w:rFonts w:cs="Arial"/>
                <w:szCs w:val="18"/>
                <w:lang w:val="en-GB"/>
              </w:rPr>
              <w:t>1218,3</w:t>
            </w:r>
          </w:p>
        </w:tc>
      </w:tr>
    </w:tbl>
    <w:p w14:paraId="118D816D" w14:textId="660C626C" w:rsidR="009E3298" w:rsidRDefault="009E3298" w:rsidP="008D1594">
      <w:pPr>
        <w:pStyle w:val="CETBodytext"/>
      </w:pPr>
    </w:p>
    <w:p w14:paraId="741F41DD" w14:textId="24F12C31" w:rsidR="00ED5B10" w:rsidRDefault="00D45F79" w:rsidP="008D1594">
      <w:pPr>
        <w:pStyle w:val="CETBodytext"/>
      </w:pPr>
      <w:r>
        <w:t xml:space="preserve">Results are representative of an average </w:t>
      </w:r>
      <w:r w:rsidR="00D85EB7">
        <w:t>situation,</w:t>
      </w:r>
      <w:r>
        <w:t xml:space="preserve"> therefore specific plant data </w:t>
      </w:r>
      <w:r w:rsidR="00F1607F">
        <w:t xml:space="preserve">and information </w:t>
      </w:r>
      <w:r w:rsidR="00062FFD">
        <w:t>about</w:t>
      </w:r>
      <w:r w:rsidR="00F1607F">
        <w:t xml:space="preserve"> process configurations </w:t>
      </w:r>
      <w:r>
        <w:t>can slightly modify the indicators</w:t>
      </w:r>
      <w:r w:rsidR="00D85EB7">
        <w:t xml:space="preserve">. </w:t>
      </w:r>
      <w:r w:rsidR="006A4217">
        <w:t xml:space="preserve">The effect of site-location </w:t>
      </w:r>
      <w:r w:rsidR="00863255">
        <w:t>dependence</w:t>
      </w:r>
      <w:r w:rsidR="006A4217">
        <w:t xml:space="preserve"> on polymer chain is appreciated by </w:t>
      </w:r>
      <w:r w:rsidR="003D759F">
        <w:t>the comparison between Scenario 1 and 2. The GWI increases of about 2,6% due to the use of a US electricity grid mix and steam production technology.</w:t>
      </w:r>
      <w:r w:rsidR="00D47042">
        <w:t xml:space="preserve"> Regarding Scenario 3, a more sustainable results is achieved for the utilization of renewable resource</w:t>
      </w:r>
      <w:r w:rsidR="00450219">
        <w:t>. The GWI indicator is reduced of about 5,5%</w:t>
      </w:r>
      <w:r w:rsidR="00357259">
        <w:t xml:space="preserve">. Considering an average polymerization plant with a capability of 400 </w:t>
      </w:r>
      <w:proofErr w:type="spellStart"/>
      <w:r w:rsidR="00357259">
        <w:t>ktPP</w:t>
      </w:r>
      <w:proofErr w:type="spellEnd"/>
      <w:r w:rsidR="00357259">
        <w:t xml:space="preserve">/y </w:t>
      </w:r>
      <w:r w:rsidR="00BC70FC">
        <w:t xml:space="preserve">the reduction of GWI moving from Scenario 1 to Scenario 3 can be quantified </w:t>
      </w:r>
      <w:r w:rsidR="00903DD4">
        <w:t xml:space="preserve">in the reduction of </w:t>
      </w:r>
      <w:r w:rsidR="00062FFD">
        <w:t>approximately</w:t>
      </w:r>
      <w:r w:rsidR="00EC4F66">
        <w:t xml:space="preserve"> 33,4 ktCO2/y. </w:t>
      </w:r>
      <w:r w:rsidR="00CD0D3D">
        <w:t xml:space="preserve">Furthermore, considering </w:t>
      </w:r>
      <w:r w:rsidR="008B4F43">
        <w:t xml:space="preserve">single processes within the environmental boundary, </w:t>
      </w:r>
      <w:r w:rsidR="006D0F7B">
        <w:t xml:space="preserve">monomer production activities are responsible of </w:t>
      </w:r>
      <w:r w:rsidR="00062FFD">
        <w:t>approximately</w:t>
      </w:r>
      <w:r w:rsidR="008B4F43">
        <w:t xml:space="preserve"> 90% </w:t>
      </w:r>
      <w:r w:rsidR="006D0F7B">
        <w:t xml:space="preserve">of the indicator. </w:t>
      </w:r>
      <w:r w:rsidR="00887442">
        <w:t xml:space="preserve">In this direction, other </w:t>
      </w:r>
      <w:r w:rsidR="00ED5B10">
        <w:t xml:space="preserve">environmental </w:t>
      </w:r>
      <w:r w:rsidR="00062FFD">
        <w:t>benefits</w:t>
      </w:r>
      <w:r w:rsidR="00ED5B10">
        <w:t xml:space="preserve"> </w:t>
      </w:r>
      <w:r w:rsidR="00887442">
        <w:t xml:space="preserve">can be </w:t>
      </w:r>
      <w:r w:rsidR="00671C8E">
        <w:t>achieved for</w:t>
      </w:r>
      <w:r w:rsidR="00ED5B10">
        <w:t xml:space="preserve"> the utilization of renewable resources </w:t>
      </w:r>
      <w:r w:rsidR="00887442">
        <w:t xml:space="preserve">for monomer supply. </w:t>
      </w:r>
    </w:p>
    <w:p w14:paraId="1F048F6F" w14:textId="3ED56C67" w:rsidR="00401BAE" w:rsidRDefault="003D3B1B" w:rsidP="008D1594">
      <w:pPr>
        <w:pStyle w:val="CETBodytext"/>
      </w:pPr>
      <w:r>
        <w:t xml:space="preserve">The analysis of the Exergy destruction indicator shows that results are not affected by site-location and </w:t>
      </w:r>
      <w:r w:rsidR="000A2346">
        <w:t>technologies for supply of raw material and energy</w:t>
      </w:r>
      <w:r w:rsidR="00863255">
        <w:t xml:space="preserve">. </w:t>
      </w:r>
      <w:r w:rsidR="00B06FB2">
        <w:t xml:space="preserve">In </w:t>
      </w:r>
      <w:proofErr w:type="spellStart"/>
      <w:r w:rsidR="00B06FB2">
        <w:t>addiction</w:t>
      </w:r>
      <w:proofErr w:type="spellEnd"/>
      <w:r w:rsidR="00B06FB2">
        <w:t>,</w:t>
      </w:r>
      <w:r w:rsidR="008E005F">
        <w:t xml:space="preserve"> </w:t>
      </w:r>
      <w:proofErr w:type="spellStart"/>
      <w:proofErr w:type="gramStart"/>
      <w:r w:rsidR="008E005F">
        <w:t>Ex,d</w:t>
      </w:r>
      <w:proofErr w:type="spellEnd"/>
      <w:proofErr w:type="gramEnd"/>
      <w:r w:rsidR="008E005F">
        <w:t xml:space="preserve"> allows to recognize the principal source of energy consumption </w:t>
      </w:r>
      <w:r w:rsidR="00B70232">
        <w:t>inside a reference system.</w:t>
      </w:r>
      <w:r w:rsidR="002A4D16">
        <w:t xml:space="preserve"> In particular,</w:t>
      </w:r>
      <w:r w:rsidR="00B70232">
        <w:t xml:space="preserve"> </w:t>
      </w:r>
      <w:r w:rsidR="002A4D16">
        <w:t xml:space="preserve">reference adopted extruder is responsible of </w:t>
      </w:r>
      <w:r w:rsidR="002A4D16">
        <w:lastRenderedPageBreak/>
        <w:t xml:space="preserve">about 52% of the </w:t>
      </w:r>
      <w:proofErr w:type="spellStart"/>
      <w:proofErr w:type="gramStart"/>
      <w:r w:rsidR="002A4D16">
        <w:t>Ex,d</w:t>
      </w:r>
      <w:proofErr w:type="spellEnd"/>
      <w:r w:rsidR="00A15A4B">
        <w:t>.</w:t>
      </w:r>
      <w:proofErr w:type="gramEnd"/>
      <w:r w:rsidR="00A15A4B">
        <w:t xml:space="preserve"> </w:t>
      </w:r>
      <w:r w:rsidR="00CD5402">
        <w:t xml:space="preserve">This result shows that more than half of the exergy destructed </w:t>
      </w:r>
      <w:r w:rsidR="007C2F20">
        <w:t xml:space="preserve">by polymerization activities is located in the final </w:t>
      </w:r>
      <w:r w:rsidR="00062FFD">
        <w:t>extrusion</w:t>
      </w:r>
      <w:r w:rsidR="007C2F20">
        <w:t xml:space="preserve"> section. </w:t>
      </w:r>
    </w:p>
    <w:p w14:paraId="7DA8D927" w14:textId="77777777" w:rsidR="00FE71D0" w:rsidRPr="00B57B36" w:rsidRDefault="00FE71D0" w:rsidP="00FE71D0">
      <w:pPr>
        <w:pStyle w:val="CETHeading1"/>
        <w:rPr>
          <w:lang w:val="en-GB"/>
        </w:rPr>
      </w:pPr>
      <w:r w:rsidRPr="00B57B36">
        <w:rPr>
          <w:lang w:val="en-GB"/>
        </w:rPr>
        <w:t>Conclusions</w:t>
      </w:r>
    </w:p>
    <w:p w14:paraId="74947539" w14:textId="279BF746" w:rsidR="00FE71D0" w:rsidRDefault="00251630" w:rsidP="00FE71D0">
      <w:pPr>
        <w:pStyle w:val="CETBodytext"/>
        <w:rPr>
          <w:lang w:val="en-GB"/>
        </w:rPr>
      </w:pPr>
      <w:r>
        <w:rPr>
          <w:lang w:val="en-GB"/>
        </w:rPr>
        <w:t xml:space="preserve">This work presents a </w:t>
      </w:r>
      <w:r w:rsidR="0057502B">
        <w:rPr>
          <w:lang w:val="en-GB"/>
        </w:rPr>
        <w:t>sustainability-oriented</w:t>
      </w:r>
      <w:r>
        <w:rPr>
          <w:lang w:val="en-GB"/>
        </w:rPr>
        <w:t xml:space="preserve"> </w:t>
      </w:r>
      <w:r w:rsidR="00863255">
        <w:rPr>
          <w:lang w:val="en-GB"/>
        </w:rPr>
        <w:t xml:space="preserve">design support </w:t>
      </w:r>
      <w:r>
        <w:rPr>
          <w:lang w:val="en-GB"/>
        </w:rPr>
        <w:t xml:space="preserve">methodology applied to a polypropylene production. </w:t>
      </w:r>
      <w:r w:rsidR="006F4391">
        <w:rPr>
          <w:lang w:val="en-GB"/>
        </w:rPr>
        <w:t>K</w:t>
      </w:r>
      <w:r w:rsidR="0057502B">
        <w:rPr>
          <w:lang w:val="en-GB"/>
        </w:rPr>
        <w:t xml:space="preserve">ey Performance Indicators (KPI) are </w:t>
      </w:r>
      <w:r w:rsidR="00863255">
        <w:rPr>
          <w:lang w:val="en-GB"/>
        </w:rPr>
        <w:t xml:space="preserve">used to </w:t>
      </w:r>
      <w:r w:rsidR="006F4391">
        <w:rPr>
          <w:lang w:val="en-GB"/>
        </w:rPr>
        <w:t>measure</w:t>
      </w:r>
      <w:r w:rsidR="00863255">
        <w:rPr>
          <w:lang w:val="en-GB"/>
        </w:rPr>
        <w:t xml:space="preserve"> the</w:t>
      </w:r>
      <w:r w:rsidR="006F4391">
        <w:rPr>
          <w:lang w:val="en-GB"/>
        </w:rPr>
        <w:t xml:space="preserve"> environme</w:t>
      </w:r>
      <w:r w:rsidR="007677A1">
        <w:rPr>
          <w:lang w:val="en-GB"/>
        </w:rPr>
        <w:t xml:space="preserve">ntal </w:t>
      </w:r>
      <w:r w:rsidR="00863255">
        <w:rPr>
          <w:lang w:val="en-GB"/>
        </w:rPr>
        <w:t xml:space="preserve">impact profile </w:t>
      </w:r>
      <w:r w:rsidR="007677A1">
        <w:rPr>
          <w:lang w:val="en-GB"/>
        </w:rPr>
        <w:t xml:space="preserve">and </w:t>
      </w:r>
      <w:r w:rsidR="00863255">
        <w:rPr>
          <w:lang w:val="en-GB"/>
        </w:rPr>
        <w:t xml:space="preserve">the </w:t>
      </w:r>
      <w:r w:rsidR="007677A1">
        <w:rPr>
          <w:lang w:val="en-GB"/>
        </w:rPr>
        <w:t xml:space="preserve">energy </w:t>
      </w:r>
      <w:r w:rsidR="00863255">
        <w:rPr>
          <w:lang w:val="en-GB"/>
        </w:rPr>
        <w:t xml:space="preserve">use </w:t>
      </w:r>
      <w:r w:rsidR="007677A1">
        <w:rPr>
          <w:lang w:val="en-GB"/>
        </w:rPr>
        <w:t xml:space="preserve">efficiency. In </w:t>
      </w:r>
      <w:r w:rsidR="00863255">
        <w:rPr>
          <w:lang w:val="en-GB"/>
        </w:rPr>
        <w:t>the presented case study</w:t>
      </w:r>
      <w:r w:rsidR="009E0CEF">
        <w:rPr>
          <w:lang w:val="en-GB"/>
        </w:rPr>
        <w:t xml:space="preserve">, </w:t>
      </w:r>
      <w:r w:rsidR="007677A1">
        <w:rPr>
          <w:lang w:val="en-GB"/>
        </w:rPr>
        <w:t>Global Warming Indicator (GWI) and Exergy destruction indicator (</w:t>
      </w:r>
      <w:proofErr w:type="spellStart"/>
      <w:r w:rsidR="007677A1">
        <w:rPr>
          <w:lang w:val="en-GB"/>
        </w:rPr>
        <w:t>Ex,d</w:t>
      </w:r>
      <w:proofErr w:type="spellEnd"/>
      <w:r w:rsidR="007677A1">
        <w:rPr>
          <w:lang w:val="en-GB"/>
        </w:rPr>
        <w:t xml:space="preserve">) are </w:t>
      </w:r>
      <w:r w:rsidR="00863255">
        <w:rPr>
          <w:lang w:val="en-GB"/>
        </w:rPr>
        <w:t xml:space="preserve">calculated </w:t>
      </w:r>
      <w:r w:rsidR="009E0CEF">
        <w:rPr>
          <w:lang w:val="en-GB"/>
        </w:rPr>
        <w:t xml:space="preserve">to characterize polymerization </w:t>
      </w:r>
      <w:r w:rsidR="001A379C">
        <w:rPr>
          <w:lang w:val="en-GB"/>
        </w:rPr>
        <w:t>strategies</w:t>
      </w:r>
      <w:r w:rsidR="009E0CEF">
        <w:rPr>
          <w:lang w:val="en-GB"/>
        </w:rPr>
        <w:t xml:space="preserve"> and auxiliary </w:t>
      </w:r>
      <w:r w:rsidR="00122F91">
        <w:rPr>
          <w:lang w:val="en-GB"/>
        </w:rPr>
        <w:t xml:space="preserve">processes. Results obtained can support design </w:t>
      </w:r>
      <w:r w:rsidR="001A379C">
        <w:rPr>
          <w:lang w:val="en-GB"/>
        </w:rPr>
        <w:t xml:space="preserve">activities pinpointing inefficient operations and potential for improvements. </w:t>
      </w:r>
      <w:r w:rsidR="002A5BA8">
        <w:rPr>
          <w:lang w:val="en-GB"/>
        </w:rPr>
        <w:t xml:space="preserve">Regarding GWI, the principal source of </w:t>
      </w:r>
      <w:r w:rsidR="00863255">
        <w:rPr>
          <w:lang w:val="en-GB"/>
        </w:rPr>
        <w:t>greenhouse gasses</w:t>
      </w:r>
      <w:r w:rsidR="002A5BA8">
        <w:rPr>
          <w:lang w:val="en-GB"/>
        </w:rPr>
        <w:t xml:space="preserve"> is the monomer production</w:t>
      </w:r>
      <w:r w:rsidR="00863255">
        <w:rPr>
          <w:lang w:val="en-GB"/>
        </w:rPr>
        <w:t>, suggesting that maximisation of process yield is a priority f</w:t>
      </w:r>
      <w:r w:rsidR="00643317">
        <w:rPr>
          <w:lang w:val="en-GB"/>
        </w:rPr>
        <w:t>ro</w:t>
      </w:r>
      <w:r w:rsidR="00863255">
        <w:rPr>
          <w:lang w:val="en-GB"/>
        </w:rPr>
        <w:t>m this point of view</w:t>
      </w:r>
      <w:r w:rsidR="002A5BA8">
        <w:rPr>
          <w:lang w:val="en-GB"/>
        </w:rPr>
        <w:t xml:space="preserve">. Environmental </w:t>
      </w:r>
      <w:r w:rsidR="00062FFD">
        <w:rPr>
          <w:lang w:val="en-GB"/>
        </w:rPr>
        <w:t>benefits</w:t>
      </w:r>
      <w:r w:rsidR="002A5BA8">
        <w:rPr>
          <w:lang w:val="en-GB"/>
        </w:rPr>
        <w:t xml:space="preserve"> can be obtained by the utilization of renewable resources </w:t>
      </w:r>
      <w:r w:rsidR="00FA43BF">
        <w:rPr>
          <w:lang w:val="en-GB"/>
        </w:rPr>
        <w:t xml:space="preserve">(e.g. </w:t>
      </w:r>
      <w:r w:rsidR="002A5BA8">
        <w:rPr>
          <w:lang w:val="en-GB"/>
        </w:rPr>
        <w:t>electricity generation</w:t>
      </w:r>
      <w:r w:rsidR="00FA43BF">
        <w:rPr>
          <w:lang w:val="en-GB"/>
        </w:rPr>
        <w:t xml:space="preserve"> process)</w:t>
      </w:r>
      <w:r w:rsidR="002A5BA8">
        <w:rPr>
          <w:lang w:val="en-GB"/>
        </w:rPr>
        <w:t xml:space="preserve">. Regarding </w:t>
      </w:r>
      <w:r w:rsidR="00FA43BF">
        <w:rPr>
          <w:lang w:val="en-GB"/>
        </w:rPr>
        <w:t xml:space="preserve">exergy results, extrusion area is </w:t>
      </w:r>
      <w:r w:rsidR="004929BB">
        <w:rPr>
          <w:lang w:val="en-GB"/>
        </w:rPr>
        <w:t>the principal source of exergy destruction term due to the high quantity of electricity consumed.</w:t>
      </w:r>
      <w:r w:rsidR="000738EA">
        <w:rPr>
          <w:lang w:val="en-GB"/>
        </w:rPr>
        <w:t xml:space="preserve"> In this perspective, </w:t>
      </w:r>
      <w:r w:rsidR="00243DD9">
        <w:rPr>
          <w:lang w:val="en-GB"/>
        </w:rPr>
        <w:t xml:space="preserve">it </w:t>
      </w:r>
      <w:r w:rsidR="00863255">
        <w:rPr>
          <w:lang w:val="en-GB"/>
        </w:rPr>
        <w:t>can be reduced by improving the design of this section (e.g. using waste heat or green energy).</w:t>
      </w:r>
    </w:p>
    <w:p w14:paraId="681BDB49" w14:textId="77777777" w:rsidR="007E0464" w:rsidRDefault="007E0464" w:rsidP="00F24D18">
      <w:pPr>
        <w:pStyle w:val="CETReference"/>
      </w:pPr>
    </w:p>
    <w:p w14:paraId="5C98ED1E" w14:textId="3932ACCC" w:rsidR="00F24D18" w:rsidRPr="00B57B36" w:rsidRDefault="00F24D18" w:rsidP="00F24D18">
      <w:pPr>
        <w:pStyle w:val="CETReference"/>
      </w:pPr>
      <w:bookmarkStart w:id="2" w:name="_GoBack"/>
      <w:bookmarkEnd w:id="2"/>
      <w:r w:rsidRPr="00B57B36">
        <w:t>References</w:t>
      </w:r>
    </w:p>
    <w:p w14:paraId="08512784" w14:textId="2170947D" w:rsidR="0014320F" w:rsidRPr="0014320F" w:rsidRDefault="00460A18" w:rsidP="0014320F">
      <w:pPr>
        <w:widowControl w:val="0"/>
        <w:autoSpaceDE w:val="0"/>
        <w:autoSpaceDN w:val="0"/>
        <w:adjustRightInd w:val="0"/>
        <w:spacing w:line="240" w:lineRule="auto"/>
        <w:ind w:left="480" w:hanging="480"/>
        <w:rPr>
          <w:rFonts w:cs="Arial"/>
          <w:noProof/>
          <w:szCs w:val="24"/>
        </w:rPr>
      </w:pPr>
      <w:r>
        <w:rPr>
          <w:lang w:val="it-IT"/>
        </w:rPr>
        <w:fldChar w:fldCharType="begin" w:fldLock="1"/>
      </w:r>
      <w:r w:rsidRPr="006E7482">
        <w:instrText xml:space="preserve">ADDIN Mendeley Bibliography CSL_BIBLIOGRAPHY </w:instrText>
      </w:r>
      <w:r>
        <w:rPr>
          <w:lang w:val="it-IT"/>
        </w:rPr>
        <w:fldChar w:fldCharType="separate"/>
      </w:r>
      <w:r w:rsidR="0014320F" w:rsidRPr="0014320F">
        <w:rPr>
          <w:rFonts w:cs="Arial"/>
          <w:noProof/>
          <w:szCs w:val="24"/>
        </w:rPr>
        <w:t>Abeykoon C</w:t>
      </w:r>
      <w:r w:rsidR="00586514">
        <w:rPr>
          <w:rFonts w:cs="Arial"/>
          <w:noProof/>
          <w:szCs w:val="24"/>
        </w:rPr>
        <w:t>.</w:t>
      </w:r>
      <w:r w:rsidR="0014320F" w:rsidRPr="0014320F">
        <w:rPr>
          <w:rFonts w:cs="Arial"/>
          <w:noProof/>
          <w:szCs w:val="24"/>
        </w:rPr>
        <w:t>, Kelly</w:t>
      </w:r>
      <w:r w:rsidR="00586514">
        <w:rPr>
          <w:rFonts w:cs="Arial"/>
          <w:noProof/>
          <w:szCs w:val="24"/>
        </w:rPr>
        <w:t xml:space="preserve"> A.</w:t>
      </w:r>
      <w:r w:rsidR="0014320F" w:rsidRPr="0014320F">
        <w:rPr>
          <w:rFonts w:cs="Arial"/>
          <w:noProof/>
          <w:szCs w:val="24"/>
        </w:rPr>
        <w:t>, Brown</w:t>
      </w:r>
      <w:r w:rsidR="00586514">
        <w:rPr>
          <w:rFonts w:cs="Arial"/>
          <w:noProof/>
          <w:szCs w:val="24"/>
        </w:rPr>
        <w:t xml:space="preserve"> </w:t>
      </w:r>
      <w:r w:rsidR="00586514" w:rsidRPr="0014320F">
        <w:rPr>
          <w:rFonts w:cs="Arial"/>
          <w:noProof/>
          <w:szCs w:val="24"/>
        </w:rPr>
        <w:t>E</w:t>
      </w:r>
      <w:r w:rsidR="00586514">
        <w:rPr>
          <w:rFonts w:cs="Arial"/>
          <w:noProof/>
          <w:szCs w:val="24"/>
        </w:rPr>
        <w:t>.</w:t>
      </w:r>
      <w:r w:rsidR="00586514" w:rsidRPr="0014320F">
        <w:rPr>
          <w:rFonts w:cs="Arial"/>
          <w:noProof/>
          <w:szCs w:val="24"/>
        </w:rPr>
        <w:t>C.</w:t>
      </w:r>
      <w:r w:rsidR="0014320F" w:rsidRPr="0014320F">
        <w:rPr>
          <w:rFonts w:cs="Arial"/>
          <w:noProof/>
          <w:szCs w:val="24"/>
        </w:rPr>
        <w:t>, Vera-Sorroche</w:t>
      </w:r>
      <w:r w:rsidR="00586514">
        <w:rPr>
          <w:rFonts w:cs="Arial"/>
          <w:noProof/>
          <w:szCs w:val="24"/>
        </w:rPr>
        <w:t xml:space="preserve"> j.</w:t>
      </w:r>
      <w:r w:rsidR="0014320F" w:rsidRPr="0014320F">
        <w:rPr>
          <w:rFonts w:cs="Arial"/>
          <w:noProof/>
          <w:szCs w:val="24"/>
        </w:rPr>
        <w:t>, Coates</w:t>
      </w:r>
      <w:r w:rsidR="00586514">
        <w:rPr>
          <w:rFonts w:cs="Arial"/>
          <w:noProof/>
          <w:szCs w:val="24"/>
        </w:rPr>
        <w:t xml:space="preserve"> P.D.</w:t>
      </w:r>
      <w:r w:rsidR="0014320F" w:rsidRPr="0014320F">
        <w:rPr>
          <w:rFonts w:cs="Arial"/>
          <w:noProof/>
          <w:szCs w:val="24"/>
        </w:rPr>
        <w:t>, Harkin-Jones</w:t>
      </w:r>
      <w:r w:rsidR="00586514">
        <w:rPr>
          <w:rFonts w:cs="Arial"/>
          <w:noProof/>
          <w:szCs w:val="24"/>
        </w:rPr>
        <w:t xml:space="preserve"> E.</w:t>
      </w:r>
      <w:r w:rsidR="0014320F" w:rsidRPr="0014320F">
        <w:rPr>
          <w:rFonts w:cs="Arial"/>
          <w:noProof/>
          <w:szCs w:val="24"/>
        </w:rPr>
        <w:t>, Howell</w:t>
      </w:r>
      <w:r w:rsidR="00586514">
        <w:rPr>
          <w:rFonts w:cs="Arial"/>
          <w:noProof/>
          <w:szCs w:val="24"/>
        </w:rPr>
        <w:t xml:space="preserve"> K.B.</w:t>
      </w:r>
      <w:r w:rsidR="0014320F" w:rsidRPr="0014320F">
        <w:rPr>
          <w:rFonts w:cs="Arial"/>
          <w:noProof/>
          <w:szCs w:val="24"/>
        </w:rPr>
        <w:t>, Deng</w:t>
      </w:r>
      <w:r w:rsidR="00586514">
        <w:rPr>
          <w:rFonts w:cs="Arial"/>
          <w:noProof/>
          <w:szCs w:val="24"/>
        </w:rPr>
        <w:t xml:space="preserve"> J.</w:t>
      </w:r>
      <w:r w:rsidR="0014320F" w:rsidRPr="0014320F">
        <w:rPr>
          <w:rFonts w:cs="Arial"/>
          <w:noProof/>
          <w:szCs w:val="24"/>
        </w:rPr>
        <w:t>, Li</w:t>
      </w:r>
      <w:r w:rsidR="00586514">
        <w:rPr>
          <w:rFonts w:cs="Arial"/>
          <w:noProof/>
          <w:szCs w:val="24"/>
        </w:rPr>
        <w:t xml:space="preserve"> K.</w:t>
      </w:r>
      <w:r w:rsidR="0014320F" w:rsidRPr="0014320F">
        <w:rPr>
          <w:rFonts w:cs="Arial"/>
          <w:noProof/>
          <w:szCs w:val="24"/>
        </w:rPr>
        <w:t>, Price</w:t>
      </w:r>
      <w:r w:rsidR="00586514">
        <w:rPr>
          <w:rFonts w:cs="Arial"/>
          <w:noProof/>
          <w:szCs w:val="24"/>
        </w:rPr>
        <w:t xml:space="preserve"> M., </w:t>
      </w:r>
      <w:r w:rsidR="0014320F" w:rsidRPr="0014320F">
        <w:rPr>
          <w:rFonts w:cs="Arial"/>
          <w:noProof/>
          <w:szCs w:val="24"/>
        </w:rPr>
        <w:t>2014</w:t>
      </w:r>
      <w:r w:rsidR="00586514">
        <w:rPr>
          <w:rFonts w:cs="Arial"/>
          <w:noProof/>
          <w:szCs w:val="24"/>
        </w:rPr>
        <w:t xml:space="preserve">, </w:t>
      </w:r>
      <w:r w:rsidR="0014320F" w:rsidRPr="0014320F">
        <w:rPr>
          <w:rFonts w:cs="Arial"/>
          <w:noProof/>
          <w:szCs w:val="24"/>
        </w:rPr>
        <w:t>Investigation of the Process Energy Demand in Polymer Extrusion: A Brief Review and an Experimental Study</w:t>
      </w:r>
      <w:r w:rsidR="00586514">
        <w:rPr>
          <w:rFonts w:cs="Arial"/>
          <w:noProof/>
          <w:szCs w:val="24"/>
        </w:rPr>
        <w:t xml:space="preserve">, </w:t>
      </w:r>
      <w:r w:rsidR="0014320F" w:rsidRPr="0014320F">
        <w:rPr>
          <w:rFonts w:cs="Arial"/>
          <w:i/>
          <w:iCs/>
          <w:noProof/>
          <w:szCs w:val="24"/>
        </w:rPr>
        <w:t>Applied Energy</w:t>
      </w:r>
      <w:r w:rsidR="00586514">
        <w:rPr>
          <w:rFonts w:cs="Arial"/>
          <w:i/>
          <w:iCs/>
          <w:noProof/>
          <w:szCs w:val="24"/>
        </w:rPr>
        <w:t>,</w:t>
      </w:r>
      <w:r w:rsidR="0014320F" w:rsidRPr="0014320F">
        <w:rPr>
          <w:rFonts w:cs="Arial"/>
          <w:noProof/>
          <w:szCs w:val="24"/>
        </w:rPr>
        <w:t xml:space="preserve"> 136</w:t>
      </w:r>
      <w:r w:rsidR="00586514">
        <w:rPr>
          <w:rFonts w:cs="Arial"/>
          <w:noProof/>
          <w:szCs w:val="24"/>
        </w:rPr>
        <w:t xml:space="preserve">, </w:t>
      </w:r>
      <w:r w:rsidR="0014320F" w:rsidRPr="0014320F">
        <w:rPr>
          <w:rFonts w:cs="Arial"/>
          <w:noProof/>
          <w:szCs w:val="24"/>
        </w:rPr>
        <w:t>726–37.</w:t>
      </w:r>
    </w:p>
    <w:p w14:paraId="2C659BF1" w14:textId="1F595855" w:rsidR="0014320F" w:rsidRPr="0014320F" w:rsidRDefault="0014320F" w:rsidP="0014320F">
      <w:pPr>
        <w:widowControl w:val="0"/>
        <w:autoSpaceDE w:val="0"/>
        <w:autoSpaceDN w:val="0"/>
        <w:adjustRightInd w:val="0"/>
        <w:spacing w:line="240" w:lineRule="auto"/>
        <w:ind w:left="480" w:hanging="480"/>
        <w:rPr>
          <w:rFonts w:cs="Arial"/>
          <w:noProof/>
          <w:szCs w:val="24"/>
        </w:rPr>
      </w:pPr>
      <w:r w:rsidRPr="0014320F">
        <w:rPr>
          <w:rFonts w:cs="Arial"/>
          <w:noProof/>
          <w:szCs w:val="24"/>
        </w:rPr>
        <w:t>Axens</w:t>
      </w:r>
      <w:r w:rsidR="00586514">
        <w:rPr>
          <w:rFonts w:cs="Arial"/>
          <w:noProof/>
          <w:szCs w:val="24"/>
        </w:rPr>
        <w:t>,</w:t>
      </w:r>
      <w:r w:rsidRPr="0014320F">
        <w:rPr>
          <w:rFonts w:cs="Arial"/>
          <w:noProof/>
          <w:szCs w:val="24"/>
        </w:rPr>
        <w:t xml:space="preserve"> 2005</w:t>
      </w:r>
      <w:r w:rsidR="00586514">
        <w:rPr>
          <w:rFonts w:cs="Arial"/>
          <w:noProof/>
          <w:szCs w:val="24"/>
        </w:rPr>
        <w:t xml:space="preserve">, </w:t>
      </w:r>
      <w:r w:rsidRPr="0014320F">
        <w:rPr>
          <w:rFonts w:cs="Arial"/>
          <w:noProof/>
          <w:szCs w:val="24"/>
        </w:rPr>
        <w:t>HP’s Petrochemical Processes</w:t>
      </w:r>
      <w:r w:rsidR="00586514">
        <w:rPr>
          <w:rFonts w:cs="Arial"/>
          <w:noProof/>
          <w:szCs w:val="24"/>
        </w:rPr>
        <w:t xml:space="preserve">, </w:t>
      </w:r>
      <w:r w:rsidRPr="0014320F">
        <w:rPr>
          <w:rFonts w:cs="Arial"/>
          <w:noProof/>
          <w:szCs w:val="24"/>
        </w:rPr>
        <w:t>139–41.</w:t>
      </w:r>
    </w:p>
    <w:p w14:paraId="511C2DBD" w14:textId="2DBC333E" w:rsidR="0014320F" w:rsidRPr="0014320F" w:rsidRDefault="0014320F" w:rsidP="0014320F">
      <w:pPr>
        <w:widowControl w:val="0"/>
        <w:autoSpaceDE w:val="0"/>
        <w:autoSpaceDN w:val="0"/>
        <w:adjustRightInd w:val="0"/>
        <w:spacing w:line="240" w:lineRule="auto"/>
        <w:ind w:left="480" w:hanging="480"/>
        <w:rPr>
          <w:rFonts w:cs="Arial"/>
          <w:noProof/>
          <w:szCs w:val="24"/>
        </w:rPr>
      </w:pPr>
      <w:r w:rsidRPr="0014320F">
        <w:rPr>
          <w:rFonts w:cs="Arial"/>
          <w:noProof/>
          <w:szCs w:val="24"/>
        </w:rPr>
        <w:t>Brinkmann</w:t>
      </w:r>
      <w:r w:rsidR="00586514">
        <w:rPr>
          <w:rFonts w:cs="Arial"/>
          <w:noProof/>
          <w:szCs w:val="24"/>
        </w:rPr>
        <w:t xml:space="preserve"> </w:t>
      </w:r>
      <w:r w:rsidRPr="0014320F">
        <w:rPr>
          <w:rFonts w:cs="Arial"/>
          <w:noProof/>
          <w:szCs w:val="24"/>
        </w:rPr>
        <w:t>T</w:t>
      </w:r>
      <w:r w:rsidR="00586514">
        <w:rPr>
          <w:rFonts w:cs="Arial"/>
          <w:noProof/>
          <w:szCs w:val="24"/>
        </w:rPr>
        <w:t>.</w:t>
      </w:r>
      <w:r w:rsidRPr="0014320F">
        <w:rPr>
          <w:rFonts w:cs="Arial"/>
          <w:noProof/>
          <w:szCs w:val="24"/>
        </w:rPr>
        <w:t>, Rubbeling</w:t>
      </w:r>
      <w:r w:rsidR="00586514">
        <w:rPr>
          <w:rFonts w:cs="Arial"/>
          <w:noProof/>
          <w:szCs w:val="24"/>
        </w:rPr>
        <w:t xml:space="preserve"> H.</w:t>
      </w:r>
      <w:r w:rsidRPr="0014320F">
        <w:rPr>
          <w:rFonts w:cs="Arial"/>
          <w:noProof/>
          <w:szCs w:val="24"/>
        </w:rPr>
        <w:t>, Fröhlich</w:t>
      </w:r>
      <w:r w:rsidR="00586514">
        <w:rPr>
          <w:rFonts w:cs="Arial"/>
          <w:noProof/>
          <w:szCs w:val="24"/>
        </w:rPr>
        <w:t xml:space="preserve"> P.</w:t>
      </w:r>
      <w:r w:rsidRPr="0014320F">
        <w:rPr>
          <w:rFonts w:cs="Arial"/>
          <w:noProof/>
          <w:szCs w:val="24"/>
        </w:rPr>
        <w:t>, Katzberg</w:t>
      </w:r>
      <w:r w:rsidR="00586514">
        <w:rPr>
          <w:rFonts w:cs="Arial"/>
          <w:noProof/>
          <w:szCs w:val="24"/>
        </w:rPr>
        <w:t xml:space="preserve"> M.</w:t>
      </w:r>
      <w:r w:rsidRPr="0014320F">
        <w:rPr>
          <w:rFonts w:cs="Arial"/>
          <w:noProof/>
          <w:szCs w:val="24"/>
        </w:rPr>
        <w:t>, Bertau</w:t>
      </w:r>
      <w:r w:rsidR="00586514">
        <w:rPr>
          <w:rFonts w:cs="Arial"/>
          <w:noProof/>
          <w:szCs w:val="24"/>
        </w:rPr>
        <w:t xml:space="preserve"> M.</w:t>
      </w:r>
      <w:r w:rsidR="006C6792">
        <w:rPr>
          <w:rFonts w:cs="Arial"/>
          <w:noProof/>
          <w:szCs w:val="24"/>
        </w:rPr>
        <w:t>,</w:t>
      </w:r>
      <w:r w:rsidRPr="0014320F">
        <w:rPr>
          <w:rFonts w:cs="Arial"/>
          <w:noProof/>
          <w:szCs w:val="24"/>
        </w:rPr>
        <w:t xml:space="preserve"> 2010</w:t>
      </w:r>
      <w:r w:rsidR="006C6792">
        <w:rPr>
          <w:rFonts w:cs="Arial"/>
          <w:noProof/>
          <w:szCs w:val="24"/>
        </w:rPr>
        <w:t xml:space="preserve">, </w:t>
      </w:r>
      <w:r w:rsidRPr="0014320F">
        <w:rPr>
          <w:rFonts w:cs="Arial"/>
          <w:noProof/>
          <w:szCs w:val="24"/>
        </w:rPr>
        <w:t>Application of Material and Energy Flow Analysis in the Early Stages of Biotechnical Process Development - A Case Study</w:t>
      </w:r>
      <w:r w:rsidR="006C6792">
        <w:rPr>
          <w:rFonts w:cs="Arial"/>
          <w:noProof/>
          <w:szCs w:val="24"/>
        </w:rPr>
        <w:t xml:space="preserve">, </w:t>
      </w:r>
      <w:r w:rsidRPr="0014320F">
        <w:rPr>
          <w:rFonts w:cs="Arial"/>
          <w:i/>
          <w:iCs/>
          <w:noProof/>
          <w:szCs w:val="24"/>
        </w:rPr>
        <w:t>Chemical Engineering and Technology</w:t>
      </w:r>
      <w:r w:rsidR="006C6792">
        <w:rPr>
          <w:rFonts w:cs="Arial"/>
          <w:i/>
          <w:iCs/>
          <w:noProof/>
          <w:szCs w:val="24"/>
        </w:rPr>
        <w:t>,</w:t>
      </w:r>
      <w:r w:rsidRPr="0014320F">
        <w:rPr>
          <w:rFonts w:cs="Arial"/>
          <w:noProof/>
          <w:szCs w:val="24"/>
        </w:rPr>
        <w:t xml:space="preserve"> 33(4)</w:t>
      </w:r>
      <w:r w:rsidR="006C6792">
        <w:rPr>
          <w:rFonts w:cs="Arial"/>
          <w:noProof/>
          <w:szCs w:val="24"/>
        </w:rPr>
        <w:t xml:space="preserve">, </w:t>
      </w:r>
      <w:r w:rsidRPr="0014320F">
        <w:rPr>
          <w:rFonts w:cs="Arial"/>
          <w:noProof/>
          <w:szCs w:val="24"/>
        </w:rPr>
        <w:t>618–28.</w:t>
      </w:r>
    </w:p>
    <w:p w14:paraId="4113868C" w14:textId="7F9A097F" w:rsidR="0014320F" w:rsidRPr="0014320F" w:rsidRDefault="0014320F" w:rsidP="0014320F">
      <w:pPr>
        <w:widowControl w:val="0"/>
        <w:autoSpaceDE w:val="0"/>
        <w:autoSpaceDN w:val="0"/>
        <w:adjustRightInd w:val="0"/>
        <w:spacing w:line="240" w:lineRule="auto"/>
        <w:ind w:left="480" w:hanging="480"/>
        <w:rPr>
          <w:rFonts w:cs="Arial"/>
          <w:noProof/>
          <w:szCs w:val="24"/>
        </w:rPr>
      </w:pPr>
      <w:r w:rsidRPr="0014320F">
        <w:rPr>
          <w:rFonts w:cs="Arial"/>
          <w:noProof/>
          <w:szCs w:val="24"/>
        </w:rPr>
        <w:t>Brunet R</w:t>
      </w:r>
      <w:r w:rsidR="006C6792">
        <w:rPr>
          <w:rFonts w:cs="Arial"/>
          <w:noProof/>
          <w:szCs w:val="24"/>
        </w:rPr>
        <w:t>.</w:t>
      </w:r>
      <w:r w:rsidRPr="0014320F">
        <w:rPr>
          <w:rFonts w:cs="Arial"/>
          <w:noProof/>
          <w:szCs w:val="24"/>
        </w:rPr>
        <w:t>, Cortés</w:t>
      </w:r>
      <w:r w:rsidR="006C6792">
        <w:rPr>
          <w:rFonts w:cs="Arial"/>
          <w:noProof/>
          <w:szCs w:val="24"/>
        </w:rPr>
        <w:t xml:space="preserve"> D.</w:t>
      </w:r>
      <w:r w:rsidRPr="0014320F">
        <w:rPr>
          <w:rFonts w:cs="Arial"/>
          <w:noProof/>
          <w:szCs w:val="24"/>
        </w:rPr>
        <w:t>, Guillén-Gosálbez</w:t>
      </w:r>
      <w:r w:rsidR="006C6792">
        <w:rPr>
          <w:rFonts w:cs="Arial"/>
          <w:noProof/>
          <w:szCs w:val="24"/>
        </w:rPr>
        <w:t xml:space="preserve"> G.</w:t>
      </w:r>
      <w:r w:rsidRPr="0014320F">
        <w:rPr>
          <w:rFonts w:cs="Arial"/>
          <w:noProof/>
          <w:szCs w:val="24"/>
        </w:rPr>
        <w:t>, Jiménez</w:t>
      </w:r>
      <w:r w:rsidR="006C6792">
        <w:rPr>
          <w:rFonts w:cs="Arial"/>
          <w:noProof/>
          <w:szCs w:val="24"/>
        </w:rPr>
        <w:t xml:space="preserve"> L.</w:t>
      </w:r>
      <w:r w:rsidRPr="0014320F">
        <w:rPr>
          <w:rFonts w:cs="Arial"/>
          <w:noProof/>
          <w:szCs w:val="24"/>
        </w:rPr>
        <w:t>, Boer</w:t>
      </w:r>
      <w:r w:rsidR="006C6792">
        <w:rPr>
          <w:rFonts w:cs="Arial"/>
          <w:noProof/>
          <w:szCs w:val="24"/>
        </w:rPr>
        <w:t xml:space="preserve"> D.,</w:t>
      </w:r>
      <w:r w:rsidRPr="0014320F">
        <w:rPr>
          <w:rFonts w:cs="Arial"/>
          <w:noProof/>
          <w:szCs w:val="24"/>
        </w:rPr>
        <w:t xml:space="preserve"> 2012</w:t>
      </w:r>
      <w:r w:rsidR="006C6792">
        <w:rPr>
          <w:rFonts w:cs="Arial"/>
          <w:noProof/>
          <w:szCs w:val="24"/>
        </w:rPr>
        <w:t xml:space="preserve">, </w:t>
      </w:r>
      <w:r w:rsidRPr="0014320F">
        <w:rPr>
          <w:rFonts w:cs="Arial"/>
          <w:noProof/>
          <w:szCs w:val="24"/>
        </w:rPr>
        <w:t>Minimization of the LCA Impact of Thermodynamic Cycles Using a Combined Simulation-Optimization Approach</w:t>
      </w:r>
      <w:r w:rsidR="006C6792">
        <w:rPr>
          <w:rFonts w:cs="Arial"/>
          <w:noProof/>
          <w:szCs w:val="24"/>
        </w:rPr>
        <w:t xml:space="preserve">, </w:t>
      </w:r>
      <w:r w:rsidRPr="0014320F">
        <w:rPr>
          <w:rFonts w:cs="Arial"/>
          <w:i/>
          <w:iCs/>
          <w:noProof/>
          <w:szCs w:val="24"/>
        </w:rPr>
        <w:t>Applied Thermal Engineering</w:t>
      </w:r>
      <w:r w:rsidR="006C6792">
        <w:rPr>
          <w:rFonts w:cs="Arial"/>
          <w:i/>
          <w:iCs/>
          <w:noProof/>
          <w:szCs w:val="24"/>
        </w:rPr>
        <w:t>,</w:t>
      </w:r>
      <w:r w:rsidRPr="0014320F">
        <w:rPr>
          <w:rFonts w:cs="Arial"/>
          <w:noProof/>
          <w:szCs w:val="24"/>
        </w:rPr>
        <w:t xml:space="preserve"> 48</w:t>
      </w:r>
      <w:r w:rsidR="006C6792">
        <w:rPr>
          <w:rFonts w:cs="Arial"/>
          <w:noProof/>
          <w:szCs w:val="24"/>
        </w:rPr>
        <w:t xml:space="preserve">, </w:t>
      </w:r>
      <w:r w:rsidRPr="0014320F">
        <w:rPr>
          <w:rFonts w:cs="Arial"/>
          <w:noProof/>
          <w:szCs w:val="24"/>
        </w:rPr>
        <w:t>367–77.</w:t>
      </w:r>
    </w:p>
    <w:p w14:paraId="1895675B" w14:textId="21BC9504" w:rsidR="00152DA2" w:rsidRPr="00152DA2" w:rsidRDefault="00152DA2" w:rsidP="00152DA2">
      <w:pPr>
        <w:widowControl w:val="0"/>
        <w:autoSpaceDE w:val="0"/>
        <w:autoSpaceDN w:val="0"/>
        <w:adjustRightInd w:val="0"/>
        <w:spacing w:line="240" w:lineRule="auto"/>
        <w:ind w:left="480" w:hanging="480"/>
        <w:rPr>
          <w:rFonts w:cs="Arial"/>
          <w:noProof/>
          <w:szCs w:val="24"/>
        </w:rPr>
      </w:pPr>
      <w:r w:rsidRPr="00152DA2">
        <w:rPr>
          <w:rFonts w:cs="Arial"/>
          <w:noProof/>
          <w:szCs w:val="24"/>
          <w:lang w:val="en-US"/>
        </w:rPr>
        <w:t xml:space="preserve">Dal Pozzo A., Guglielmi D., Antonioni G., Tugnoli A., 2017, </w:t>
      </w:r>
      <w:r w:rsidRPr="00152DA2">
        <w:rPr>
          <w:rFonts w:cs="Arial"/>
          <w:noProof/>
          <w:szCs w:val="24"/>
        </w:rPr>
        <w:t>Sustainability analysis of dry treatment technologies for acid gas removal in waste-to-energy plants</w:t>
      </w:r>
      <w:r>
        <w:rPr>
          <w:rFonts w:cs="Arial"/>
          <w:noProof/>
          <w:szCs w:val="24"/>
        </w:rPr>
        <w:t xml:space="preserve">, </w:t>
      </w:r>
      <w:r w:rsidRPr="00152DA2">
        <w:rPr>
          <w:rFonts w:cs="Arial"/>
          <w:i/>
          <w:noProof/>
          <w:szCs w:val="24"/>
        </w:rPr>
        <w:t>Journal of Cleaner Production</w:t>
      </w:r>
      <w:r>
        <w:rPr>
          <w:rFonts w:cs="Arial"/>
          <w:noProof/>
          <w:szCs w:val="24"/>
        </w:rPr>
        <w:t xml:space="preserve">, </w:t>
      </w:r>
      <w:r w:rsidRPr="00152DA2">
        <w:rPr>
          <w:rFonts w:cs="Arial"/>
          <w:noProof/>
          <w:szCs w:val="24"/>
        </w:rPr>
        <w:t>162, 1061 - 107420</w:t>
      </w:r>
      <w:r>
        <w:rPr>
          <w:rFonts w:cs="Arial"/>
          <w:noProof/>
          <w:szCs w:val="24"/>
        </w:rPr>
        <w:t>.</w:t>
      </w:r>
    </w:p>
    <w:p w14:paraId="251D8F5D" w14:textId="68859878" w:rsidR="0014320F" w:rsidRPr="0014320F" w:rsidRDefault="0014320F" w:rsidP="0014320F">
      <w:pPr>
        <w:widowControl w:val="0"/>
        <w:autoSpaceDE w:val="0"/>
        <w:autoSpaceDN w:val="0"/>
        <w:adjustRightInd w:val="0"/>
        <w:spacing w:line="240" w:lineRule="auto"/>
        <w:ind w:left="480" w:hanging="480"/>
        <w:rPr>
          <w:rFonts w:cs="Arial"/>
          <w:noProof/>
          <w:szCs w:val="24"/>
        </w:rPr>
      </w:pPr>
      <w:r w:rsidRPr="0014320F">
        <w:rPr>
          <w:rFonts w:cs="Arial"/>
          <w:noProof/>
          <w:szCs w:val="24"/>
        </w:rPr>
        <w:t>European Commision</w:t>
      </w:r>
      <w:r w:rsidR="006C6792">
        <w:rPr>
          <w:rFonts w:cs="Arial"/>
          <w:noProof/>
          <w:szCs w:val="24"/>
        </w:rPr>
        <w:t xml:space="preserve">, </w:t>
      </w:r>
      <w:r w:rsidRPr="0014320F">
        <w:rPr>
          <w:rFonts w:cs="Arial"/>
          <w:noProof/>
          <w:szCs w:val="24"/>
        </w:rPr>
        <w:t>2022</w:t>
      </w:r>
      <w:r w:rsidR="006C6792">
        <w:rPr>
          <w:rFonts w:cs="Arial"/>
          <w:noProof/>
          <w:szCs w:val="24"/>
        </w:rPr>
        <w:t xml:space="preserve">, </w:t>
      </w:r>
      <w:r w:rsidRPr="0014320F">
        <w:rPr>
          <w:rFonts w:cs="Arial"/>
          <w:noProof/>
          <w:szCs w:val="24"/>
        </w:rPr>
        <w:t>European Platform on Life Cycle Assessment</w:t>
      </w:r>
      <w:r w:rsidR="006C6792">
        <w:rPr>
          <w:rFonts w:cs="Arial"/>
          <w:noProof/>
          <w:szCs w:val="24"/>
        </w:rPr>
        <w:t xml:space="preserve">, </w:t>
      </w:r>
      <w:r w:rsidR="00F94D0B">
        <w:rPr>
          <w:rFonts w:cs="Arial"/>
          <w:noProof/>
          <w:szCs w:val="24"/>
        </w:rPr>
        <w:t>&lt;</w:t>
      </w:r>
      <w:r w:rsidRPr="0014320F">
        <w:rPr>
          <w:rFonts w:cs="Arial"/>
          <w:noProof/>
          <w:szCs w:val="24"/>
        </w:rPr>
        <w:t>eplca.jrc.ec.europa.eu/LCDN/contactListEF.xhtml;jsessionid=77E5108B39040E1110DFEAB3F4BDCE94</w:t>
      </w:r>
      <w:r w:rsidR="00F94D0B">
        <w:rPr>
          <w:rFonts w:cs="Arial"/>
          <w:noProof/>
          <w:szCs w:val="24"/>
        </w:rPr>
        <w:t>&gt;</w:t>
      </w:r>
      <w:r w:rsidR="006C6792">
        <w:rPr>
          <w:rFonts w:cs="Arial"/>
          <w:noProof/>
          <w:szCs w:val="24"/>
        </w:rPr>
        <w:t>, last</w:t>
      </w:r>
      <w:r w:rsidR="00F94D0B">
        <w:rPr>
          <w:rFonts w:cs="Arial"/>
          <w:noProof/>
          <w:szCs w:val="24"/>
        </w:rPr>
        <w:t xml:space="preserve"> accessed</w:t>
      </w:r>
      <w:r w:rsidR="00F94D0B" w:rsidRPr="00F94D0B">
        <w:rPr>
          <w:rFonts w:cs="Arial"/>
          <w:noProof/>
          <w:szCs w:val="24"/>
        </w:rPr>
        <w:t xml:space="preserve"> </w:t>
      </w:r>
      <w:r w:rsidR="00F94D0B">
        <w:rPr>
          <w:rFonts w:cs="Arial"/>
          <w:noProof/>
          <w:szCs w:val="24"/>
        </w:rPr>
        <w:t>7/01/</w:t>
      </w:r>
      <w:r w:rsidR="00F94D0B" w:rsidRPr="0014320F">
        <w:rPr>
          <w:rFonts w:cs="Arial"/>
          <w:noProof/>
          <w:szCs w:val="24"/>
        </w:rPr>
        <w:t>2022</w:t>
      </w:r>
      <w:r w:rsidRPr="0014320F">
        <w:rPr>
          <w:rFonts w:cs="Arial"/>
          <w:noProof/>
          <w:szCs w:val="24"/>
        </w:rPr>
        <w:t>.</w:t>
      </w:r>
    </w:p>
    <w:p w14:paraId="7A11A8D7" w14:textId="1900FBA5" w:rsidR="0014320F" w:rsidRPr="0014320F" w:rsidRDefault="0014320F" w:rsidP="0014320F">
      <w:pPr>
        <w:widowControl w:val="0"/>
        <w:autoSpaceDE w:val="0"/>
        <w:autoSpaceDN w:val="0"/>
        <w:adjustRightInd w:val="0"/>
        <w:spacing w:line="240" w:lineRule="auto"/>
        <w:ind w:left="480" w:hanging="480"/>
        <w:rPr>
          <w:rFonts w:cs="Arial"/>
          <w:noProof/>
          <w:szCs w:val="24"/>
        </w:rPr>
      </w:pPr>
      <w:r w:rsidRPr="0014320F">
        <w:rPr>
          <w:rFonts w:cs="Arial"/>
          <w:noProof/>
          <w:szCs w:val="24"/>
        </w:rPr>
        <w:t>Goedkoop</w:t>
      </w:r>
      <w:r w:rsidR="006C6792">
        <w:rPr>
          <w:rFonts w:cs="Arial"/>
          <w:noProof/>
          <w:szCs w:val="24"/>
        </w:rPr>
        <w:t xml:space="preserve"> </w:t>
      </w:r>
      <w:r w:rsidRPr="0014320F">
        <w:rPr>
          <w:rFonts w:cs="Arial"/>
          <w:noProof/>
          <w:szCs w:val="24"/>
        </w:rPr>
        <w:t>M</w:t>
      </w:r>
      <w:r w:rsidR="006C6792">
        <w:rPr>
          <w:rFonts w:cs="Arial"/>
          <w:noProof/>
          <w:szCs w:val="24"/>
        </w:rPr>
        <w:t xml:space="preserve">., </w:t>
      </w:r>
      <w:r w:rsidRPr="0014320F">
        <w:rPr>
          <w:rFonts w:cs="Arial"/>
          <w:noProof/>
          <w:szCs w:val="24"/>
        </w:rPr>
        <w:t>Spriensma</w:t>
      </w:r>
      <w:r w:rsidR="006C6792">
        <w:rPr>
          <w:rFonts w:cs="Arial"/>
          <w:noProof/>
          <w:szCs w:val="24"/>
        </w:rPr>
        <w:t xml:space="preserve"> R.,</w:t>
      </w:r>
      <w:r w:rsidRPr="0014320F">
        <w:rPr>
          <w:rFonts w:cs="Arial"/>
          <w:noProof/>
          <w:szCs w:val="24"/>
        </w:rPr>
        <w:t xml:space="preserve"> 2001</w:t>
      </w:r>
      <w:r w:rsidR="006C6792">
        <w:rPr>
          <w:rFonts w:cs="Arial"/>
          <w:noProof/>
          <w:szCs w:val="24"/>
        </w:rPr>
        <w:t xml:space="preserve">, </w:t>
      </w:r>
      <w:r w:rsidRPr="0014320F">
        <w:rPr>
          <w:rFonts w:cs="Arial"/>
          <w:noProof/>
          <w:szCs w:val="24"/>
        </w:rPr>
        <w:t>The Eco-Indicator 99 - A Damage Oriented Method for Life Cycle Impact Assessment</w:t>
      </w:r>
      <w:r w:rsidR="006C6792">
        <w:rPr>
          <w:rFonts w:cs="Arial"/>
          <w:noProof/>
          <w:szCs w:val="24"/>
        </w:rPr>
        <w:t xml:space="preserve">, </w:t>
      </w:r>
      <w:r w:rsidRPr="0014320F">
        <w:rPr>
          <w:rFonts w:cs="Arial"/>
          <w:i/>
          <w:iCs/>
          <w:noProof/>
          <w:szCs w:val="24"/>
        </w:rPr>
        <w:t>Assessment</w:t>
      </w:r>
      <w:r w:rsidR="006C6792">
        <w:rPr>
          <w:rFonts w:cs="Arial"/>
          <w:i/>
          <w:iCs/>
          <w:noProof/>
          <w:szCs w:val="24"/>
        </w:rPr>
        <w:t xml:space="preserve">, </w:t>
      </w:r>
      <w:r w:rsidRPr="0014320F">
        <w:rPr>
          <w:rFonts w:cs="Arial"/>
          <w:noProof/>
          <w:szCs w:val="24"/>
        </w:rPr>
        <w:t>144.</w:t>
      </w:r>
    </w:p>
    <w:p w14:paraId="2018E28B" w14:textId="77777777" w:rsidR="006C6792" w:rsidRDefault="0014320F" w:rsidP="0014320F">
      <w:pPr>
        <w:widowControl w:val="0"/>
        <w:autoSpaceDE w:val="0"/>
        <w:autoSpaceDN w:val="0"/>
        <w:adjustRightInd w:val="0"/>
        <w:spacing w:line="240" w:lineRule="auto"/>
        <w:ind w:left="480" w:hanging="480"/>
      </w:pPr>
      <w:r w:rsidRPr="0014320F">
        <w:rPr>
          <w:rFonts w:cs="Arial"/>
          <w:noProof/>
          <w:szCs w:val="24"/>
        </w:rPr>
        <w:t>Huijbregts</w:t>
      </w:r>
      <w:r w:rsidR="006C6792">
        <w:rPr>
          <w:rFonts w:cs="Arial"/>
          <w:noProof/>
          <w:szCs w:val="24"/>
        </w:rPr>
        <w:t xml:space="preserve"> </w:t>
      </w:r>
      <w:r w:rsidRPr="0014320F">
        <w:rPr>
          <w:rFonts w:cs="Arial"/>
          <w:noProof/>
          <w:szCs w:val="24"/>
        </w:rPr>
        <w:t>M</w:t>
      </w:r>
      <w:r w:rsidR="006C6792">
        <w:rPr>
          <w:rFonts w:cs="Arial"/>
          <w:noProof/>
          <w:szCs w:val="24"/>
        </w:rPr>
        <w:t>.</w:t>
      </w:r>
      <w:r w:rsidRPr="0014320F">
        <w:rPr>
          <w:rFonts w:cs="Arial"/>
          <w:noProof/>
          <w:szCs w:val="24"/>
        </w:rPr>
        <w:t>A.J.</w:t>
      </w:r>
      <w:r w:rsidR="006C6792">
        <w:rPr>
          <w:rFonts w:cs="Arial"/>
          <w:noProof/>
          <w:szCs w:val="24"/>
        </w:rPr>
        <w:t>,</w:t>
      </w:r>
      <w:r w:rsidRPr="0014320F">
        <w:rPr>
          <w:rFonts w:cs="Arial"/>
          <w:noProof/>
          <w:szCs w:val="24"/>
        </w:rPr>
        <w:t xml:space="preserve"> 1999</w:t>
      </w:r>
      <w:r w:rsidR="006C6792">
        <w:rPr>
          <w:rFonts w:cs="Arial"/>
          <w:noProof/>
          <w:szCs w:val="24"/>
        </w:rPr>
        <w:t xml:space="preserve">, </w:t>
      </w:r>
      <w:r w:rsidR="006C6792">
        <w:t>Priority Assessment of Toxic Substances in the frame of LCA, Interfaculty Department of Environmental Science, Faculty of Environmental Sciences, University of Amsterdam, Amsterdam.</w:t>
      </w:r>
    </w:p>
    <w:p w14:paraId="68C69383" w14:textId="54A60BA8" w:rsidR="0014320F" w:rsidRPr="0014320F" w:rsidRDefault="0014320F" w:rsidP="0014320F">
      <w:pPr>
        <w:widowControl w:val="0"/>
        <w:autoSpaceDE w:val="0"/>
        <w:autoSpaceDN w:val="0"/>
        <w:adjustRightInd w:val="0"/>
        <w:spacing w:line="240" w:lineRule="auto"/>
        <w:ind w:left="480" w:hanging="480"/>
        <w:rPr>
          <w:rFonts w:cs="Arial"/>
          <w:noProof/>
          <w:szCs w:val="24"/>
        </w:rPr>
      </w:pPr>
      <w:r w:rsidRPr="0014320F">
        <w:rPr>
          <w:rFonts w:cs="Arial"/>
          <w:noProof/>
          <w:szCs w:val="24"/>
        </w:rPr>
        <w:t>Huijbregts</w:t>
      </w:r>
      <w:r w:rsidR="006C6792">
        <w:rPr>
          <w:rFonts w:cs="Arial"/>
          <w:noProof/>
          <w:szCs w:val="24"/>
        </w:rPr>
        <w:t xml:space="preserve"> </w:t>
      </w:r>
      <w:r w:rsidRPr="0014320F">
        <w:rPr>
          <w:rFonts w:cs="Arial"/>
          <w:noProof/>
          <w:szCs w:val="24"/>
        </w:rPr>
        <w:t>M</w:t>
      </w:r>
      <w:r w:rsidR="006C6792">
        <w:rPr>
          <w:rFonts w:cs="Arial"/>
          <w:noProof/>
          <w:szCs w:val="24"/>
        </w:rPr>
        <w:t>.</w:t>
      </w:r>
      <w:r w:rsidRPr="0014320F">
        <w:rPr>
          <w:rFonts w:cs="Arial"/>
          <w:noProof/>
          <w:szCs w:val="24"/>
        </w:rPr>
        <w:t>A.J., Steinmann</w:t>
      </w:r>
      <w:r w:rsidR="006C6792">
        <w:rPr>
          <w:rFonts w:cs="Arial"/>
          <w:noProof/>
          <w:szCs w:val="24"/>
        </w:rPr>
        <w:t xml:space="preserve"> </w:t>
      </w:r>
      <w:r w:rsidR="006C6792" w:rsidRPr="0014320F">
        <w:rPr>
          <w:rFonts w:cs="Arial"/>
          <w:noProof/>
          <w:szCs w:val="24"/>
        </w:rPr>
        <w:t>Z</w:t>
      </w:r>
      <w:r w:rsidR="006C6792">
        <w:rPr>
          <w:rFonts w:cs="Arial"/>
          <w:noProof/>
          <w:szCs w:val="24"/>
        </w:rPr>
        <w:t>.</w:t>
      </w:r>
      <w:r w:rsidR="006C6792" w:rsidRPr="0014320F">
        <w:rPr>
          <w:rFonts w:cs="Arial"/>
          <w:noProof/>
          <w:szCs w:val="24"/>
        </w:rPr>
        <w:t>J.N.</w:t>
      </w:r>
      <w:r w:rsidRPr="0014320F">
        <w:rPr>
          <w:rFonts w:cs="Arial"/>
          <w:noProof/>
          <w:szCs w:val="24"/>
        </w:rPr>
        <w:t>, Elshout</w:t>
      </w:r>
      <w:r w:rsidR="006C6792">
        <w:rPr>
          <w:rFonts w:cs="Arial"/>
          <w:noProof/>
          <w:szCs w:val="24"/>
        </w:rPr>
        <w:t xml:space="preserve"> </w:t>
      </w:r>
      <w:r w:rsidR="006C6792" w:rsidRPr="0014320F">
        <w:rPr>
          <w:rFonts w:cs="Arial"/>
          <w:noProof/>
          <w:szCs w:val="24"/>
        </w:rPr>
        <w:t>P</w:t>
      </w:r>
      <w:r w:rsidR="006C6792">
        <w:rPr>
          <w:rFonts w:cs="Arial"/>
          <w:noProof/>
          <w:szCs w:val="24"/>
        </w:rPr>
        <w:t>.</w:t>
      </w:r>
      <w:r w:rsidR="006C6792" w:rsidRPr="0014320F">
        <w:rPr>
          <w:rFonts w:cs="Arial"/>
          <w:noProof/>
          <w:szCs w:val="24"/>
        </w:rPr>
        <w:t>M.F.</w:t>
      </w:r>
      <w:r w:rsidRPr="0014320F">
        <w:rPr>
          <w:rFonts w:cs="Arial"/>
          <w:noProof/>
          <w:szCs w:val="24"/>
        </w:rPr>
        <w:t>, Stam</w:t>
      </w:r>
      <w:r w:rsidR="006C6792">
        <w:rPr>
          <w:rFonts w:cs="Arial"/>
          <w:noProof/>
          <w:szCs w:val="24"/>
        </w:rPr>
        <w:t xml:space="preserve"> G.</w:t>
      </w:r>
      <w:r w:rsidRPr="0014320F">
        <w:rPr>
          <w:rFonts w:cs="Arial"/>
          <w:noProof/>
          <w:szCs w:val="24"/>
        </w:rPr>
        <w:t>, Verones</w:t>
      </w:r>
      <w:r w:rsidR="006C6792">
        <w:rPr>
          <w:rFonts w:cs="Arial"/>
          <w:noProof/>
          <w:szCs w:val="24"/>
        </w:rPr>
        <w:t xml:space="preserve"> F.</w:t>
      </w:r>
      <w:r w:rsidRPr="0014320F">
        <w:rPr>
          <w:rFonts w:cs="Arial"/>
          <w:noProof/>
          <w:szCs w:val="24"/>
        </w:rPr>
        <w:t>, Vieira</w:t>
      </w:r>
      <w:r w:rsidR="006C6792">
        <w:rPr>
          <w:rFonts w:cs="Arial"/>
          <w:noProof/>
          <w:szCs w:val="24"/>
        </w:rPr>
        <w:t xml:space="preserve"> M.</w:t>
      </w:r>
      <w:r w:rsidRPr="0014320F">
        <w:rPr>
          <w:rFonts w:cs="Arial"/>
          <w:noProof/>
          <w:szCs w:val="24"/>
        </w:rPr>
        <w:t>, Zijp</w:t>
      </w:r>
      <w:r w:rsidR="006C6792">
        <w:rPr>
          <w:rFonts w:cs="Arial"/>
          <w:noProof/>
          <w:szCs w:val="24"/>
        </w:rPr>
        <w:t xml:space="preserve"> M.</w:t>
      </w:r>
      <w:r w:rsidRPr="0014320F">
        <w:rPr>
          <w:rFonts w:cs="Arial"/>
          <w:noProof/>
          <w:szCs w:val="24"/>
        </w:rPr>
        <w:t>, Hollander</w:t>
      </w:r>
      <w:r w:rsidR="006C6792">
        <w:rPr>
          <w:rFonts w:cs="Arial"/>
          <w:noProof/>
          <w:szCs w:val="24"/>
        </w:rPr>
        <w:t xml:space="preserve"> A.</w:t>
      </w:r>
      <w:r w:rsidRPr="0014320F">
        <w:rPr>
          <w:rFonts w:cs="Arial"/>
          <w:noProof/>
          <w:szCs w:val="24"/>
        </w:rPr>
        <w:t>, van Zelm</w:t>
      </w:r>
      <w:r w:rsidR="006C6792">
        <w:rPr>
          <w:rFonts w:cs="Arial"/>
          <w:noProof/>
          <w:szCs w:val="24"/>
        </w:rPr>
        <w:t xml:space="preserve"> R.,</w:t>
      </w:r>
      <w:r w:rsidRPr="0014320F">
        <w:rPr>
          <w:rFonts w:cs="Arial"/>
          <w:noProof/>
          <w:szCs w:val="24"/>
        </w:rPr>
        <w:t xml:space="preserve"> 2017</w:t>
      </w:r>
      <w:r w:rsidR="006C6792">
        <w:rPr>
          <w:rFonts w:cs="Arial"/>
          <w:noProof/>
          <w:szCs w:val="24"/>
        </w:rPr>
        <w:t xml:space="preserve">, </w:t>
      </w:r>
      <w:r w:rsidRPr="0014320F">
        <w:rPr>
          <w:rFonts w:cs="Arial"/>
          <w:noProof/>
          <w:szCs w:val="24"/>
        </w:rPr>
        <w:t>ReCiPe2016: A Harmonised Life Cycle Impact Assessment Method at Midpoint and Endpoint Level</w:t>
      </w:r>
      <w:r w:rsidR="006C6792">
        <w:rPr>
          <w:rFonts w:cs="Arial"/>
          <w:noProof/>
          <w:szCs w:val="24"/>
        </w:rPr>
        <w:t xml:space="preserve">, </w:t>
      </w:r>
      <w:r w:rsidRPr="0014320F">
        <w:rPr>
          <w:rFonts w:cs="Arial"/>
          <w:i/>
          <w:iCs/>
          <w:noProof/>
          <w:szCs w:val="24"/>
        </w:rPr>
        <w:t>International Journal of Life Cycle Assessment</w:t>
      </w:r>
      <w:r w:rsidR="006C6792">
        <w:rPr>
          <w:rFonts w:cs="Arial"/>
          <w:i/>
          <w:iCs/>
          <w:noProof/>
          <w:szCs w:val="24"/>
        </w:rPr>
        <w:t>,</w:t>
      </w:r>
      <w:r w:rsidRPr="0014320F">
        <w:rPr>
          <w:rFonts w:cs="Arial"/>
          <w:noProof/>
          <w:szCs w:val="24"/>
        </w:rPr>
        <w:t xml:space="preserve"> 22(2)</w:t>
      </w:r>
      <w:r w:rsidR="006C6792">
        <w:rPr>
          <w:rFonts w:cs="Arial"/>
          <w:noProof/>
          <w:szCs w:val="24"/>
        </w:rPr>
        <w:t xml:space="preserve">, </w:t>
      </w:r>
      <w:r w:rsidRPr="0014320F">
        <w:rPr>
          <w:rFonts w:cs="Arial"/>
          <w:noProof/>
          <w:szCs w:val="24"/>
        </w:rPr>
        <w:t>138–47.</w:t>
      </w:r>
    </w:p>
    <w:p w14:paraId="2515F4F0" w14:textId="0A2B4E96" w:rsidR="0014320F" w:rsidRPr="0014320F" w:rsidRDefault="0014320F" w:rsidP="0014320F">
      <w:pPr>
        <w:widowControl w:val="0"/>
        <w:autoSpaceDE w:val="0"/>
        <w:autoSpaceDN w:val="0"/>
        <w:adjustRightInd w:val="0"/>
        <w:spacing w:line="240" w:lineRule="auto"/>
        <w:ind w:left="480" w:hanging="480"/>
        <w:rPr>
          <w:rFonts w:cs="Arial"/>
          <w:noProof/>
          <w:szCs w:val="24"/>
        </w:rPr>
      </w:pPr>
      <w:r w:rsidRPr="0014320F">
        <w:rPr>
          <w:rFonts w:cs="Arial"/>
          <w:noProof/>
          <w:szCs w:val="24"/>
        </w:rPr>
        <w:t>Ren</w:t>
      </w:r>
      <w:r w:rsidR="00724A86">
        <w:rPr>
          <w:rFonts w:cs="Arial"/>
          <w:noProof/>
          <w:szCs w:val="24"/>
        </w:rPr>
        <w:t xml:space="preserve"> J.</w:t>
      </w:r>
      <w:r w:rsidRPr="0014320F">
        <w:rPr>
          <w:rFonts w:cs="Arial"/>
          <w:noProof/>
          <w:szCs w:val="24"/>
        </w:rPr>
        <w:t>, Toniolo</w:t>
      </w:r>
      <w:r w:rsidR="00724A86">
        <w:rPr>
          <w:rFonts w:cs="Arial"/>
          <w:noProof/>
          <w:szCs w:val="24"/>
        </w:rPr>
        <w:t xml:space="preserve"> S</w:t>
      </w:r>
      <w:r w:rsidRPr="0014320F">
        <w:rPr>
          <w:rFonts w:cs="Arial"/>
          <w:noProof/>
          <w:szCs w:val="24"/>
        </w:rPr>
        <w:t>.</w:t>
      </w:r>
      <w:r w:rsidR="00724A86">
        <w:rPr>
          <w:rFonts w:cs="Arial"/>
          <w:noProof/>
          <w:szCs w:val="24"/>
        </w:rPr>
        <w:t>,</w:t>
      </w:r>
      <w:r w:rsidRPr="0014320F">
        <w:rPr>
          <w:rFonts w:cs="Arial"/>
          <w:noProof/>
          <w:szCs w:val="24"/>
        </w:rPr>
        <w:t xml:space="preserve"> 2021</w:t>
      </w:r>
      <w:r w:rsidR="00724A86">
        <w:rPr>
          <w:rFonts w:cs="Arial"/>
          <w:noProof/>
          <w:szCs w:val="24"/>
        </w:rPr>
        <w:t xml:space="preserve">, </w:t>
      </w:r>
      <w:r w:rsidRPr="0014320F">
        <w:rPr>
          <w:rFonts w:cs="Arial"/>
          <w:noProof/>
          <w:szCs w:val="24"/>
        </w:rPr>
        <w:t>Interval Reference Point Technique for Sustainable Industrial Processs Election under Uncertainties</w:t>
      </w:r>
      <w:r w:rsidR="00724A86">
        <w:rPr>
          <w:rFonts w:cs="Arial"/>
          <w:noProof/>
          <w:szCs w:val="24"/>
        </w:rPr>
        <w:t xml:space="preserve">, </w:t>
      </w:r>
      <w:r w:rsidRPr="0014320F">
        <w:rPr>
          <w:rFonts w:cs="Arial"/>
          <w:i/>
          <w:iCs/>
          <w:noProof/>
          <w:szCs w:val="24"/>
        </w:rPr>
        <w:t>Sustainable Production and Consumption</w:t>
      </w:r>
      <w:r w:rsidR="00724A86">
        <w:rPr>
          <w:rFonts w:cs="Arial"/>
          <w:i/>
          <w:iCs/>
          <w:noProof/>
          <w:szCs w:val="24"/>
        </w:rPr>
        <w:t xml:space="preserve">, </w:t>
      </w:r>
      <w:r w:rsidRPr="0014320F">
        <w:rPr>
          <w:rFonts w:cs="Arial"/>
          <w:noProof/>
          <w:szCs w:val="24"/>
        </w:rPr>
        <w:t>27</w:t>
      </w:r>
      <w:r w:rsidR="00724A86">
        <w:rPr>
          <w:rFonts w:cs="Arial"/>
          <w:noProof/>
          <w:szCs w:val="24"/>
        </w:rPr>
        <w:t xml:space="preserve">, </w:t>
      </w:r>
      <w:r w:rsidRPr="0014320F">
        <w:rPr>
          <w:rFonts w:cs="Arial"/>
          <w:noProof/>
          <w:szCs w:val="24"/>
        </w:rPr>
        <w:t>354–71.</w:t>
      </w:r>
    </w:p>
    <w:p w14:paraId="566267B0" w14:textId="4D750073" w:rsidR="0014320F" w:rsidRPr="0014320F" w:rsidRDefault="0014320F" w:rsidP="0014320F">
      <w:pPr>
        <w:widowControl w:val="0"/>
        <w:autoSpaceDE w:val="0"/>
        <w:autoSpaceDN w:val="0"/>
        <w:adjustRightInd w:val="0"/>
        <w:spacing w:line="240" w:lineRule="auto"/>
        <w:ind w:left="480" w:hanging="480"/>
        <w:rPr>
          <w:rFonts w:cs="Arial"/>
          <w:noProof/>
          <w:szCs w:val="24"/>
        </w:rPr>
      </w:pPr>
      <w:r w:rsidRPr="0014320F">
        <w:rPr>
          <w:rFonts w:cs="Arial"/>
          <w:noProof/>
          <w:szCs w:val="24"/>
        </w:rPr>
        <w:t>Fernández</w:t>
      </w:r>
      <w:r w:rsidR="00724A86">
        <w:rPr>
          <w:rFonts w:cs="Arial"/>
          <w:noProof/>
          <w:szCs w:val="24"/>
        </w:rPr>
        <w:t xml:space="preserve"> L</w:t>
      </w:r>
      <w:r w:rsidRPr="0014320F">
        <w:rPr>
          <w:rFonts w:cs="Arial"/>
          <w:noProof/>
          <w:szCs w:val="24"/>
        </w:rPr>
        <w:t>.</w:t>
      </w:r>
      <w:r w:rsidR="00724A86">
        <w:rPr>
          <w:rFonts w:cs="Arial"/>
          <w:noProof/>
          <w:szCs w:val="24"/>
        </w:rPr>
        <w:t>,</w:t>
      </w:r>
      <w:r w:rsidRPr="0014320F">
        <w:rPr>
          <w:rFonts w:cs="Arial"/>
          <w:noProof/>
          <w:szCs w:val="24"/>
        </w:rPr>
        <w:t xml:space="preserve"> 2021</w:t>
      </w:r>
      <w:r w:rsidR="00724A86">
        <w:rPr>
          <w:rFonts w:cs="Arial"/>
          <w:noProof/>
          <w:szCs w:val="24"/>
        </w:rPr>
        <w:t xml:space="preserve">, </w:t>
      </w:r>
      <w:r w:rsidRPr="0014320F">
        <w:rPr>
          <w:rFonts w:cs="Arial"/>
          <w:noProof/>
          <w:szCs w:val="24"/>
        </w:rPr>
        <w:t>Global Production Capacity of Propylene 2018-2030</w:t>
      </w:r>
      <w:r w:rsidR="00724A86">
        <w:rPr>
          <w:rFonts w:cs="Arial"/>
          <w:noProof/>
          <w:szCs w:val="24"/>
        </w:rPr>
        <w:t>,</w:t>
      </w:r>
      <w:r w:rsidRPr="0014320F">
        <w:rPr>
          <w:rFonts w:cs="Arial"/>
          <w:noProof/>
          <w:szCs w:val="24"/>
        </w:rPr>
        <w:t xml:space="preserve"> </w:t>
      </w:r>
      <w:r w:rsidRPr="0014320F">
        <w:rPr>
          <w:rFonts w:cs="Arial"/>
          <w:i/>
          <w:iCs/>
          <w:noProof/>
          <w:szCs w:val="24"/>
        </w:rPr>
        <w:t>Statistica</w:t>
      </w:r>
      <w:r w:rsidRPr="0014320F">
        <w:rPr>
          <w:rFonts w:cs="Arial"/>
          <w:noProof/>
          <w:szCs w:val="24"/>
        </w:rPr>
        <w:t>.</w:t>
      </w:r>
    </w:p>
    <w:p w14:paraId="1830B63D" w14:textId="46EC166E" w:rsidR="0014320F" w:rsidRPr="0014320F" w:rsidRDefault="0014320F" w:rsidP="0014320F">
      <w:pPr>
        <w:widowControl w:val="0"/>
        <w:autoSpaceDE w:val="0"/>
        <w:autoSpaceDN w:val="0"/>
        <w:adjustRightInd w:val="0"/>
        <w:spacing w:line="240" w:lineRule="auto"/>
        <w:ind w:left="480" w:hanging="480"/>
        <w:rPr>
          <w:rFonts w:cs="Arial"/>
          <w:noProof/>
          <w:szCs w:val="24"/>
        </w:rPr>
      </w:pPr>
      <w:r w:rsidRPr="0014320F">
        <w:rPr>
          <w:rFonts w:cs="Arial"/>
          <w:noProof/>
          <w:szCs w:val="24"/>
        </w:rPr>
        <w:t>Ohshima M</w:t>
      </w:r>
      <w:r w:rsidR="00724A86">
        <w:rPr>
          <w:rFonts w:cs="Arial"/>
          <w:noProof/>
          <w:szCs w:val="24"/>
        </w:rPr>
        <w:t xml:space="preserve">., </w:t>
      </w:r>
      <w:r w:rsidRPr="0014320F">
        <w:rPr>
          <w:rFonts w:cs="Arial"/>
          <w:noProof/>
          <w:szCs w:val="24"/>
        </w:rPr>
        <w:t>Tanigaki</w:t>
      </w:r>
      <w:r w:rsidR="00724A86">
        <w:rPr>
          <w:rFonts w:cs="Arial"/>
          <w:noProof/>
          <w:szCs w:val="24"/>
        </w:rPr>
        <w:t xml:space="preserve"> M.,</w:t>
      </w:r>
      <w:r w:rsidRPr="0014320F">
        <w:rPr>
          <w:rFonts w:cs="Arial"/>
          <w:noProof/>
          <w:szCs w:val="24"/>
        </w:rPr>
        <w:t xml:space="preserve"> 2000</w:t>
      </w:r>
      <w:r w:rsidR="00724A86">
        <w:rPr>
          <w:rFonts w:cs="Arial"/>
          <w:noProof/>
          <w:szCs w:val="24"/>
        </w:rPr>
        <w:t xml:space="preserve">, </w:t>
      </w:r>
      <w:r w:rsidRPr="0014320F">
        <w:rPr>
          <w:rFonts w:cs="Arial"/>
          <w:noProof/>
          <w:szCs w:val="24"/>
        </w:rPr>
        <w:t>Quality Control of Polymer Production Processes</w:t>
      </w:r>
      <w:r w:rsidR="00724A86">
        <w:rPr>
          <w:rFonts w:cs="Arial"/>
          <w:noProof/>
          <w:szCs w:val="24"/>
        </w:rPr>
        <w:t xml:space="preserve">, </w:t>
      </w:r>
      <w:r w:rsidRPr="0014320F">
        <w:rPr>
          <w:rFonts w:cs="Arial"/>
          <w:i/>
          <w:iCs/>
          <w:noProof/>
          <w:szCs w:val="24"/>
        </w:rPr>
        <w:t>Journal of Process Control</w:t>
      </w:r>
      <w:r w:rsidRPr="0014320F">
        <w:rPr>
          <w:rFonts w:cs="Arial"/>
          <w:noProof/>
          <w:szCs w:val="24"/>
        </w:rPr>
        <w:t xml:space="preserve"> 10(2)</w:t>
      </w:r>
      <w:r w:rsidR="00724A86">
        <w:rPr>
          <w:rFonts w:cs="Arial"/>
          <w:noProof/>
          <w:szCs w:val="24"/>
        </w:rPr>
        <w:t xml:space="preserve">, </w:t>
      </w:r>
      <w:r w:rsidRPr="0014320F">
        <w:rPr>
          <w:rFonts w:cs="Arial"/>
          <w:noProof/>
          <w:szCs w:val="24"/>
        </w:rPr>
        <w:t>135–48.</w:t>
      </w:r>
    </w:p>
    <w:p w14:paraId="1FCBF9D6" w14:textId="600D8AAD" w:rsidR="0014320F" w:rsidRPr="00724A86" w:rsidRDefault="0014320F" w:rsidP="0014320F">
      <w:pPr>
        <w:widowControl w:val="0"/>
        <w:autoSpaceDE w:val="0"/>
        <w:autoSpaceDN w:val="0"/>
        <w:adjustRightInd w:val="0"/>
        <w:spacing w:line="240" w:lineRule="auto"/>
        <w:ind w:left="480" w:hanging="480"/>
        <w:rPr>
          <w:rFonts w:cs="Arial"/>
          <w:noProof/>
          <w:szCs w:val="24"/>
          <w:lang w:val="it-IT"/>
        </w:rPr>
      </w:pPr>
      <w:r w:rsidRPr="00724A86">
        <w:rPr>
          <w:rFonts w:cs="Arial"/>
          <w:noProof/>
          <w:szCs w:val="24"/>
          <w:lang w:val="it-IT"/>
        </w:rPr>
        <w:t>PlasticsEurope AISBL</w:t>
      </w:r>
      <w:r w:rsidR="00724A86" w:rsidRPr="00724A86">
        <w:rPr>
          <w:rFonts w:cs="Arial"/>
          <w:noProof/>
          <w:szCs w:val="24"/>
          <w:lang w:val="it-IT"/>
        </w:rPr>
        <w:t xml:space="preserve">, </w:t>
      </w:r>
      <w:r w:rsidRPr="00724A86">
        <w:rPr>
          <w:rFonts w:cs="Arial"/>
          <w:noProof/>
          <w:szCs w:val="24"/>
          <w:lang w:val="it-IT"/>
        </w:rPr>
        <w:t>2016</w:t>
      </w:r>
      <w:r w:rsidR="00724A86" w:rsidRPr="00724A86">
        <w:rPr>
          <w:rFonts w:cs="Arial"/>
          <w:noProof/>
          <w:szCs w:val="24"/>
          <w:lang w:val="it-IT"/>
        </w:rPr>
        <w:t xml:space="preserve">, </w:t>
      </w:r>
      <w:r w:rsidRPr="00724A86">
        <w:rPr>
          <w:rFonts w:cs="Arial"/>
          <w:i/>
          <w:iCs/>
          <w:noProof/>
          <w:szCs w:val="24"/>
          <w:lang w:val="it-IT"/>
        </w:rPr>
        <w:t>Polypropylene (PP) Resin Eco-Profile</w:t>
      </w:r>
      <w:r w:rsidRPr="00724A86">
        <w:rPr>
          <w:rFonts w:cs="Arial"/>
          <w:noProof/>
          <w:szCs w:val="24"/>
          <w:lang w:val="it-IT"/>
        </w:rPr>
        <w:t>.</w:t>
      </w:r>
    </w:p>
    <w:p w14:paraId="6F3C38A4" w14:textId="4B4744C6" w:rsidR="0014320F" w:rsidRPr="0014320F" w:rsidRDefault="00724A86" w:rsidP="0014320F">
      <w:pPr>
        <w:widowControl w:val="0"/>
        <w:autoSpaceDE w:val="0"/>
        <w:autoSpaceDN w:val="0"/>
        <w:adjustRightInd w:val="0"/>
        <w:spacing w:line="240" w:lineRule="auto"/>
        <w:ind w:left="480" w:hanging="480"/>
        <w:rPr>
          <w:rFonts w:cs="Arial"/>
          <w:noProof/>
          <w:szCs w:val="24"/>
        </w:rPr>
      </w:pPr>
      <w:r>
        <w:rPr>
          <w:rFonts w:cs="Arial"/>
          <w:noProof/>
          <w:szCs w:val="24"/>
        </w:rPr>
        <w:t>ISO,</w:t>
      </w:r>
      <w:r w:rsidR="0014320F" w:rsidRPr="0014320F">
        <w:rPr>
          <w:rFonts w:cs="Arial"/>
          <w:noProof/>
          <w:szCs w:val="24"/>
        </w:rPr>
        <w:t xml:space="preserve"> 2006</w:t>
      </w:r>
      <w:r>
        <w:rPr>
          <w:rFonts w:cs="Arial"/>
          <w:noProof/>
          <w:szCs w:val="24"/>
        </w:rPr>
        <w:t xml:space="preserve">, ISO 14040 - </w:t>
      </w:r>
      <w:r w:rsidR="0014320F" w:rsidRPr="0014320F">
        <w:rPr>
          <w:rFonts w:cs="Arial"/>
          <w:noProof/>
          <w:szCs w:val="24"/>
        </w:rPr>
        <w:t>INTERNATIONAL STANDARD</w:t>
      </w:r>
      <w:r>
        <w:rPr>
          <w:rFonts w:cs="Arial"/>
          <w:noProof/>
          <w:szCs w:val="24"/>
        </w:rPr>
        <w:t xml:space="preserve"> -</w:t>
      </w:r>
      <w:r w:rsidR="0014320F" w:rsidRPr="0014320F">
        <w:rPr>
          <w:rFonts w:cs="Arial"/>
          <w:noProof/>
          <w:szCs w:val="24"/>
        </w:rPr>
        <w:t xml:space="preserve"> Environmental Management — Life Cycle</w:t>
      </w:r>
    </w:p>
    <w:p w14:paraId="7455EABB" w14:textId="13526FFA" w:rsidR="0014320F" w:rsidRPr="0014320F" w:rsidRDefault="0014320F" w:rsidP="0014320F">
      <w:pPr>
        <w:widowControl w:val="0"/>
        <w:autoSpaceDE w:val="0"/>
        <w:autoSpaceDN w:val="0"/>
        <w:adjustRightInd w:val="0"/>
        <w:spacing w:line="240" w:lineRule="auto"/>
        <w:ind w:left="480" w:hanging="480"/>
        <w:rPr>
          <w:rFonts w:cs="Arial"/>
          <w:noProof/>
          <w:szCs w:val="24"/>
        </w:rPr>
      </w:pPr>
      <w:r w:rsidRPr="0014320F">
        <w:rPr>
          <w:rFonts w:cs="Arial"/>
          <w:noProof/>
          <w:szCs w:val="24"/>
        </w:rPr>
        <w:t>Sugiyama H.</w:t>
      </w:r>
      <w:r w:rsidR="00724A86">
        <w:rPr>
          <w:rFonts w:cs="Arial"/>
          <w:noProof/>
          <w:szCs w:val="24"/>
        </w:rPr>
        <w:t>,</w:t>
      </w:r>
      <w:r w:rsidRPr="0014320F">
        <w:rPr>
          <w:rFonts w:cs="Arial"/>
          <w:noProof/>
          <w:szCs w:val="24"/>
        </w:rPr>
        <w:t xml:space="preserve"> Hirao M.</w:t>
      </w:r>
      <w:r w:rsidR="00724A86">
        <w:rPr>
          <w:rFonts w:cs="Arial"/>
          <w:noProof/>
          <w:szCs w:val="24"/>
        </w:rPr>
        <w:t>,</w:t>
      </w:r>
      <w:r w:rsidRPr="0014320F">
        <w:rPr>
          <w:rFonts w:cs="Arial"/>
          <w:noProof/>
          <w:szCs w:val="24"/>
        </w:rPr>
        <w:t xml:space="preserve"> Fischer U.</w:t>
      </w:r>
      <w:r w:rsidR="00724A86">
        <w:rPr>
          <w:rFonts w:cs="Arial"/>
          <w:noProof/>
          <w:szCs w:val="24"/>
        </w:rPr>
        <w:t>,</w:t>
      </w:r>
      <w:r w:rsidRPr="0014320F">
        <w:rPr>
          <w:rFonts w:cs="Arial"/>
          <w:noProof/>
          <w:szCs w:val="24"/>
        </w:rPr>
        <w:t xml:space="preserve"> Hungerbühler K.</w:t>
      </w:r>
      <w:r w:rsidR="00724A86">
        <w:rPr>
          <w:rFonts w:cs="Arial"/>
          <w:noProof/>
          <w:szCs w:val="24"/>
        </w:rPr>
        <w:t>,</w:t>
      </w:r>
      <w:r w:rsidRPr="0014320F">
        <w:rPr>
          <w:rFonts w:cs="Arial"/>
          <w:noProof/>
          <w:szCs w:val="24"/>
        </w:rPr>
        <w:t xml:space="preserve"> 2008</w:t>
      </w:r>
      <w:r w:rsidR="00724A86">
        <w:rPr>
          <w:rFonts w:cs="Arial"/>
          <w:noProof/>
          <w:szCs w:val="24"/>
        </w:rPr>
        <w:t xml:space="preserve">, </w:t>
      </w:r>
      <w:r w:rsidRPr="0014320F">
        <w:rPr>
          <w:rFonts w:cs="Arial"/>
          <w:noProof/>
          <w:szCs w:val="24"/>
        </w:rPr>
        <w:t>Activity Modeling for Integrating Environmental, Health and Safety (EHS) Consideration as a New Element in Industrial Chemical Process Design</w:t>
      </w:r>
      <w:r w:rsidR="00724A86">
        <w:rPr>
          <w:rFonts w:cs="Arial"/>
          <w:noProof/>
          <w:szCs w:val="24"/>
        </w:rPr>
        <w:t xml:space="preserve">, </w:t>
      </w:r>
      <w:r w:rsidRPr="0014320F">
        <w:rPr>
          <w:rFonts w:cs="Arial"/>
          <w:i/>
          <w:iCs/>
          <w:noProof/>
          <w:szCs w:val="24"/>
        </w:rPr>
        <w:t>J. Chem. Eng. Jpn</w:t>
      </w:r>
      <w:r w:rsidR="00724A86">
        <w:rPr>
          <w:rFonts w:cs="Arial"/>
          <w:i/>
          <w:iCs/>
          <w:noProof/>
          <w:szCs w:val="24"/>
        </w:rPr>
        <w:t>.,</w:t>
      </w:r>
      <w:r w:rsidRPr="0014320F">
        <w:rPr>
          <w:rFonts w:cs="Arial"/>
          <w:noProof/>
          <w:szCs w:val="24"/>
        </w:rPr>
        <w:t xml:space="preserve"> 41</w:t>
      </w:r>
      <w:r w:rsidR="00724A86">
        <w:rPr>
          <w:rFonts w:cs="Arial"/>
          <w:noProof/>
          <w:szCs w:val="24"/>
        </w:rPr>
        <w:t xml:space="preserve">, </w:t>
      </w:r>
      <w:r w:rsidRPr="0014320F">
        <w:rPr>
          <w:rFonts w:cs="Arial"/>
          <w:noProof/>
          <w:szCs w:val="24"/>
        </w:rPr>
        <w:t>884–897.</w:t>
      </w:r>
    </w:p>
    <w:p w14:paraId="1F1AEB37" w14:textId="10D17E08" w:rsidR="0014320F" w:rsidRPr="00724A86" w:rsidRDefault="0014320F" w:rsidP="0014320F">
      <w:pPr>
        <w:widowControl w:val="0"/>
        <w:autoSpaceDE w:val="0"/>
        <w:autoSpaceDN w:val="0"/>
        <w:adjustRightInd w:val="0"/>
        <w:spacing w:line="240" w:lineRule="auto"/>
        <w:ind w:left="480" w:hanging="480"/>
        <w:rPr>
          <w:rFonts w:cs="Arial"/>
          <w:noProof/>
          <w:szCs w:val="24"/>
          <w:lang w:val="en-US"/>
        </w:rPr>
      </w:pPr>
      <w:r w:rsidRPr="0014320F">
        <w:rPr>
          <w:rFonts w:cs="Arial"/>
          <w:noProof/>
          <w:szCs w:val="24"/>
        </w:rPr>
        <w:t>Touloupides V., Kanellopoulos</w:t>
      </w:r>
      <w:r w:rsidR="00724A86">
        <w:rPr>
          <w:rFonts w:cs="Arial"/>
          <w:noProof/>
          <w:szCs w:val="24"/>
        </w:rPr>
        <w:t xml:space="preserve"> V.</w:t>
      </w:r>
      <w:r w:rsidRPr="0014320F">
        <w:rPr>
          <w:rFonts w:cs="Arial"/>
          <w:noProof/>
          <w:szCs w:val="24"/>
        </w:rPr>
        <w:t>, Pladis</w:t>
      </w:r>
      <w:r w:rsidR="00724A86">
        <w:rPr>
          <w:rFonts w:cs="Arial"/>
          <w:noProof/>
          <w:szCs w:val="24"/>
        </w:rPr>
        <w:t xml:space="preserve"> P.</w:t>
      </w:r>
      <w:r w:rsidRPr="0014320F">
        <w:rPr>
          <w:rFonts w:cs="Arial"/>
          <w:noProof/>
          <w:szCs w:val="24"/>
        </w:rPr>
        <w:t>, Kiparissides</w:t>
      </w:r>
      <w:r w:rsidR="00724A86">
        <w:rPr>
          <w:rFonts w:cs="Arial"/>
          <w:noProof/>
          <w:szCs w:val="24"/>
        </w:rPr>
        <w:t xml:space="preserve"> C.</w:t>
      </w:r>
      <w:r w:rsidRPr="0014320F">
        <w:rPr>
          <w:rFonts w:cs="Arial"/>
          <w:noProof/>
          <w:szCs w:val="24"/>
        </w:rPr>
        <w:t>, Mignon</w:t>
      </w:r>
      <w:r w:rsidR="00724A86">
        <w:rPr>
          <w:rFonts w:cs="Arial"/>
          <w:noProof/>
          <w:szCs w:val="24"/>
        </w:rPr>
        <w:t xml:space="preserve"> D.</w:t>
      </w:r>
      <w:r w:rsidRPr="0014320F">
        <w:rPr>
          <w:rFonts w:cs="Arial"/>
          <w:noProof/>
          <w:szCs w:val="24"/>
        </w:rPr>
        <w:t>, Van-Grambezen</w:t>
      </w:r>
      <w:r w:rsidR="00724A86" w:rsidRPr="00724A86">
        <w:rPr>
          <w:rFonts w:cs="Arial"/>
          <w:noProof/>
          <w:szCs w:val="24"/>
        </w:rPr>
        <w:t xml:space="preserve"> </w:t>
      </w:r>
      <w:r w:rsidR="00724A86" w:rsidRPr="0014320F">
        <w:rPr>
          <w:rFonts w:cs="Arial"/>
          <w:noProof/>
          <w:szCs w:val="24"/>
        </w:rPr>
        <w:t>P.</w:t>
      </w:r>
      <w:r w:rsidR="00724A86">
        <w:rPr>
          <w:rFonts w:cs="Arial"/>
          <w:noProof/>
          <w:szCs w:val="24"/>
        </w:rPr>
        <w:t>,</w:t>
      </w:r>
      <w:r w:rsidRPr="0014320F">
        <w:rPr>
          <w:rFonts w:cs="Arial"/>
          <w:noProof/>
          <w:szCs w:val="24"/>
        </w:rPr>
        <w:t xml:space="preserve"> 2010</w:t>
      </w:r>
      <w:r w:rsidR="00724A86">
        <w:rPr>
          <w:rFonts w:cs="Arial"/>
          <w:noProof/>
          <w:szCs w:val="24"/>
        </w:rPr>
        <w:t xml:space="preserve">, </w:t>
      </w:r>
      <w:r w:rsidRPr="0014320F">
        <w:rPr>
          <w:rFonts w:cs="Arial"/>
          <w:noProof/>
          <w:szCs w:val="24"/>
        </w:rPr>
        <w:t>Modeling and Simulation of an Industrial Slurry-Phase Catalytic Olefin Polymerization Reactor Series</w:t>
      </w:r>
      <w:r w:rsidR="00724A86">
        <w:rPr>
          <w:rFonts w:cs="Arial"/>
          <w:noProof/>
          <w:szCs w:val="24"/>
        </w:rPr>
        <w:t xml:space="preserve">, </w:t>
      </w:r>
      <w:r w:rsidRPr="00724A86">
        <w:rPr>
          <w:rFonts w:cs="Arial"/>
          <w:i/>
          <w:iCs/>
          <w:noProof/>
          <w:szCs w:val="24"/>
          <w:lang w:val="en-US"/>
        </w:rPr>
        <w:t>Chemical Engineering Science</w:t>
      </w:r>
      <w:r w:rsidR="00724A86" w:rsidRPr="00724A86">
        <w:rPr>
          <w:rFonts w:cs="Arial"/>
          <w:i/>
          <w:iCs/>
          <w:noProof/>
          <w:szCs w:val="24"/>
          <w:lang w:val="en-US"/>
        </w:rPr>
        <w:t>,</w:t>
      </w:r>
      <w:r w:rsidRPr="00724A86">
        <w:rPr>
          <w:rFonts w:cs="Arial"/>
          <w:noProof/>
          <w:szCs w:val="24"/>
          <w:lang w:val="en-US"/>
        </w:rPr>
        <w:t xml:space="preserve"> 65(10)</w:t>
      </w:r>
      <w:r w:rsidR="00724A86">
        <w:rPr>
          <w:rFonts w:cs="Arial"/>
          <w:noProof/>
          <w:szCs w:val="24"/>
          <w:lang w:val="en-US"/>
        </w:rPr>
        <w:t xml:space="preserve">, </w:t>
      </w:r>
      <w:r w:rsidRPr="00724A86">
        <w:rPr>
          <w:rFonts w:cs="Arial"/>
          <w:noProof/>
          <w:szCs w:val="24"/>
          <w:lang w:val="en-US"/>
        </w:rPr>
        <w:t>3208–22.</w:t>
      </w:r>
    </w:p>
    <w:p w14:paraId="66BE6A61" w14:textId="3B9670F5" w:rsidR="0014320F" w:rsidRPr="00724A86" w:rsidRDefault="0014320F" w:rsidP="0014320F">
      <w:pPr>
        <w:widowControl w:val="0"/>
        <w:autoSpaceDE w:val="0"/>
        <w:autoSpaceDN w:val="0"/>
        <w:adjustRightInd w:val="0"/>
        <w:spacing w:line="240" w:lineRule="auto"/>
        <w:ind w:left="480" w:hanging="480"/>
        <w:rPr>
          <w:rFonts w:cs="Arial"/>
          <w:noProof/>
          <w:szCs w:val="24"/>
          <w:lang w:val="en-US"/>
        </w:rPr>
      </w:pPr>
      <w:r w:rsidRPr="00724A86">
        <w:rPr>
          <w:rFonts w:cs="Arial"/>
          <w:noProof/>
          <w:szCs w:val="24"/>
          <w:lang w:val="en-US"/>
        </w:rPr>
        <w:t>Tugnoli A</w:t>
      </w:r>
      <w:r w:rsidR="00724A86" w:rsidRPr="00724A86">
        <w:rPr>
          <w:rFonts w:cs="Arial"/>
          <w:noProof/>
          <w:szCs w:val="24"/>
          <w:lang w:val="en-US"/>
        </w:rPr>
        <w:t>.</w:t>
      </w:r>
      <w:r w:rsidRPr="00724A86">
        <w:rPr>
          <w:rFonts w:cs="Arial"/>
          <w:noProof/>
          <w:szCs w:val="24"/>
          <w:lang w:val="en-US"/>
        </w:rPr>
        <w:t>, Santarelli</w:t>
      </w:r>
      <w:r w:rsidR="00724A86" w:rsidRPr="00724A86">
        <w:rPr>
          <w:rFonts w:cs="Arial"/>
          <w:noProof/>
          <w:szCs w:val="24"/>
          <w:lang w:val="en-US"/>
        </w:rPr>
        <w:t xml:space="preserve"> F.</w:t>
      </w:r>
      <w:r w:rsidRPr="00724A86">
        <w:rPr>
          <w:rFonts w:cs="Arial"/>
          <w:noProof/>
          <w:szCs w:val="24"/>
          <w:lang w:val="en-US"/>
        </w:rPr>
        <w:t>, Cozzani</w:t>
      </w:r>
      <w:r w:rsidR="00724A86" w:rsidRPr="00724A86">
        <w:rPr>
          <w:rFonts w:cs="Arial"/>
          <w:noProof/>
          <w:szCs w:val="24"/>
          <w:lang w:val="en-US"/>
        </w:rPr>
        <w:t xml:space="preserve"> V.,</w:t>
      </w:r>
      <w:r w:rsidRPr="00724A86">
        <w:rPr>
          <w:rFonts w:cs="Arial"/>
          <w:noProof/>
          <w:szCs w:val="24"/>
          <w:lang w:val="en-US"/>
        </w:rPr>
        <w:t xml:space="preserve"> 2008</w:t>
      </w:r>
      <w:r w:rsidR="00724A86" w:rsidRPr="00724A86">
        <w:rPr>
          <w:rFonts w:cs="Arial"/>
          <w:noProof/>
          <w:szCs w:val="24"/>
          <w:lang w:val="en-US"/>
        </w:rPr>
        <w:t xml:space="preserve">, </w:t>
      </w:r>
      <w:r w:rsidRPr="0014320F">
        <w:rPr>
          <w:rFonts w:cs="Arial"/>
          <w:noProof/>
          <w:szCs w:val="24"/>
        </w:rPr>
        <w:t>An Approach to Quantitative Sustainability Assessment in the Early Stages of Process Design</w:t>
      </w:r>
      <w:r w:rsidR="00724A86">
        <w:rPr>
          <w:rFonts w:cs="Arial"/>
          <w:noProof/>
          <w:szCs w:val="24"/>
        </w:rPr>
        <w:t xml:space="preserve">, </w:t>
      </w:r>
      <w:r w:rsidRPr="00724A86">
        <w:rPr>
          <w:rFonts w:cs="Arial"/>
          <w:i/>
          <w:iCs/>
          <w:noProof/>
          <w:szCs w:val="24"/>
          <w:lang w:val="en-US"/>
        </w:rPr>
        <w:t>Environmental Science and Technology</w:t>
      </w:r>
      <w:r w:rsidR="00724A86" w:rsidRPr="00724A86">
        <w:rPr>
          <w:rFonts w:cs="Arial"/>
          <w:i/>
          <w:iCs/>
          <w:noProof/>
          <w:szCs w:val="24"/>
          <w:lang w:val="en-US"/>
        </w:rPr>
        <w:t>,</w:t>
      </w:r>
      <w:r w:rsidRPr="00724A86">
        <w:rPr>
          <w:rFonts w:cs="Arial"/>
          <w:noProof/>
          <w:szCs w:val="24"/>
          <w:lang w:val="en-US"/>
        </w:rPr>
        <w:t xml:space="preserve"> 42(12)</w:t>
      </w:r>
      <w:r w:rsidR="00724A86">
        <w:rPr>
          <w:rFonts w:cs="Arial"/>
          <w:noProof/>
          <w:szCs w:val="24"/>
          <w:lang w:val="en-US"/>
        </w:rPr>
        <w:t xml:space="preserve">, </w:t>
      </w:r>
      <w:r w:rsidRPr="00724A86">
        <w:rPr>
          <w:rFonts w:cs="Arial"/>
          <w:noProof/>
          <w:szCs w:val="24"/>
          <w:lang w:val="en-US"/>
        </w:rPr>
        <w:t>4555–62.</w:t>
      </w:r>
    </w:p>
    <w:p w14:paraId="2D7D3435" w14:textId="40AEA3AE" w:rsidR="00F170FE" w:rsidRPr="0014320F" w:rsidRDefault="00F170FE" w:rsidP="0014320F">
      <w:pPr>
        <w:widowControl w:val="0"/>
        <w:autoSpaceDE w:val="0"/>
        <w:autoSpaceDN w:val="0"/>
        <w:adjustRightInd w:val="0"/>
        <w:spacing w:line="240" w:lineRule="auto"/>
        <w:ind w:left="480" w:hanging="480"/>
        <w:rPr>
          <w:rFonts w:cs="Arial"/>
          <w:noProof/>
        </w:rPr>
      </w:pPr>
      <w:r w:rsidRPr="00724A86">
        <w:rPr>
          <w:rFonts w:cs="Arial"/>
          <w:noProof/>
          <w:lang w:val="en-US"/>
        </w:rPr>
        <w:t>Tugnoli</w:t>
      </w:r>
      <w:r w:rsidR="00FB5170" w:rsidRPr="00724A86">
        <w:rPr>
          <w:rFonts w:cs="Arial"/>
          <w:noProof/>
          <w:lang w:val="en-US"/>
        </w:rPr>
        <w:t xml:space="preserve"> A</w:t>
      </w:r>
      <w:r w:rsidR="00724A86" w:rsidRPr="00724A86">
        <w:rPr>
          <w:rFonts w:cs="Arial"/>
          <w:noProof/>
          <w:lang w:val="en-US"/>
        </w:rPr>
        <w:t>.,</w:t>
      </w:r>
      <w:r w:rsidR="00FB5170" w:rsidRPr="00724A86">
        <w:rPr>
          <w:rFonts w:cs="Arial"/>
          <w:noProof/>
          <w:lang w:val="en-US"/>
        </w:rPr>
        <w:t xml:space="preserve"> </w:t>
      </w:r>
      <w:r w:rsidRPr="00724A86">
        <w:rPr>
          <w:rFonts w:cs="Arial"/>
          <w:noProof/>
          <w:lang w:val="en-US"/>
        </w:rPr>
        <w:t>Santarelli</w:t>
      </w:r>
      <w:r w:rsidR="00724A86" w:rsidRPr="00724A86">
        <w:rPr>
          <w:rFonts w:cs="Arial"/>
          <w:noProof/>
          <w:lang w:val="en-US"/>
        </w:rPr>
        <w:t xml:space="preserve"> </w:t>
      </w:r>
      <w:r w:rsidR="00FB5170" w:rsidRPr="00724A86">
        <w:rPr>
          <w:rFonts w:cs="Arial"/>
          <w:noProof/>
          <w:lang w:val="en-US"/>
        </w:rPr>
        <w:t>F</w:t>
      </w:r>
      <w:r w:rsidR="00724A86" w:rsidRPr="00724A86">
        <w:rPr>
          <w:rFonts w:cs="Arial"/>
          <w:noProof/>
          <w:lang w:val="en-US"/>
        </w:rPr>
        <w:t>.</w:t>
      </w:r>
      <w:r w:rsidR="00FB5170" w:rsidRPr="00724A86">
        <w:rPr>
          <w:rFonts w:cs="Arial"/>
          <w:noProof/>
          <w:lang w:val="en-US"/>
        </w:rPr>
        <w:t xml:space="preserve">, </w:t>
      </w:r>
      <w:r w:rsidRPr="00724A86">
        <w:rPr>
          <w:rFonts w:cs="Arial"/>
          <w:noProof/>
          <w:lang w:val="en-US"/>
        </w:rPr>
        <w:t>Cozzani</w:t>
      </w:r>
      <w:r w:rsidR="00724A86" w:rsidRPr="00724A86">
        <w:rPr>
          <w:rFonts w:cs="Arial"/>
          <w:noProof/>
          <w:lang w:val="en-US"/>
        </w:rPr>
        <w:t xml:space="preserve"> </w:t>
      </w:r>
      <w:r w:rsidR="00FB5170" w:rsidRPr="00724A86">
        <w:rPr>
          <w:rFonts w:cs="Arial"/>
          <w:noProof/>
          <w:lang w:val="en-US"/>
        </w:rPr>
        <w:t>V</w:t>
      </w:r>
      <w:r w:rsidR="00724A86" w:rsidRPr="00724A86">
        <w:rPr>
          <w:rFonts w:cs="Arial"/>
          <w:noProof/>
          <w:lang w:val="en-US"/>
        </w:rPr>
        <w:t>.,</w:t>
      </w:r>
      <w:r w:rsidR="00FB5170" w:rsidRPr="00724A86">
        <w:rPr>
          <w:rFonts w:cs="Arial"/>
          <w:noProof/>
          <w:lang w:val="en-US"/>
        </w:rPr>
        <w:t xml:space="preserve"> 2011</w:t>
      </w:r>
      <w:r w:rsidR="00724A86" w:rsidRPr="00724A86">
        <w:rPr>
          <w:rFonts w:cs="Arial"/>
          <w:noProof/>
          <w:lang w:val="en-US"/>
        </w:rPr>
        <w:t xml:space="preserve">, </w:t>
      </w:r>
      <w:r w:rsidRPr="00F170FE">
        <w:rPr>
          <w:rFonts w:cs="Arial"/>
          <w:noProof/>
        </w:rPr>
        <w:t>Implementation of Sustainability Drivers in the Design of Industrial Chemical Processes</w:t>
      </w:r>
      <w:r w:rsidR="00724A86">
        <w:rPr>
          <w:rFonts w:cs="Arial"/>
          <w:noProof/>
        </w:rPr>
        <w:t xml:space="preserve">, </w:t>
      </w:r>
      <w:r w:rsidRPr="00FB5170">
        <w:rPr>
          <w:rFonts w:cs="Arial"/>
          <w:i/>
          <w:noProof/>
        </w:rPr>
        <w:t>AICHE J</w:t>
      </w:r>
      <w:r w:rsidR="00FB5170">
        <w:rPr>
          <w:rFonts w:cs="Arial"/>
          <w:i/>
          <w:noProof/>
        </w:rPr>
        <w:t>ournal</w:t>
      </w:r>
      <w:r w:rsidR="00724A86">
        <w:rPr>
          <w:rFonts w:cs="Arial"/>
          <w:i/>
          <w:noProof/>
        </w:rPr>
        <w:t>,</w:t>
      </w:r>
      <w:r w:rsidRPr="00F170FE">
        <w:rPr>
          <w:rFonts w:cs="Arial"/>
          <w:noProof/>
        </w:rPr>
        <w:t xml:space="preserve"> 57</w:t>
      </w:r>
      <w:r w:rsidR="00724A86">
        <w:rPr>
          <w:rFonts w:cs="Arial"/>
          <w:noProof/>
        </w:rPr>
        <w:t xml:space="preserve">, </w:t>
      </w:r>
      <w:r w:rsidRPr="00F170FE">
        <w:rPr>
          <w:rFonts w:cs="Arial"/>
          <w:noProof/>
        </w:rPr>
        <w:t>3063-84</w:t>
      </w:r>
      <w:r w:rsidR="00FB5170">
        <w:rPr>
          <w:rFonts w:cs="Arial"/>
          <w:noProof/>
        </w:rPr>
        <w:t>.</w:t>
      </w:r>
    </w:p>
    <w:p w14:paraId="55856A9F" w14:textId="7A583E6F" w:rsidR="00152DA2" w:rsidRPr="000866C4" w:rsidRDefault="00460A18" w:rsidP="000866C4">
      <w:pPr>
        <w:pStyle w:val="CETBodytext"/>
        <w:rPr>
          <w:lang w:val="it-IT"/>
        </w:rPr>
      </w:pPr>
      <w:r>
        <w:rPr>
          <w:lang w:val="it-IT"/>
        </w:rPr>
        <w:fldChar w:fldCharType="end"/>
      </w:r>
    </w:p>
    <w:sectPr w:rsidR="00152DA2" w:rsidRPr="000866C4"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F23CD" w14:textId="77777777" w:rsidR="002F678D" w:rsidRDefault="002F678D" w:rsidP="004F5E36">
      <w:r>
        <w:separator/>
      </w:r>
    </w:p>
  </w:endnote>
  <w:endnote w:type="continuationSeparator" w:id="0">
    <w:p w14:paraId="059A519D" w14:textId="77777777" w:rsidR="002F678D" w:rsidRDefault="002F678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50955" w14:textId="77777777" w:rsidR="002F678D" w:rsidRDefault="002F678D" w:rsidP="004F5E36">
      <w:r>
        <w:separator/>
      </w:r>
    </w:p>
  </w:footnote>
  <w:footnote w:type="continuationSeparator" w:id="0">
    <w:p w14:paraId="720DE1FB" w14:textId="77777777" w:rsidR="002F678D" w:rsidRDefault="002F678D"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5566A79"/>
    <w:multiLevelType w:val="hybridMultilevel"/>
    <w:tmpl w:val="BFC0A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F7955"/>
    <w:multiLevelType w:val="hybridMultilevel"/>
    <w:tmpl w:val="0554A028"/>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2" w15:restartNumberingAfterBreak="0">
    <w:nsid w:val="2438217E"/>
    <w:multiLevelType w:val="multilevel"/>
    <w:tmpl w:val="D44852F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C242F3"/>
    <w:multiLevelType w:val="hybridMultilevel"/>
    <w:tmpl w:val="E442555E"/>
    <w:lvl w:ilvl="0" w:tplc="60E22F8E">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02A4242"/>
    <w:multiLevelType w:val="hybridMultilevel"/>
    <w:tmpl w:val="9A24D0F6"/>
    <w:lvl w:ilvl="0" w:tplc="4A3A1DC0">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B94472"/>
    <w:multiLevelType w:val="hybridMultilevel"/>
    <w:tmpl w:val="1E284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9396514"/>
    <w:multiLevelType w:val="hybridMultilevel"/>
    <w:tmpl w:val="85DCD8AC"/>
    <w:lvl w:ilvl="0" w:tplc="4E12A0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14"/>
  </w:num>
  <w:num w:numId="14">
    <w:abstractNumId w:val="21"/>
  </w:num>
  <w:num w:numId="15">
    <w:abstractNumId w:val="23"/>
  </w:num>
  <w:num w:numId="16">
    <w:abstractNumId w:val="22"/>
  </w:num>
  <w:num w:numId="17">
    <w:abstractNumId w:val="13"/>
  </w:num>
  <w:num w:numId="18">
    <w:abstractNumId w:val="14"/>
    <w:lvlOverride w:ilvl="0">
      <w:startOverride w:val="1"/>
    </w:lvlOverride>
  </w:num>
  <w:num w:numId="19">
    <w:abstractNumId w:val="19"/>
  </w:num>
  <w:num w:numId="20">
    <w:abstractNumId w:val="18"/>
  </w:num>
  <w:num w:numId="21">
    <w:abstractNumId w:val="17"/>
  </w:num>
  <w:num w:numId="22">
    <w:abstractNumId w:val="15"/>
  </w:num>
  <w:num w:numId="23">
    <w:abstractNumId w:val="11"/>
  </w:num>
  <w:num w:numId="24">
    <w:abstractNumId w:val="10"/>
  </w:num>
  <w:num w:numId="25">
    <w:abstractNumId w:val="25"/>
  </w:num>
  <w:num w:numId="26">
    <w:abstractNumId w:val="24"/>
  </w:num>
  <w:num w:numId="27">
    <w:abstractNumId w:val="16"/>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038"/>
    <w:rsid w:val="00001AAA"/>
    <w:rsid w:val="00001B3A"/>
    <w:rsid w:val="000027C0"/>
    <w:rsid w:val="000052FB"/>
    <w:rsid w:val="0000674B"/>
    <w:rsid w:val="000117CB"/>
    <w:rsid w:val="00016653"/>
    <w:rsid w:val="0001773B"/>
    <w:rsid w:val="00017A23"/>
    <w:rsid w:val="00017DD5"/>
    <w:rsid w:val="0003148D"/>
    <w:rsid w:val="00031EEC"/>
    <w:rsid w:val="00033FE3"/>
    <w:rsid w:val="00036992"/>
    <w:rsid w:val="00037414"/>
    <w:rsid w:val="00042EB9"/>
    <w:rsid w:val="00051566"/>
    <w:rsid w:val="00051EB3"/>
    <w:rsid w:val="00056A36"/>
    <w:rsid w:val="00061603"/>
    <w:rsid w:val="00062A9A"/>
    <w:rsid w:val="00062E06"/>
    <w:rsid w:val="00062FFD"/>
    <w:rsid w:val="00065058"/>
    <w:rsid w:val="00065C6B"/>
    <w:rsid w:val="00067736"/>
    <w:rsid w:val="00072EAB"/>
    <w:rsid w:val="000738EA"/>
    <w:rsid w:val="00083D8E"/>
    <w:rsid w:val="000866C4"/>
    <w:rsid w:val="00086C39"/>
    <w:rsid w:val="00086CFB"/>
    <w:rsid w:val="00090F15"/>
    <w:rsid w:val="000949FD"/>
    <w:rsid w:val="000A03B2"/>
    <w:rsid w:val="000A1698"/>
    <w:rsid w:val="000A2346"/>
    <w:rsid w:val="000A491A"/>
    <w:rsid w:val="000B2D66"/>
    <w:rsid w:val="000B44C1"/>
    <w:rsid w:val="000C1096"/>
    <w:rsid w:val="000C33CE"/>
    <w:rsid w:val="000C3405"/>
    <w:rsid w:val="000C7779"/>
    <w:rsid w:val="000D0268"/>
    <w:rsid w:val="000D1521"/>
    <w:rsid w:val="000D34BE"/>
    <w:rsid w:val="000E102F"/>
    <w:rsid w:val="000E207A"/>
    <w:rsid w:val="000E2CD0"/>
    <w:rsid w:val="000E36F1"/>
    <w:rsid w:val="000E3A73"/>
    <w:rsid w:val="000E414A"/>
    <w:rsid w:val="000E571D"/>
    <w:rsid w:val="000F093C"/>
    <w:rsid w:val="000F284C"/>
    <w:rsid w:val="000F6915"/>
    <w:rsid w:val="000F787B"/>
    <w:rsid w:val="00100BF7"/>
    <w:rsid w:val="00100D0D"/>
    <w:rsid w:val="001120A9"/>
    <w:rsid w:val="00112DD3"/>
    <w:rsid w:val="00116B51"/>
    <w:rsid w:val="00117575"/>
    <w:rsid w:val="0012091F"/>
    <w:rsid w:val="001223B0"/>
    <w:rsid w:val="00122F91"/>
    <w:rsid w:val="0012301C"/>
    <w:rsid w:val="00123EBA"/>
    <w:rsid w:val="00126BC2"/>
    <w:rsid w:val="0012739D"/>
    <w:rsid w:val="001308B6"/>
    <w:rsid w:val="0013121F"/>
    <w:rsid w:val="00131DED"/>
    <w:rsid w:val="00131FE6"/>
    <w:rsid w:val="0013263F"/>
    <w:rsid w:val="001331DF"/>
    <w:rsid w:val="00134DE4"/>
    <w:rsid w:val="0013795E"/>
    <w:rsid w:val="00137CA9"/>
    <w:rsid w:val="0014034D"/>
    <w:rsid w:val="00141D83"/>
    <w:rsid w:val="0014320F"/>
    <w:rsid w:val="00144D16"/>
    <w:rsid w:val="0014555F"/>
    <w:rsid w:val="00150E59"/>
    <w:rsid w:val="00151254"/>
    <w:rsid w:val="00152DA2"/>
    <w:rsid w:val="00152DE3"/>
    <w:rsid w:val="00154BFC"/>
    <w:rsid w:val="0016268E"/>
    <w:rsid w:val="00164CF9"/>
    <w:rsid w:val="0016583A"/>
    <w:rsid w:val="001667A6"/>
    <w:rsid w:val="00167F3E"/>
    <w:rsid w:val="001775A6"/>
    <w:rsid w:val="00180E08"/>
    <w:rsid w:val="00181672"/>
    <w:rsid w:val="00184AD6"/>
    <w:rsid w:val="001929F9"/>
    <w:rsid w:val="001A379C"/>
    <w:rsid w:val="001A3BC5"/>
    <w:rsid w:val="001A4AF7"/>
    <w:rsid w:val="001A53E0"/>
    <w:rsid w:val="001A59E6"/>
    <w:rsid w:val="001B0349"/>
    <w:rsid w:val="001B06DE"/>
    <w:rsid w:val="001B1E93"/>
    <w:rsid w:val="001B65C1"/>
    <w:rsid w:val="001B7201"/>
    <w:rsid w:val="001C684B"/>
    <w:rsid w:val="001D0CFB"/>
    <w:rsid w:val="001D2031"/>
    <w:rsid w:val="001D53FC"/>
    <w:rsid w:val="001D7900"/>
    <w:rsid w:val="001E0487"/>
    <w:rsid w:val="001E0A11"/>
    <w:rsid w:val="001E6F5D"/>
    <w:rsid w:val="001E7CE9"/>
    <w:rsid w:val="001F3595"/>
    <w:rsid w:val="001F42A5"/>
    <w:rsid w:val="001F65E5"/>
    <w:rsid w:val="001F7B9D"/>
    <w:rsid w:val="00201C93"/>
    <w:rsid w:val="00203AD5"/>
    <w:rsid w:val="00213B03"/>
    <w:rsid w:val="00214036"/>
    <w:rsid w:val="002165A0"/>
    <w:rsid w:val="002224B4"/>
    <w:rsid w:val="00222E0A"/>
    <w:rsid w:val="002242C4"/>
    <w:rsid w:val="002252A0"/>
    <w:rsid w:val="00225719"/>
    <w:rsid w:val="002271B1"/>
    <w:rsid w:val="0023187B"/>
    <w:rsid w:val="0023204F"/>
    <w:rsid w:val="002320F2"/>
    <w:rsid w:val="0023461A"/>
    <w:rsid w:val="0023697C"/>
    <w:rsid w:val="00243DD9"/>
    <w:rsid w:val="002447EF"/>
    <w:rsid w:val="00245F5A"/>
    <w:rsid w:val="00247F71"/>
    <w:rsid w:val="00251550"/>
    <w:rsid w:val="00251630"/>
    <w:rsid w:val="00251D04"/>
    <w:rsid w:val="0025453F"/>
    <w:rsid w:val="00255B6F"/>
    <w:rsid w:val="002573F3"/>
    <w:rsid w:val="00260F63"/>
    <w:rsid w:val="00263B05"/>
    <w:rsid w:val="002650F6"/>
    <w:rsid w:val="0027221A"/>
    <w:rsid w:val="00273C4B"/>
    <w:rsid w:val="00275B61"/>
    <w:rsid w:val="00280095"/>
    <w:rsid w:val="00280FAF"/>
    <w:rsid w:val="00282656"/>
    <w:rsid w:val="00282D46"/>
    <w:rsid w:val="00285A6F"/>
    <w:rsid w:val="002868ED"/>
    <w:rsid w:val="0029352C"/>
    <w:rsid w:val="00296B83"/>
    <w:rsid w:val="002A4D16"/>
    <w:rsid w:val="002A54CE"/>
    <w:rsid w:val="002A5BA8"/>
    <w:rsid w:val="002B2E33"/>
    <w:rsid w:val="002B4015"/>
    <w:rsid w:val="002B4AA6"/>
    <w:rsid w:val="002B78CE"/>
    <w:rsid w:val="002C20E6"/>
    <w:rsid w:val="002C2849"/>
    <w:rsid w:val="002C2FB6"/>
    <w:rsid w:val="002C7CA5"/>
    <w:rsid w:val="002D0763"/>
    <w:rsid w:val="002D4698"/>
    <w:rsid w:val="002E0465"/>
    <w:rsid w:val="002E5FA7"/>
    <w:rsid w:val="002F3309"/>
    <w:rsid w:val="002F4D91"/>
    <w:rsid w:val="002F5164"/>
    <w:rsid w:val="002F678D"/>
    <w:rsid w:val="002F7AAF"/>
    <w:rsid w:val="003008CE"/>
    <w:rsid w:val="003009B7"/>
    <w:rsid w:val="00300E56"/>
    <w:rsid w:val="003023BD"/>
    <w:rsid w:val="00302E05"/>
    <w:rsid w:val="003033A2"/>
    <w:rsid w:val="0030469C"/>
    <w:rsid w:val="00305506"/>
    <w:rsid w:val="00310E38"/>
    <w:rsid w:val="00317ED3"/>
    <w:rsid w:val="00321952"/>
    <w:rsid w:val="00321CA6"/>
    <w:rsid w:val="00323763"/>
    <w:rsid w:val="00326DB7"/>
    <w:rsid w:val="00327620"/>
    <w:rsid w:val="00334C09"/>
    <w:rsid w:val="003407D0"/>
    <w:rsid w:val="003458B3"/>
    <w:rsid w:val="00347518"/>
    <w:rsid w:val="00357259"/>
    <w:rsid w:val="00363D90"/>
    <w:rsid w:val="00367419"/>
    <w:rsid w:val="003723D4"/>
    <w:rsid w:val="00373322"/>
    <w:rsid w:val="00381905"/>
    <w:rsid w:val="00382230"/>
    <w:rsid w:val="00383051"/>
    <w:rsid w:val="00383C63"/>
    <w:rsid w:val="00384CC8"/>
    <w:rsid w:val="003871FD"/>
    <w:rsid w:val="00393C91"/>
    <w:rsid w:val="0039698E"/>
    <w:rsid w:val="003A07E3"/>
    <w:rsid w:val="003A1E30"/>
    <w:rsid w:val="003A2829"/>
    <w:rsid w:val="003A3BFD"/>
    <w:rsid w:val="003A5F56"/>
    <w:rsid w:val="003A6FC3"/>
    <w:rsid w:val="003A7D1C"/>
    <w:rsid w:val="003B08EC"/>
    <w:rsid w:val="003B182F"/>
    <w:rsid w:val="003B304B"/>
    <w:rsid w:val="003B3146"/>
    <w:rsid w:val="003B3510"/>
    <w:rsid w:val="003B664A"/>
    <w:rsid w:val="003C30D6"/>
    <w:rsid w:val="003D368C"/>
    <w:rsid w:val="003D3B1B"/>
    <w:rsid w:val="003D50F9"/>
    <w:rsid w:val="003D66BC"/>
    <w:rsid w:val="003D685A"/>
    <w:rsid w:val="003D759F"/>
    <w:rsid w:val="003D7A7B"/>
    <w:rsid w:val="003E5171"/>
    <w:rsid w:val="003F015E"/>
    <w:rsid w:val="003F3534"/>
    <w:rsid w:val="003F4FFC"/>
    <w:rsid w:val="00400414"/>
    <w:rsid w:val="00401BAE"/>
    <w:rsid w:val="00402C10"/>
    <w:rsid w:val="00412E4C"/>
    <w:rsid w:val="0041446B"/>
    <w:rsid w:val="00420C45"/>
    <w:rsid w:val="00432795"/>
    <w:rsid w:val="004352CE"/>
    <w:rsid w:val="0044329C"/>
    <w:rsid w:val="0044544A"/>
    <w:rsid w:val="0044677C"/>
    <w:rsid w:val="00450219"/>
    <w:rsid w:val="00453E24"/>
    <w:rsid w:val="00454491"/>
    <w:rsid w:val="004545FE"/>
    <w:rsid w:val="00454C91"/>
    <w:rsid w:val="0045585E"/>
    <w:rsid w:val="00455C57"/>
    <w:rsid w:val="00457456"/>
    <w:rsid w:val="004577FE"/>
    <w:rsid w:val="00457B9C"/>
    <w:rsid w:val="00460A18"/>
    <w:rsid w:val="0046164A"/>
    <w:rsid w:val="004628D2"/>
    <w:rsid w:val="00462DCD"/>
    <w:rsid w:val="004634E2"/>
    <w:rsid w:val="0046468D"/>
    <w:rsid w:val="00464746"/>
    <w:rsid w:val="004648AD"/>
    <w:rsid w:val="00466987"/>
    <w:rsid w:val="004703A9"/>
    <w:rsid w:val="00473876"/>
    <w:rsid w:val="00475F3F"/>
    <w:rsid w:val="004760DE"/>
    <w:rsid w:val="00476388"/>
    <w:rsid w:val="0047638A"/>
    <w:rsid w:val="004763D7"/>
    <w:rsid w:val="0048385C"/>
    <w:rsid w:val="00483FCF"/>
    <w:rsid w:val="00484431"/>
    <w:rsid w:val="00486B8B"/>
    <w:rsid w:val="0049274A"/>
    <w:rsid w:val="004929BB"/>
    <w:rsid w:val="004A004E"/>
    <w:rsid w:val="004A017D"/>
    <w:rsid w:val="004A24CF"/>
    <w:rsid w:val="004A2702"/>
    <w:rsid w:val="004A30D2"/>
    <w:rsid w:val="004A6481"/>
    <w:rsid w:val="004A66C4"/>
    <w:rsid w:val="004B4F1D"/>
    <w:rsid w:val="004B776B"/>
    <w:rsid w:val="004B7E0E"/>
    <w:rsid w:val="004C19F1"/>
    <w:rsid w:val="004C3D1D"/>
    <w:rsid w:val="004C60D6"/>
    <w:rsid w:val="004C68E2"/>
    <w:rsid w:val="004C7913"/>
    <w:rsid w:val="004D1DA8"/>
    <w:rsid w:val="004E30CA"/>
    <w:rsid w:val="004E4DD6"/>
    <w:rsid w:val="004E5BA2"/>
    <w:rsid w:val="004E69BB"/>
    <w:rsid w:val="004F28CD"/>
    <w:rsid w:val="004F4E76"/>
    <w:rsid w:val="004F5E36"/>
    <w:rsid w:val="00502841"/>
    <w:rsid w:val="005032B5"/>
    <w:rsid w:val="00507B47"/>
    <w:rsid w:val="00507BEF"/>
    <w:rsid w:val="00507CC9"/>
    <w:rsid w:val="005119A5"/>
    <w:rsid w:val="00512CE5"/>
    <w:rsid w:val="005161FF"/>
    <w:rsid w:val="00520F76"/>
    <w:rsid w:val="00521668"/>
    <w:rsid w:val="00521AC4"/>
    <w:rsid w:val="005278B7"/>
    <w:rsid w:val="00532016"/>
    <w:rsid w:val="005334EB"/>
    <w:rsid w:val="005346C8"/>
    <w:rsid w:val="005374D4"/>
    <w:rsid w:val="005434F0"/>
    <w:rsid w:val="00543E7D"/>
    <w:rsid w:val="00543E85"/>
    <w:rsid w:val="00545018"/>
    <w:rsid w:val="00546F9A"/>
    <w:rsid w:val="00547A68"/>
    <w:rsid w:val="00551CD4"/>
    <w:rsid w:val="005531C9"/>
    <w:rsid w:val="00556C30"/>
    <w:rsid w:val="00560CEF"/>
    <w:rsid w:val="00564075"/>
    <w:rsid w:val="0057074E"/>
    <w:rsid w:val="00570C43"/>
    <w:rsid w:val="0057254C"/>
    <w:rsid w:val="00573995"/>
    <w:rsid w:val="0057502B"/>
    <w:rsid w:val="005828D0"/>
    <w:rsid w:val="005831C1"/>
    <w:rsid w:val="00583CA2"/>
    <w:rsid w:val="0058467D"/>
    <w:rsid w:val="00586514"/>
    <w:rsid w:val="00587252"/>
    <w:rsid w:val="00597275"/>
    <w:rsid w:val="005A3176"/>
    <w:rsid w:val="005A7BA7"/>
    <w:rsid w:val="005B1915"/>
    <w:rsid w:val="005B2110"/>
    <w:rsid w:val="005B2E19"/>
    <w:rsid w:val="005B338A"/>
    <w:rsid w:val="005B531F"/>
    <w:rsid w:val="005B61E6"/>
    <w:rsid w:val="005C084B"/>
    <w:rsid w:val="005C0DCE"/>
    <w:rsid w:val="005C442B"/>
    <w:rsid w:val="005C77E1"/>
    <w:rsid w:val="005D1792"/>
    <w:rsid w:val="005D1DA3"/>
    <w:rsid w:val="005D1F7C"/>
    <w:rsid w:val="005D25D6"/>
    <w:rsid w:val="005D2CE0"/>
    <w:rsid w:val="005D668A"/>
    <w:rsid w:val="005D6A2F"/>
    <w:rsid w:val="005D7300"/>
    <w:rsid w:val="005E0C70"/>
    <w:rsid w:val="005E1A82"/>
    <w:rsid w:val="005E3E39"/>
    <w:rsid w:val="005E3E99"/>
    <w:rsid w:val="005E69E8"/>
    <w:rsid w:val="005E794C"/>
    <w:rsid w:val="005E7B6A"/>
    <w:rsid w:val="005F0A28"/>
    <w:rsid w:val="005F0E5E"/>
    <w:rsid w:val="005F6269"/>
    <w:rsid w:val="005F7C77"/>
    <w:rsid w:val="00600535"/>
    <w:rsid w:val="00602DD8"/>
    <w:rsid w:val="00604040"/>
    <w:rsid w:val="0060495D"/>
    <w:rsid w:val="00607E42"/>
    <w:rsid w:val="00610CD6"/>
    <w:rsid w:val="006135B3"/>
    <w:rsid w:val="00620DEE"/>
    <w:rsid w:val="00621F92"/>
    <w:rsid w:val="0062280A"/>
    <w:rsid w:val="00625639"/>
    <w:rsid w:val="006272E2"/>
    <w:rsid w:val="00631B33"/>
    <w:rsid w:val="00633E0F"/>
    <w:rsid w:val="00635520"/>
    <w:rsid w:val="0063799B"/>
    <w:rsid w:val="0064184D"/>
    <w:rsid w:val="006422CC"/>
    <w:rsid w:val="0064230E"/>
    <w:rsid w:val="00643317"/>
    <w:rsid w:val="006507F3"/>
    <w:rsid w:val="00652E9C"/>
    <w:rsid w:val="0065566E"/>
    <w:rsid w:val="00657FC6"/>
    <w:rsid w:val="00660E3E"/>
    <w:rsid w:val="00662E74"/>
    <w:rsid w:val="00662ECC"/>
    <w:rsid w:val="0066516E"/>
    <w:rsid w:val="00666E38"/>
    <w:rsid w:val="00671C8E"/>
    <w:rsid w:val="006726D0"/>
    <w:rsid w:val="00674DBA"/>
    <w:rsid w:val="0067658C"/>
    <w:rsid w:val="00680C23"/>
    <w:rsid w:val="00686EB2"/>
    <w:rsid w:val="00691AA1"/>
    <w:rsid w:val="006931E4"/>
    <w:rsid w:val="00693766"/>
    <w:rsid w:val="00694A19"/>
    <w:rsid w:val="006A3281"/>
    <w:rsid w:val="006A4217"/>
    <w:rsid w:val="006A4554"/>
    <w:rsid w:val="006A7040"/>
    <w:rsid w:val="006A7DCC"/>
    <w:rsid w:val="006B0FD1"/>
    <w:rsid w:val="006B123C"/>
    <w:rsid w:val="006B184A"/>
    <w:rsid w:val="006B464F"/>
    <w:rsid w:val="006B4888"/>
    <w:rsid w:val="006B5A69"/>
    <w:rsid w:val="006C261D"/>
    <w:rsid w:val="006C2E45"/>
    <w:rsid w:val="006C359C"/>
    <w:rsid w:val="006C5579"/>
    <w:rsid w:val="006C6792"/>
    <w:rsid w:val="006D0F7B"/>
    <w:rsid w:val="006D4239"/>
    <w:rsid w:val="006D4D38"/>
    <w:rsid w:val="006D4E5D"/>
    <w:rsid w:val="006D5BE1"/>
    <w:rsid w:val="006D6E8B"/>
    <w:rsid w:val="006D7A8A"/>
    <w:rsid w:val="006E62A0"/>
    <w:rsid w:val="006E6F80"/>
    <w:rsid w:val="006E737D"/>
    <w:rsid w:val="006E7482"/>
    <w:rsid w:val="006E7C97"/>
    <w:rsid w:val="006F0B35"/>
    <w:rsid w:val="006F3687"/>
    <w:rsid w:val="006F4391"/>
    <w:rsid w:val="007015BC"/>
    <w:rsid w:val="00711EF0"/>
    <w:rsid w:val="007133E8"/>
    <w:rsid w:val="00713973"/>
    <w:rsid w:val="00717D0E"/>
    <w:rsid w:val="00720A24"/>
    <w:rsid w:val="00723AF0"/>
    <w:rsid w:val="00724A86"/>
    <w:rsid w:val="00724FD5"/>
    <w:rsid w:val="00732386"/>
    <w:rsid w:val="0073514D"/>
    <w:rsid w:val="007363AD"/>
    <w:rsid w:val="007410D5"/>
    <w:rsid w:val="007447F3"/>
    <w:rsid w:val="00751023"/>
    <w:rsid w:val="0075499F"/>
    <w:rsid w:val="00757D07"/>
    <w:rsid w:val="007660D1"/>
    <w:rsid w:val="007661C8"/>
    <w:rsid w:val="007664BE"/>
    <w:rsid w:val="007677A1"/>
    <w:rsid w:val="0077098D"/>
    <w:rsid w:val="0077257F"/>
    <w:rsid w:val="007739E1"/>
    <w:rsid w:val="00774AE0"/>
    <w:rsid w:val="0077509A"/>
    <w:rsid w:val="00776637"/>
    <w:rsid w:val="00780531"/>
    <w:rsid w:val="00793100"/>
    <w:rsid w:val="007931FA"/>
    <w:rsid w:val="007A4861"/>
    <w:rsid w:val="007A7BBA"/>
    <w:rsid w:val="007B0198"/>
    <w:rsid w:val="007B0C50"/>
    <w:rsid w:val="007B1636"/>
    <w:rsid w:val="007B1917"/>
    <w:rsid w:val="007B1CC8"/>
    <w:rsid w:val="007B48F9"/>
    <w:rsid w:val="007B4DD6"/>
    <w:rsid w:val="007B6B3B"/>
    <w:rsid w:val="007B7538"/>
    <w:rsid w:val="007B7692"/>
    <w:rsid w:val="007B791B"/>
    <w:rsid w:val="007C0799"/>
    <w:rsid w:val="007C0C07"/>
    <w:rsid w:val="007C1A43"/>
    <w:rsid w:val="007C24FB"/>
    <w:rsid w:val="007C2F20"/>
    <w:rsid w:val="007D1029"/>
    <w:rsid w:val="007D4824"/>
    <w:rsid w:val="007E03A7"/>
    <w:rsid w:val="007E0464"/>
    <w:rsid w:val="007E3A58"/>
    <w:rsid w:val="007E4BC0"/>
    <w:rsid w:val="007E6CC7"/>
    <w:rsid w:val="007F4847"/>
    <w:rsid w:val="007F7051"/>
    <w:rsid w:val="007F7E8E"/>
    <w:rsid w:val="0080013E"/>
    <w:rsid w:val="00801BB4"/>
    <w:rsid w:val="00806E03"/>
    <w:rsid w:val="00812DC0"/>
    <w:rsid w:val="00813288"/>
    <w:rsid w:val="0081443B"/>
    <w:rsid w:val="00815AC1"/>
    <w:rsid w:val="008168FC"/>
    <w:rsid w:val="0083073B"/>
    <w:rsid w:val="00830803"/>
    <w:rsid w:val="00830996"/>
    <w:rsid w:val="008345F1"/>
    <w:rsid w:val="00840A29"/>
    <w:rsid w:val="00841070"/>
    <w:rsid w:val="00841713"/>
    <w:rsid w:val="00856A80"/>
    <w:rsid w:val="00863255"/>
    <w:rsid w:val="008640E3"/>
    <w:rsid w:val="00864BB7"/>
    <w:rsid w:val="00864D24"/>
    <w:rsid w:val="00865B07"/>
    <w:rsid w:val="00866151"/>
    <w:rsid w:val="008667EA"/>
    <w:rsid w:val="00871EDD"/>
    <w:rsid w:val="0087637F"/>
    <w:rsid w:val="00883C07"/>
    <w:rsid w:val="00887442"/>
    <w:rsid w:val="00890319"/>
    <w:rsid w:val="00892AD5"/>
    <w:rsid w:val="00892F47"/>
    <w:rsid w:val="00892FEA"/>
    <w:rsid w:val="00896941"/>
    <w:rsid w:val="008A1512"/>
    <w:rsid w:val="008A298F"/>
    <w:rsid w:val="008A7C8E"/>
    <w:rsid w:val="008B2FDC"/>
    <w:rsid w:val="008B4F43"/>
    <w:rsid w:val="008C5388"/>
    <w:rsid w:val="008D1594"/>
    <w:rsid w:val="008D32B9"/>
    <w:rsid w:val="008D433B"/>
    <w:rsid w:val="008D44A7"/>
    <w:rsid w:val="008E005F"/>
    <w:rsid w:val="008E334D"/>
    <w:rsid w:val="008E5236"/>
    <w:rsid w:val="008E566E"/>
    <w:rsid w:val="008E58A7"/>
    <w:rsid w:val="0090161A"/>
    <w:rsid w:val="00901928"/>
    <w:rsid w:val="00901EB6"/>
    <w:rsid w:val="00903DD4"/>
    <w:rsid w:val="0090490C"/>
    <w:rsid w:val="00904C62"/>
    <w:rsid w:val="009078CF"/>
    <w:rsid w:val="0091047C"/>
    <w:rsid w:val="00910B9B"/>
    <w:rsid w:val="0091239D"/>
    <w:rsid w:val="00917185"/>
    <w:rsid w:val="00922BA8"/>
    <w:rsid w:val="00923D1A"/>
    <w:rsid w:val="00924DAC"/>
    <w:rsid w:val="00927058"/>
    <w:rsid w:val="00927F20"/>
    <w:rsid w:val="009303E9"/>
    <w:rsid w:val="00931839"/>
    <w:rsid w:val="009329C2"/>
    <w:rsid w:val="0093546F"/>
    <w:rsid w:val="0093552A"/>
    <w:rsid w:val="00942750"/>
    <w:rsid w:val="00942E71"/>
    <w:rsid w:val="009450CE"/>
    <w:rsid w:val="00947179"/>
    <w:rsid w:val="0095164B"/>
    <w:rsid w:val="00953B25"/>
    <w:rsid w:val="00953E0A"/>
    <w:rsid w:val="00954090"/>
    <w:rsid w:val="009573E7"/>
    <w:rsid w:val="00960222"/>
    <w:rsid w:val="00963E05"/>
    <w:rsid w:val="00964FFB"/>
    <w:rsid w:val="00965006"/>
    <w:rsid w:val="00966CC9"/>
    <w:rsid w:val="00967843"/>
    <w:rsid w:val="00967D54"/>
    <w:rsid w:val="00971028"/>
    <w:rsid w:val="00974D5F"/>
    <w:rsid w:val="00975117"/>
    <w:rsid w:val="0099064D"/>
    <w:rsid w:val="00990C3B"/>
    <w:rsid w:val="00993A3D"/>
    <w:rsid w:val="00993B84"/>
    <w:rsid w:val="00996422"/>
    <w:rsid w:val="00996483"/>
    <w:rsid w:val="00996F5A"/>
    <w:rsid w:val="009A2171"/>
    <w:rsid w:val="009A4F33"/>
    <w:rsid w:val="009B041A"/>
    <w:rsid w:val="009B0EEE"/>
    <w:rsid w:val="009B403D"/>
    <w:rsid w:val="009C23F8"/>
    <w:rsid w:val="009C37C3"/>
    <w:rsid w:val="009C5BFB"/>
    <w:rsid w:val="009C7C86"/>
    <w:rsid w:val="009D22DB"/>
    <w:rsid w:val="009D2718"/>
    <w:rsid w:val="009D2B1F"/>
    <w:rsid w:val="009D2FF7"/>
    <w:rsid w:val="009D70A1"/>
    <w:rsid w:val="009E06D6"/>
    <w:rsid w:val="009E0CEF"/>
    <w:rsid w:val="009E1B56"/>
    <w:rsid w:val="009E3298"/>
    <w:rsid w:val="009E3844"/>
    <w:rsid w:val="009E5A39"/>
    <w:rsid w:val="009E7884"/>
    <w:rsid w:val="009E788A"/>
    <w:rsid w:val="009F0E08"/>
    <w:rsid w:val="009F2968"/>
    <w:rsid w:val="009F5DDA"/>
    <w:rsid w:val="009F6019"/>
    <w:rsid w:val="009F6447"/>
    <w:rsid w:val="00A03A22"/>
    <w:rsid w:val="00A04030"/>
    <w:rsid w:val="00A1380B"/>
    <w:rsid w:val="00A15A4B"/>
    <w:rsid w:val="00A1763D"/>
    <w:rsid w:val="00A17935"/>
    <w:rsid w:val="00A17CEC"/>
    <w:rsid w:val="00A236C8"/>
    <w:rsid w:val="00A269A2"/>
    <w:rsid w:val="00A27EF0"/>
    <w:rsid w:val="00A4151D"/>
    <w:rsid w:val="00A42361"/>
    <w:rsid w:val="00A50B20"/>
    <w:rsid w:val="00A51024"/>
    <w:rsid w:val="00A51390"/>
    <w:rsid w:val="00A52077"/>
    <w:rsid w:val="00A544CA"/>
    <w:rsid w:val="00A601E3"/>
    <w:rsid w:val="00A605B4"/>
    <w:rsid w:val="00A60D13"/>
    <w:rsid w:val="00A61513"/>
    <w:rsid w:val="00A62A2C"/>
    <w:rsid w:val="00A63CBF"/>
    <w:rsid w:val="00A65F12"/>
    <w:rsid w:val="00A7226E"/>
    <w:rsid w:val="00A72745"/>
    <w:rsid w:val="00A76EFC"/>
    <w:rsid w:val="00A8620F"/>
    <w:rsid w:val="00A91010"/>
    <w:rsid w:val="00A97B46"/>
    <w:rsid w:val="00A97C4B"/>
    <w:rsid w:val="00A97F29"/>
    <w:rsid w:val="00AA10DC"/>
    <w:rsid w:val="00AA2EF1"/>
    <w:rsid w:val="00AA5969"/>
    <w:rsid w:val="00AA67A7"/>
    <w:rsid w:val="00AA702E"/>
    <w:rsid w:val="00AB0964"/>
    <w:rsid w:val="00AB4C8C"/>
    <w:rsid w:val="00AB5011"/>
    <w:rsid w:val="00AC2F67"/>
    <w:rsid w:val="00AC38E4"/>
    <w:rsid w:val="00AC4BF9"/>
    <w:rsid w:val="00AC7368"/>
    <w:rsid w:val="00AD0A05"/>
    <w:rsid w:val="00AD16B9"/>
    <w:rsid w:val="00AD1C89"/>
    <w:rsid w:val="00AD4466"/>
    <w:rsid w:val="00AD766A"/>
    <w:rsid w:val="00AE03DC"/>
    <w:rsid w:val="00AE377D"/>
    <w:rsid w:val="00AE3E47"/>
    <w:rsid w:val="00AE7453"/>
    <w:rsid w:val="00AE783D"/>
    <w:rsid w:val="00AF0EBA"/>
    <w:rsid w:val="00AF3376"/>
    <w:rsid w:val="00B02C8A"/>
    <w:rsid w:val="00B054B8"/>
    <w:rsid w:val="00B062D1"/>
    <w:rsid w:val="00B06FB2"/>
    <w:rsid w:val="00B07948"/>
    <w:rsid w:val="00B17FBD"/>
    <w:rsid w:val="00B2535C"/>
    <w:rsid w:val="00B25A0C"/>
    <w:rsid w:val="00B274F1"/>
    <w:rsid w:val="00B31439"/>
    <w:rsid w:val="00B315A6"/>
    <w:rsid w:val="00B31813"/>
    <w:rsid w:val="00B33365"/>
    <w:rsid w:val="00B375CF"/>
    <w:rsid w:val="00B4155B"/>
    <w:rsid w:val="00B42BCD"/>
    <w:rsid w:val="00B57B36"/>
    <w:rsid w:val="00B57E6F"/>
    <w:rsid w:val="00B6056B"/>
    <w:rsid w:val="00B66E89"/>
    <w:rsid w:val="00B6746F"/>
    <w:rsid w:val="00B679EE"/>
    <w:rsid w:val="00B70232"/>
    <w:rsid w:val="00B72927"/>
    <w:rsid w:val="00B74260"/>
    <w:rsid w:val="00B769D6"/>
    <w:rsid w:val="00B801B5"/>
    <w:rsid w:val="00B8107B"/>
    <w:rsid w:val="00B81149"/>
    <w:rsid w:val="00B83F28"/>
    <w:rsid w:val="00B8686D"/>
    <w:rsid w:val="00B86A2A"/>
    <w:rsid w:val="00B91BB4"/>
    <w:rsid w:val="00B93F69"/>
    <w:rsid w:val="00B9460C"/>
    <w:rsid w:val="00B952F7"/>
    <w:rsid w:val="00B959FC"/>
    <w:rsid w:val="00B97ED9"/>
    <w:rsid w:val="00BA5B53"/>
    <w:rsid w:val="00BA69EF"/>
    <w:rsid w:val="00BB105A"/>
    <w:rsid w:val="00BB1DDC"/>
    <w:rsid w:val="00BB2196"/>
    <w:rsid w:val="00BC30C9"/>
    <w:rsid w:val="00BC3182"/>
    <w:rsid w:val="00BC37BE"/>
    <w:rsid w:val="00BC70FC"/>
    <w:rsid w:val="00BD077D"/>
    <w:rsid w:val="00BD22EB"/>
    <w:rsid w:val="00BD262E"/>
    <w:rsid w:val="00BD268F"/>
    <w:rsid w:val="00BD3387"/>
    <w:rsid w:val="00BD5C78"/>
    <w:rsid w:val="00BE3E58"/>
    <w:rsid w:val="00BF2519"/>
    <w:rsid w:val="00BF686F"/>
    <w:rsid w:val="00C00CBF"/>
    <w:rsid w:val="00C01616"/>
    <w:rsid w:val="00C0162B"/>
    <w:rsid w:val="00C03C0A"/>
    <w:rsid w:val="00C068ED"/>
    <w:rsid w:val="00C11657"/>
    <w:rsid w:val="00C11DF4"/>
    <w:rsid w:val="00C13BDF"/>
    <w:rsid w:val="00C16996"/>
    <w:rsid w:val="00C22E0C"/>
    <w:rsid w:val="00C25B29"/>
    <w:rsid w:val="00C318D8"/>
    <w:rsid w:val="00C3394E"/>
    <w:rsid w:val="00C345B1"/>
    <w:rsid w:val="00C34FC8"/>
    <w:rsid w:val="00C40142"/>
    <w:rsid w:val="00C441EE"/>
    <w:rsid w:val="00C44A9A"/>
    <w:rsid w:val="00C47402"/>
    <w:rsid w:val="00C50BCA"/>
    <w:rsid w:val="00C52C3C"/>
    <w:rsid w:val="00C52C99"/>
    <w:rsid w:val="00C5353E"/>
    <w:rsid w:val="00C57182"/>
    <w:rsid w:val="00C57863"/>
    <w:rsid w:val="00C57E40"/>
    <w:rsid w:val="00C63399"/>
    <w:rsid w:val="00C64098"/>
    <w:rsid w:val="00C643E3"/>
    <w:rsid w:val="00C655FD"/>
    <w:rsid w:val="00C71AF4"/>
    <w:rsid w:val="00C71DA5"/>
    <w:rsid w:val="00C72DCF"/>
    <w:rsid w:val="00C73B8A"/>
    <w:rsid w:val="00C747E3"/>
    <w:rsid w:val="00C75407"/>
    <w:rsid w:val="00C870A8"/>
    <w:rsid w:val="00C94434"/>
    <w:rsid w:val="00CA0D75"/>
    <w:rsid w:val="00CA1C95"/>
    <w:rsid w:val="00CA1CCF"/>
    <w:rsid w:val="00CA389D"/>
    <w:rsid w:val="00CA5A9C"/>
    <w:rsid w:val="00CA7E02"/>
    <w:rsid w:val="00CB3FDE"/>
    <w:rsid w:val="00CC1A40"/>
    <w:rsid w:val="00CC3734"/>
    <w:rsid w:val="00CC4568"/>
    <w:rsid w:val="00CC4C20"/>
    <w:rsid w:val="00CC5286"/>
    <w:rsid w:val="00CD0D3D"/>
    <w:rsid w:val="00CD1D3E"/>
    <w:rsid w:val="00CD1E4C"/>
    <w:rsid w:val="00CD23B2"/>
    <w:rsid w:val="00CD2683"/>
    <w:rsid w:val="00CD3517"/>
    <w:rsid w:val="00CD5402"/>
    <w:rsid w:val="00CD5FE2"/>
    <w:rsid w:val="00CE2D18"/>
    <w:rsid w:val="00CE4710"/>
    <w:rsid w:val="00CE4F3F"/>
    <w:rsid w:val="00CE7C68"/>
    <w:rsid w:val="00CF357C"/>
    <w:rsid w:val="00D02B4C"/>
    <w:rsid w:val="00D040C4"/>
    <w:rsid w:val="00D04FB8"/>
    <w:rsid w:val="00D05068"/>
    <w:rsid w:val="00D05EBC"/>
    <w:rsid w:val="00D11CA8"/>
    <w:rsid w:val="00D14718"/>
    <w:rsid w:val="00D25509"/>
    <w:rsid w:val="00D3452B"/>
    <w:rsid w:val="00D35B77"/>
    <w:rsid w:val="00D40B0E"/>
    <w:rsid w:val="00D45DD2"/>
    <w:rsid w:val="00D45F79"/>
    <w:rsid w:val="00D46B7E"/>
    <w:rsid w:val="00D47042"/>
    <w:rsid w:val="00D518A3"/>
    <w:rsid w:val="00D52726"/>
    <w:rsid w:val="00D54EB4"/>
    <w:rsid w:val="00D57C84"/>
    <w:rsid w:val="00D6057D"/>
    <w:rsid w:val="00D70222"/>
    <w:rsid w:val="00D7306E"/>
    <w:rsid w:val="00D76B9F"/>
    <w:rsid w:val="00D804FF"/>
    <w:rsid w:val="00D836C5"/>
    <w:rsid w:val="00D84576"/>
    <w:rsid w:val="00D84906"/>
    <w:rsid w:val="00D855ED"/>
    <w:rsid w:val="00D85EB7"/>
    <w:rsid w:val="00D86AD1"/>
    <w:rsid w:val="00D92607"/>
    <w:rsid w:val="00D94A22"/>
    <w:rsid w:val="00DA1399"/>
    <w:rsid w:val="00DA24C6"/>
    <w:rsid w:val="00DA39C0"/>
    <w:rsid w:val="00DA4D7B"/>
    <w:rsid w:val="00DB04F8"/>
    <w:rsid w:val="00DB106F"/>
    <w:rsid w:val="00DB22CE"/>
    <w:rsid w:val="00DB4390"/>
    <w:rsid w:val="00DB4E54"/>
    <w:rsid w:val="00DB66C6"/>
    <w:rsid w:val="00DE1C7B"/>
    <w:rsid w:val="00DE264A"/>
    <w:rsid w:val="00DE414D"/>
    <w:rsid w:val="00DF35F4"/>
    <w:rsid w:val="00DF441B"/>
    <w:rsid w:val="00DF5072"/>
    <w:rsid w:val="00E02D18"/>
    <w:rsid w:val="00E041E7"/>
    <w:rsid w:val="00E04AB4"/>
    <w:rsid w:val="00E12418"/>
    <w:rsid w:val="00E13C57"/>
    <w:rsid w:val="00E16C84"/>
    <w:rsid w:val="00E217E5"/>
    <w:rsid w:val="00E23CA1"/>
    <w:rsid w:val="00E23CAE"/>
    <w:rsid w:val="00E2741A"/>
    <w:rsid w:val="00E34BC2"/>
    <w:rsid w:val="00E409A8"/>
    <w:rsid w:val="00E50C12"/>
    <w:rsid w:val="00E56C29"/>
    <w:rsid w:val="00E6384B"/>
    <w:rsid w:val="00E65487"/>
    <w:rsid w:val="00E65B91"/>
    <w:rsid w:val="00E66B7B"/>
    <w:rsid w:val="00E7209D"/>
    <w:rsid w:val="00E72EAD"/>
    <w:rsid w:val="00E73331"/>
    <w:rsid w:val="00E77223"/>
    <w:rsid w:val="00E819E5"/>
    <w:rsid w:val="00E83D57"/>
    <w:rsid w:val="00E8528B"/>
    <w:rsid w:val="00E85B94"/>
    <w:rsid w:val="00E863D1"/>
    <w:rsid w:val="00E86C36"/>
    <w:rsid w:val="00E91BB5"/>
    <w:rsid w:val="00E92028"/>
    <w:rsid w:val="00E94CA9"/>
    <w:rsid w:val="00E963F2"/>
    <w:rsid w:val="00E978D0"/>
    <w:rsid w:val="00EA3320"/>
    <w:rsid w:val="00EA345E"/>
    <w:rsid w:val="00EA4613"/>
    <w:rsid w:val="00EA4E26"/>
    <w:rsid w:val="00EA6871"/>
    <w:rsid w:val="00EA79C3"/>
    <w:rsid w:val="00EA7F91"/>
    <w:rsid w:val="00EB1523"/>
    <w:rsid w:val="00EB1FEB"/>
    <w:rsid w:val="00EB4FE0"/>
    <w:rsid w:val="00EC0E49"/>
    <w:rsid w:val="00EC101F"/>
    <w:rsid w:val="00EC1D9F"/>
    <w:rsid w:val="00EC4F66"/>
    <w:rsid w:val="00ED2B0C"/>
    <w:rsid w:val="00ED3C51"/>
    <w:rsid w:val="00ED5B10"/>
    <w:rsid w:val="00ED7B66"/>
    <w:rsid w:val="00EE0131"/>
    <w:rsid w:val="00EE1633"/>
    <w:rsid w:val="00EE17B0"/>
    <w:rsid w:val="00EE67C9"/>
    <w:rsid w:val="00EF06D9"/>
    <w:rsid w:val="00EF125A"/>
    <w:rsid w:val="00EF440F"/>
    <w:rsid w:val="00F03DD4"/>
    <w:rsid w:val="00F0451E"/>
    <w:rsid w:val="00F11D43"/>
    <w:rsid w:val="00F13F5F"/>
    <w:rsid w:val="00F1607F"/>
    <w:rsid w:val="00F160A4"/>
    <w:rsid w:val="00F170FE"/>
    <w:rsid w:val="00F209B6"/>
    <w:rsid w:val="00F21174"/>
    <w:rsid w:val="00F219DB"/>
    <w:rsid w:val="00F24D18"/>
    <w:rsid w:val="00F30C64"/>
    <w:rsid w:val="00F32BA2"/>
    <w:rsid w:val="00F32CDB"/>
    <w:rsid w:val="00F35A84"/>
    <w:rsid w:val="00F47587"/>
    <w:rsid w:val="00F51ECE"/>
    <w:rsid w:val="00F565FE"/>
    <w:rsid w:val="00F63A70"/>
    <w:rsid w:val="00F64FBA"/>
    <w:rsid w:val="00F66345"/>
    <w:rsid w:val="00F67460"/>
    <w:rsid w:val="00F71CE9"/>
    <w:rsid w:val="00F7534E"/>
    <w:rsid w:val="00F850F9"/>
    <w:rsid w:val="00F86732"/>
    <w:rsid w:val="00F915A4"/>
    <w:rsid w:val="00F94D0B"/>
    <w:rsid w:val="00F951E6"/>
    <w:rsid w:val="00F955AF"/>
    <w:rsid w:val="00F9631C"/>
    <w:rsid w:val="00FA21D0"/>
    <w:rsid w:val="00FA43BF"/>
    <w:rsid w:val="00FA5F5F"/>
    <w:rsid w:val="00FB0603"/>
    <w:rsid w:val="00FB099D"/>
    <w:rsid w:val="00FB1F0D"/>
    <w:rsid w:val="00FB2167"/>
    <w:rsid w:val="00FB46B0"/>
    <w:rsid w:val="00FB5170"/>
    <w:rsid w:val="00FB730C"/>
    <w:rsid w:val="00FB737C"/>
    <w:rsid w:val="00FC2536"/>
    <w:rsid w:val="00FC2695"/>
    <w:rsid w:val="00FC3E03"/>
    <w:rsid w:val="00FC3FC1"/>
    <w:rsid w:val="00FC4A53"/>
    <w:rsid w:val="00FD4B61"/>
    <w:rsid w:val="00FD5E34"/>
    <w:rsid w:val="00FE0FBC"/>
    <w:rsid w:val="00FE3BB7"/>
    <w:rsid w:val="00FE423A"/>
    <w:rsid w:val="00FE71D0"/>
    <w:rsid w:val="00FF252D"/>
    <w:rsid w:val="00FF265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E81B70EB-76BA-4C6A-B78D-F4AD8F58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9D22DB"/>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9D22DB"/>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styleId="Revisione">
    <w:name w:val="Revision"/>
    <w:hidden/>
    <w:uiPriority w:val="99"/>
    <w:semiHidden/>
    <w:rsid w:val="005C442B"/>
    <w:pPr>
      <w:spacing w:after="0" w:line="240" w:lineRule="auto"/>
    </w:pPr>
    <w:rPr>
      <w:rFonts w:ascii="Arial" w:eastAsia="Times New Roman" w:hAnsi="Arial" w:cs="Times New Roman"/>
      <w:sz w:val="18"/>
      <w:szCs w:val="20"/>
      <w:lang w:val="en-GB"/>
    </w:rPr>
  </w:style>
  <w:style w:type="character" w:styleId="Testosegnaposto">
    <w:name w:val="Placeholder Text"/>
    <w:basedOn w:val="Carpredefinitoparagrafo"/>
    <w:uiPriority w:val="99"/>
    <w:semiHidden/>
    <w:rsid w:val="003F4FFC"/>
    <w:rPr>
      <w:color w:val="808080"/>
    </w:rPr>
  </w:style>
  <w:style w:type="character" w:styleId="Menzionenonrisolta">
    <w:name w:val="Unresolved Mention"/>
    <w:basedOn w:val="Carpredefinitoparagrafo"/>
    <w:uiPriority w:val="99"/>
    <w:semiHidden/>
    <w:unhideWhenUsed/>
    <w:rsid w:val="005D1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6D3B3-B3F2-4A36-83E1-68CA1EC5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6</Pages>
  <Words>8418</Words>
  <Characters>47985</Characters>
  <Application>Microsoft Office Word</Application>
  <DocSecurity>0</DocSecurity>
  <Lines>399</Lines>
  <Paragraphs>112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56291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Alessandro Tugnoli</cp:lastModifiedBy>
  <cp:revision>163</cp:revision>
  <cp:lastPrinted>2022-01-17T10:07:00Z</cp:lastPrinted>
  <dcterms:created xsi:type="dcterms:W3CDTF">2022-01-14T13:07:00Z</dcterms:created>
  <dcterms:modified xsi:type="dcterms:W3CDTF">2022-03-30T17:17:00Z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ea8fc571-695b-35b6-ad49-f1489e8084a4</vt:lpwstr>
  </property>
  <property fmtid="{D5CDD505-2E9C-101B-9397-08002B2CF9AE}" pid="6" name="Mendeley Citation Style_1">
    <vt:lpwstr>http://www.zotero.org/styles/american-sociological-association</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vt:lpwstr>
  </property>
  <property fmtid="{D5CDD505-2E9C-101B-9397-08002B2CF9AE}" pid="9" name="Mendeley Recent Style Id 1_1">
    <vt:lpwstr>http://www.zotero.org/styles/apa</vt:lpwstr>
  </property>
  <property fmtid="{D5CDD505-2E9C-101B-9397-08002B2CF9AE}" pid="10" name="Mendeley Recent Style Name 1_1">
    <vt:lpwstr>American Psychological Association 6th edition</vt:lpwstr>
  </property>
  <property fmtid="{D5CDD505-2E9C-101B-9397-08002B2CF9AE}" pid="11" name="Mendeley Recent Style Id 2_1">
    <vt:lpwstr>http://www.zotero.org/styles/american-sociological-association</vt:lpwstr>
  </property>
  <property fmtid="{D5CDD505-2E9C-101B-9397-08002B2CF9AE}" pid="12" name="Mendeley Recent Style Name 2_1">
    <vt:lpwstr>American Sociological Association</vt:lpwstr>
  </property>
  <property fmtid="{D5CDD505-2E9C-101B-9397-08002B2CF9AE}" pid="13" name="Mendeley Recent Style Id 3_1">
    <vt:lpwstr>http://www.zotero.org/styles/chicago-author-date</vt:lpwstr>
  </property>
  <property fmtid="{D5CDD505-2E9C-101B-9397-08002B2CF9AE}" pid="14" name="Mendeley Recent Style Name 3_1">
    <vt:lpwstr>Chicago Manual of Style 17th edition (author-date)</vt:lpwstr>
  </property>
  <property fmtid="{D5CDD505-2E9C-101B-9397-08002B2CF9AE}" pid="15" name="Mendeley Recent Style Id 4_1">
    <vt:lpwstr>http://www.zotero.org/styles/harvard-cite-them-right</vt:lpwstr>
  </property>
  <property fmtid="{D5CDD505-2E9C-101B-9397-08002B2CF9AE}" pid="16" name="Mendeley Recent Style Name 4_1">
    <vt:lpwstr>Cite Them Right 10th edition - Harvard</vt:lpwstr>
  </property>
  <property fmtid="{D5CDD505-2E9C-101B-9397-08002B2CF9AE}" pid="17" name="Mendeley Recent Style Id 5_1">
    <vt:lpwstr>http://www.zotero.org/styles/ieee</vt:lpwstr>
  </property>
  <property fmtid="{D5CDD505-2E9C-101B-9397-08002B2CF9AE}" pid="18" name="Mendeley Recent Style Name 5_1">
    <vt:lpwstr>IEEE</vt:lpwstr>
  </property>
  <property fmtid="{D5CDD505-2E9C-101B-9397-08002B2CF9AE}" pid="19" name="Mendeley Recent Style Id 6_1">
    <vt:lpwstr>http://www.zotero.org/styles/modern-humanities-research-association</vt:lpwstr>
  </property>
  <property fmtid="{D5CDD505-2E9C-101B-9397-08002B2CF9AE}" pid="20" name="Mendeley Recent Style Name 6_1">
    <vt:lpwstr>Modern Humanities Research Association 3rd edition (note with bibliography)</vt:lpwstr>
  </property>
  <property fmtid="{D5CDD505-2E9C-101B-9397-08002B2CF9AE}" pid="21" name="Mendeley Recent Style Id 7_1">
    <vt:lpwstr>http://www.zotero.org/styles/modern-language-association</vt:lpwstr>
  </property>
  <property fmtid="{D5CDD505-2E9C-101B-9397-08002B2CF9AE}" pid="22" name="Mendeley Recent Style Name 7_1">
    <vt:lpwstr>Modern Language Association 8th edition</vt:lpwstr>
  </property>
  <property fmtid="{D5CDD505-2E9C-101B-9397-08002B2CF9AE}" pid="23" name="Mendeley Recent Style Id 8_1">
    <vt:lpwstr>http://www.zotero.org/styles/nature</vt:lpwstr>
  </property>
  <property fmtid="{D5CDD505-2E9C-101B-9397-08002B2CF9AE}" pid="24" name="Mendeley Recent Style Name 8_1">
    <vt:lpwstr>Nature</vt:lpwstr>
  </property>
  <property fmtid="{D5CDD505-2E9C-101B-9397-08002B2CF9AE}" pid="25" name="Mendeley Recent Style Id 9_1">
    <vt:lpwstr>http://www.zotero.org/styles/vancouver</vt:lpwstr>
  </property>
  <property fmtid="{D5CDD505-2E9C-101B-9397-08002B2CF9AE}" pid="26" name="Mendeley Recent Style Name 9_1">
    <vt:lpwstr>Vancouver</vt:lpwstr>
  </property>
</Properties>
</file>