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FD0E" w14:textId="04CE38FC" w:rsidR="00032E54" w:rsidRPr="00CF5C81" w:rsidRDefault="00CF5C81" w:rsidP="00032E54">
      <w:pPr>
        <w:pStyle w:val="Author"/>
        <w:jc w:val="center"/>
        <w:rPr>
          <w:kern w:val="28"/>
          <w:sz w:val="32"/>
        </w:rPr>
      </w:pPr>
      <w:r w:rsidRPr="00CF5C81">
        <w:rPr>
          <w:kern w:val="28"/>
          <w:sz w:val="32"/>
        </w:rPr>
        <w:t>Effects of solids accumulation on</w:t>
      </w:r>
      <w:r w:rsidR="005C461E">
        <w:rPr>
          <w:kern w:val="28"/>
          <w:sz w:val="32"/>
        </w:rPr>
        <w:t xml:space="preserve"> treatment </w:t>
      </w:r>
      <w:r w:rsidR="00FB7D7D">
        <w:rPr>
          <w:kern w:val="28"/>
          <w:sz w:val="32"/>
        </w:rPr>
        <w:t xml:space="preserve">performance </w:t>
      </w:r>
      <w:r w:rsidR="005C461E">
        <w:rPr>
          <w:kern w:val="28"/>
          <w:sz w:val="32"/>
        </w:rPr>
        <w:t>and</w:t>
      </w:r>
      <w:r w:rsidR="00FB7D7D">
        <w:rPr>
          <w:kern w:val="28"/>
          <w:sz w:val="32"/>
        </w:rPr>
        <w:t xml:space="preserve"> hydraulics</w:t>
      </w:r>
      <w:r w:rsidRPr="00CF5C81">
        <w:rPr>
          <w:kern w:val="28"/>
          <w:sz w:val="32"/>
        </w:rPr>
        <w:t xml:space="preserve"> in </w:t>
      </w:r>
      <w:r w:rsidR="00FB7D7D">
        <w:rPr>
          <w:kern w:val="28"/>
          <w:sz w:val="32"/>
        </w:rPr>
        <w:t xml:space="preserve">horizontal </w:t>
      </w:r>
      <w:r w:rsidR="005C461E">
        <w:rPr>
          <w:kern w:val="28"/>
          <w:sz w:val="32"/>
        </w:rPr>
        <w:t>treatment</w:t>
      </w:r>
      <w:r w:rsidRPr="00CF5C81">
        <w:rPr>
          <w:kern w:val="28"/>
          <w:sz w:val="32"/>
        </w:rPr>
        <w:t xml:space="preserve"> </w:t>
      </w:r>
      <w:r w:rsidR="005C461E" w:rsidRPr="00CF5C81">
        <w:rPr>
          <w:kern w:val="28"/>
          <w:sz w:val="32"/>
        </w:rPr>
        <w:t>wetlands</w:t>
      </w:r>
    </w:p>
    <w:p w14:paraId="0FB20EBD" w14:textId="7A6CD05C" w:rsidR="009169E3" w:rsidRPr="004C6B9E" w:rsidRDefault="00E02E45" w:rsidP="009169E3">
      <w:pPr>
        <w:pStyle w:val="Author"/>
        <w:jc w:val="center"/>
        <w:rPr>
          <w:lang w:val="it-IT"/>
        </w:rPr>
      </w:pPr>
      <w:r w:rsidRPr="002339D6">
        <w:rPr>
          <w:vertAlign w:val="superscript"/>
          <w:lang w:val="it-IT"/>
        </w:rPr>
        <w:t>a</w:t>
      </w:r>
      <w:r w:rsidR="00BD7982">
        <w:rPr>
          <w:vertAlign w:val="superscript"/>
          <w:lang w:val="it-IT"/>
        </w:rPr>
        <w:t>*</w:t>
      </w:r>
      <w:r w:rsidR="00BB74BB" w:rsidRPr="004C6B9E">
        <w:rPr>
          <w:lang w:val="it-IT"/>
        </w:rPr>
        <w:t>Sacco A.,</w:t>
      </w:r>
      <w:r w:rsidR="00BF71F4">
        <w:rPr>
          <w:lang w:val="it-IT"/>
        </w:rPr>
        <w:t xml:space="preserve"> </w:t>
      </w:r>
      <w:r w:rsidR="00A757AE" w:rsidRPr="00A757AE">
        <w:rPr>
          <w:vertAlign w:val="superscript"/>
          <w:lang w:val="it-IT"/>
        </w:rPr>
        <w:t>b</w:t>
      </w:r>
      <w:r w:rsidR="00A757AE">
        <w:rPr>
          <w:lang w:val="it-IT"/>
        </w:rPr>
        <w:t xml:space="preserve"> </w:t>
      </w:r>
      <w:r w:rsidR="00BF71F4">
        <w:rPr>
          <w:lang w:val="it-IT"/>
        </w:rPr>
        <w:t xml:space="preserve">Barresi S., </w:t>
      </w:r>
      <w:r w:rsidR="00A757AE">
        <w:rPr>
          <w:vertAlign w:val="superscript"/>
          <w:lang w:val="it-IT"/>
        </w:rPr>
        <w:t xml:space="preserve">b </w:t>
      </w:r>
      <w:r w:rsidR="00BF71F4">
        <w:rPr>
          <w:lang w:val="it-IT"/>
        </w:rPr>
        <w:t>Licciardello F.,</w:t>
      </w:r>
      <w:r w:rsidR="004C6B9E">
        <w:rPr>
          <w:lang w:val="it-IT"/>
        </w:rPr>
        <w:t xml:space="preserve"> </w:t>
      </w:r>
      <w:r w:rsidRPr="002339D6">
        <w:rPr>
          <w:vertAlign w:val="superscript"/>
          <w:lang w:val="it-IT"/>
        </w:rPr>
        <w:t>b</w:t>
      </w:r>
      <w:r w:rsidR="00A757AE">
        <w:rPr>
          <w:vertAlign w:val="superscript"/>
          <w:lang w:val="it-IT"/>
        </w:rPr>
        <w:t xml:space="preserve"> </w:t>
      </w:r>
      <w:r w:rsidR="004C6B9E" w:rsidRPr="004C6B9E">
        <w:rPr>
          <w:lang w:val="it-IT"/>
        </w:rPr>
        <w:t>Cirelli G.</w:t>
      </w:r>
      <w:r w:rsidR="003C340F">
        <w:rPr>
          <w:lang w:val="it-IT"/>
        </w:rPr>
        <w:t>L.</w:t>
      </w:r>
      <w:r w:rsidR="004C6B9E" w:rsidRPr="004C6B9E">
        <w:rPr>
          <w:lang w:val="it-IT"/>
        </w:rPr>
        <w:t>,</w:t>
      </w:r>
    </w:p>
    <w:p w14:paraId="149BB6A7" w14:textId="77777777" w:rsidR="002339D6" w:rsidRPr="002339D6" w:rsidRDefault="002339D6" w:rsidP="002339D6">
      <w:pPr>
        <w:pStyle w:val="Address"/>
        <w:jc w:val="center"/>
        <w:rPr>
          <w:lang w:val="it-IT"/>
        </w:rPr>
      </w:pPr>
      <w:r w:rsidRPr="002339D6">
        <w:rPr>
          <w:vertAlign w:val="superscript"/>
          <w:lang w:val="it-IT"/>
        </w:rPr>
        <w:t>a</w:t>
      </w:r>
      <w:r w:rsidRPr="002339D6">
        <w:rPr>
          <w:lang w:val="it-IT"/>
        </w:rPr>
        <w:t xml:space="preserve"> International Doctorate in Agricultural, Food and Environmental Science – Di3A – University of Catania, Via S. Sofia 100, 95123, Catania Italy</w:t>
      </w:r>
    </w:p>
    <w:p w14:paraId="34BAE9FB" w14:textId="2DA0B9DF" w:rsidR="002339D6" w:rsidRPr="002339D6" w:rsidRDefault="002339D6" w:rsidP="002339D6">
      <w:pPr>
        <w:pStyle w:val="Address"/>
        <w:jc w:val="center"/>
        <w:rPr>
          <w:lang w:val="it-IT"/>
        </w:rPr>
      </w:pPr>
      <w:r w:rsidRPr="002339D6">
        <w:rPr>
          <w:vertAlign w:val="superscript"/>
          <w:lang w:val="it-IT"/>
        </w:rPr>
        <w:t>b</w:t>
      </w:r>
      <w:r w:rsidRPr="002339D6">
        <w:rPr>
          <w:lang w:val="it-IT"/>
        </w:rPr>
        <w:t xml:space="preserve"> Department of Agricolture, Food and Environment (Di3A) – University of Catania, Via S. Sofia 100, 95123, Catania Italy</w:t>
      </w:r>
    </w:p>
    <w:p w14:paraId="01AF0D57" w14:textId="11B3BA4D" w:rsidR="002339D6" w:rsidRPr="002339D6" w:rsidRDefault="002339D6" w:rsidP="002339D6">
      <w:pPr>
        <w:pStyle w:val="Author"/>
        <w:jc w:val="both"/>
        <w:rPr>
          <w:b w:val="0"/>
          <w:sz w:val="22"/>
          <w:szCs w:val="22"/>
        </w:rPr>
      </w:pPr>
      <w:r w:rsidRPr="002339D6">
        <w:rPr>
          <w:b w:val="0"/>
          <w:sz w:val="22"/>
          <w:szCs w:val="22"/>
        </w:rPr>
        <w:t>*Sacco A.</w:t>
      </w:r>
      <w:r>
        <w:rPr>
          <w:b w:val="0"/>
          <w:sz w:val="22"/>
          <w:szCs w:val="22"/>
        </w:rPr>
        <w:t xml:space="preserve"> - </w:t>
      </w:r>
      <w:r w:rsidRPr="002339D6">
        <w:rPr>
          <w:b w:val="0"/>
          <w:sz w:val="22"/>
          <w:szCs w:val="22"/>
        </w:rPr>
        <w:t xml:space="preserve">E-mail address: </w:t>
      </w:r>
      <w:r>
        <w:rPr>
          <w:b w:val="0"/>
          <w:sz w:val="22"/>
          <w:szCs w:val="22"/>
        </w:rPr>
        <w:t>alessandro</w:t>
      </w:r>
      <w:r w:rsidRPr="002339D6">
        <w:rPr>
          <w:b w:val="0"/>
          <w:sz w:val="22"/>
          <w:szCs w:val="22"/>
        </w:rPr>
        <w:t>.</w:t>
      </w:r>
      <w:r>
        <w:rPr>
          <w:b w:val="0"/>
          <w:sz w:val="22"/>
          <w:szCs w:val="22"/>
        </w:rPr>
        <w:t>sacco@unict.it</w:t>
      </w:r>
      <w:r w:rsidRPr="002339D6">
        <w:rPr>
          <w:b w:val="0"/>
          <w:sz w:val="22"/>
          <w:szCs w:val="22"/>
        </w:rPr>
        <w:t xml:space="preserve"> Phone number: 3</w:t>
      </w:r>
      <w:r>
        <w:rPr>
          <w:b w:val="0"/>
          <w:sz w:val="22"/>
          <w:szCs w:val="22"/>
        </w:rPr>
        <w:t>92</w:t>
      </w:r>
      <w:r w:rsidRPr="002339D6">
        <w:rPr>
          <w:b w:val="0"/>
          <w:sz w:val="22"/>
          <w:szCs w:val="22"/>
        </w:rPr>
        <w:t>-</w:t>
      </w:r>
      <w:r>
        <w:rPr>
          <w:b w:val="0"/>
          <w:sz w:val="22"/>
          <w:szCs w:val="22"/>
        </w:rPr>
        <w:t>6601705</w:t>
      </w:r>
    </w:p>
    <w:p w14:paraId="1AE7206E" w14:textId="64345627" w:rsidR="00434EB6" w:rsidRPr="00032E54" w:rsidRDefault="002339D6" w:rsidP="00032E54">
      <w:pPr>
        <w:pStyle w:val="Abstract"/>
        <w:spacing w:after="240"/>
        <w:jc w:val="both"/>
        <w:rPr>
          <w:rFonts w:cs="Arial"/>
          <w:i w:val="0"/>
          <w:iCs/>
          <w:lang w:val="it-IT"/>
        </w:rPr>
      </w:pPr>
      <w:r w:rsidRPr="00BD7982">
        <w:rPr>
          <w:rFonts w:cs="Arial"/>
          <w:i w:val="0"/>
          <w:iCs/>
          <w:lang w:val="it-IT"/>
        </w:rPr>
        <w:t>E-mail address: giuseppe.cirelli@unict.it (Cirelli</w:t>
      </w:r>
      <w:r w:rsidR="00BD7982" w:rsidRPr="00BD7982">
        <w:rPr>
          <w:rFonts w:cs="Arial"/>
          <w:i w:val="0"/>
          <w:iCs/>
          <w:lang w:val="it-IT"/>
        </w:rPr>
        <w:t xml:space="preserve"> G.L</w:t>
      </w:r>
      <w:r w:rsidRPr="00BD7982">
        <w:rPr>
          <w:rFonts w:cs="Arial"/>
          <w:i w:val="0"/>
          <w:iCs/>
          <w:lang w:val="it-IT"/>
        </w:rPr>
        <w:t>)</w:t>
      </w:r>
      <w:r w:rsidR="00BD7982" w:rsidRPr="00BD7982">
        <w:rPr>
          <w:rFonts w:cs="Arial"/>
          <w:i w:val="0"/>
          <w:iCs/>
          <w:lang w:val="it-IT"/>
        </w:rPr>
        <w:t>; salvo.barresi92@gmail.com (Barresi S.); feliciana.licciardello@unict.it (Licc</w:t>
      </w:r>
      <w:r w:rsidR="00BD7982">
        <w:rPr>
          <w:rFonts w:cs="Arial"/>
          <w:i w:val="0"/>
          <w:iCs/>
          <w:lang w:val="it-IT"/>
        </w:rPr>
        <w:t>iardello F.)</w:t>
      </w:r>
    </w:p>
    <w:p w14:paraId="2FD3E3BE" w14:textId="587A2C4C" w:rsidR="00434EB6" w:rsidRDefault="00434EB6">
      <w:pPr>
        <w:pStyle w:val="Keywords"/>
        <w:jc w:val="both"/>
      </w:pPr>
      <w:r>
        <w:rPr>
          <w:b/>
        </w:rPr>
        <w:t>Keywords</w:t>
      </w:r>
      <w:r w:rsidR="000566F4">
        <w:rPr>
          <w:b/>
        </w:rPr>
        <w:t>: Treatment wetland, clogging</w:t>
      </w:r>
      <w:r w:rsidR="002339D6">
        <w:rPr>
          <w:b/>
        </w:rPr>
        <w:t>, porous medium</w:t>
      </w:r>
      <w:r w:rsidR="003C340F">
        <w:rPr>
          <w:b/>
        </w:rPr>
        <w:t>, accumulated solids</w:t>
      </w:r>
    </w:p>
    <w:p w14:paraId="5C0C7012" w14:textId="77777777" w:rsidR="00032E54" w:rsidRDefault="00434EB6" w:rsidP="000425D5">
      <w:pPr>
        <w:pStyle w:val="Abstract"/>
        <w:spacing w:before="0" w:after="240"/>
        <w:jc w:val="both"/>
        <w:rPr>
          <w:rFonts w:cs="Arial"/>
          <w:i w:val="0"/>
          <w:iCs/>
          <w:szCs w:val="22"/>
        </w:rPr>
      </w:pPr>
      <w:r w:rsidRPr="004B5D21">
        <w:rPr>
          <w:rFonts w:cs="Arial"/>
          <w:b/>
          <w:i w:val="0"/>
          <w:iCs/>
          <w:szCs w:val="22"/>
        </w:rPr>
        <w:t>Abstract.</w:t>
      </w:r>
      <w:r w:rsidRPr="004B5D21">
        <w:rPr>
          <w:rFonts w:cs="Arial"/>
          <w:i w:val="0"/>
          <w:iCs/>
          <w:szCs w:val="22"/>
        </w:rPr>
        <w:t xml:space="preserve"> </w:t>
      </w:r>
      <w:r w:rsidR="008B0F60" w:rsidRPr="008B0F60">
        <w:rPr>
          <w:rFonts w:cs="Arial"/>
          <w:i w:val="0"/>
          <w:iCs/>
          <w:szCs w:val="22"/>
        </w:rPr>
        <w:t xml:space="preserve">Although clogging is one of the crucial issues that attracted increasing attention in the scientific community, there are still several gaps in </w:t>
      </w:r>
      <w:r w:rsidR="006B3A38">
        <w:rPr>
          <w:rFonts w:cs="Arial"/>
          <w:i w:val="0"/>
          <w:iCs/>
          <w:szCs w:val="22"/>
        </w:rPr>
        <w:t>its</w:t>
      </w:r>
      <w:r w:rsidR="006B3A38" w:rsidRPr="008B0F60">
        <w:rPr>
          <w:rFonts w:cs="Arial"/>
          <w:i w:val="0"/>
          <w:iCs/>
          <w:szCs w:val="22"/>
        </w:rPr>
        <w:t xml:space="preserve"> </w:t>
      </w:r>
      <w:r w:rsidR="008B0F60" w:rsidRPr="008B0F60">
        <w:rPr>
          <w:rFonts w:cs="Arial"/>
          <w:i w:val="0"/>
          <w:iCs/>
          <w:szCs w:val="22"/>
        </w:rPr>
        <w:t>genesis process and assessment. Void pores clogging in horizontal flow (HF) treatment wetlands (TWs) may severely impact water permeability, making the substrate prone to be clogged by solids accumulation, biofilm growth, and root filling causing hydraulic malfunction and expansive management costs. This study aims to evaluate the behaviour of three full-scale HF-TW</w:t>
      </w:r>
      <w:r w:rsidR="006B3A38">
        <w:rPr>
          <w:rFonts w:cs="Arial"/>
          <w:i w:val="0"/>
          <w:iCs/>
          <w:szCs w:val="22"/>
        </w:rPr>
        <w:t>s</w:t>
      </w:r>
      <w:r w:rsidR="008B0F60" w:rsidRPr="008B0F60">
        <w:rPr>
          <w:rFonts w:cs="Arial"/>
          <w:i w:val="0"/>
          <w:iCs/>
          <w:szCs w:val="22"/>
        </w:rPr>
        <w:t xml:space="preserve"> regarding treatment performance</w:t>
      </w:r>
      <w:r w:rsidR="00BE220F">
        <w:rPr>
          <w:rFonts w:cs="Arial"/>
          <w:i w:val="0"/>
          <w:iCs/>
          <w:szCs w:val="22"/>
        </w:rPr>
        <w:t>s</w:t>
      </w:r>
      <w:r w:rsidR="0067455B">
        <w:rPr>
          <w:rFonts w:cs="Arial"/>
          <w:i w:val="0"/>
          <w:iCs/>
          <w:szCs w:val="22"/>
        </w:rPr>
        <w:t xml:space="preserve"> and accumulated </w:t>
      </w:r>
      <w:r w:rsidR="008B0F60" w:rsidRPr="008B0F60">
        <w:rPr>
          <w:rFonts w:cs="Arial"/>
          <w:i w:val="0"/>
          <w:iCs/>
          <w:szCs w:val="22"/>
        </w:rPr>
        <w:t xml:space="preserve">solids </w:t>
      </w:r>
      <w:r w:rsidR="00BE220F">
        <w:rPr>
          <w:rFonts w:cs="Arial"/>
          <w:i w:val="0"/>
          <w:iCs/>
          <w:szCs w:val="22"/>
        </w:rPr>
        <w:t xml:space="preserve">nature and </w:t>
      </w:r>
      <w:r w:rsidR="008B0F60" w:rsidRPr="008B0F60">
        <w:rPr>
          <w:rFonts w:cs="Arial"/>
          <w:i w:val="0"/>
          <w:iCs/>
          <w:szCs w:val="22"/>
        </w:rPr>
        <w:t>build-up</w:t>
      </w:r>
      <w:r w:rsidR="00372B3E">
        <w:rPr>
          <w:rFonts w:cs="Arial"/>
          <w:i w:val="0"/>
          <w:iCs/>
          <w:szCs w:val="22"/>
        </w:rPr>
        <w:t xml:space="preserve"> </w:t>
      </w:r>
      <w:r w:rsidR="006A6C5A">
        <w:rPr>
          <w:rFonts w:cs="Arial"/>
          <w:i w:val="0"/>
          <w:iCs/>
          <w:szCs w:val="22"/>
        </w:rPr>
        <w:t xml:space="preserve">process </w:t>
      </w:r>
      <w:r w:rsidR="0067455B">
        <w:rPr>
          <w:rFonts w:cs="Arial"/>
          <w:i w:val="0"/>
          <w:iCs/>
          <w:szCs w:val="22"/>
        </w:rPr>
        <w:t xml:space="preserve">in relationship to the </w:t>
      </w:r>
      <w:r w:rsidR="00C636DF">
        <w:rPr>
          <w:rFonts w:cs="Arial"/>
          <w:i w:val="0"/>
          <w:iCs/>
          <w:szCs w:val="22"/>
        </w:rPr>
        <w:t xml:space="preserve">hydraulic conductivity </w:t>
      </w:r>
      <w:r w:rsidR="00927E88">
        <w:rPr>
          <w:rFonts w:cs="Arial"/>
          <w:i w:val="0"/>
          <w:iCs/>
          <w:szCs w:val="22"/>
        </w:rPr>
        <w:t xml:space="preserve">variation </w:t>
      </w:r>
      <w:r w:rsidR="00C636DF">
        <w:rPr>
          <w:rFonts w:cs="Arial"/>
          <w:i w:val="0"/>
          <w:iCs/>
          <w:szCs w:val="22"/>
        </w:rPr>
        <w:t xml:space="preserve">of the </w:t>
      </w:r>
      <w:r w:rsidR="008B0F60" w:rsidRPr="008B0F60">
        <w:rPr>
          <w:rFonts w:cs="Arial"/>
          <w:i w:val="0"/>
          <w:iCs/>
          <w:szCs w:val="22"/>
        </w:rPr>
        <w:t>filter medium. The first HF unit (HF</w:t>
      </w:r>
      <w:r w:rsidR="008B0F60" w:rsidRPr="008B0F60">
        <w:rPr>
          <w:rFonts w:cs="Arial"/>
          <w:i w:val="0"/>
          <w:iCs/>
          <w:szCs w:val="22"/>
          <w:vertAlign w:val="subscript"/>
        </w:rPr>
        <w:t>1</w:t>
      </w:r>
      <w:r w:rsidR="008B0F60" w:rsidRPr="008B0F60">
        <w:rPr>
          <w:rFonts w:cs="Arial"/>
          <w:i w:val="0"/>
          <w:iCs/>
          <w:szCs w:val="22"/>
        </w:rPr>
        <w:t xml:space="preserve">) planted with </w:t>
      </w:r>
      <w:r w:rsidR="008B0F60" w:rsidRPr="008B0F60">
        <w:rPr>
          <w:rFonts w:cs="Arial"/>
          <w:szCs w:val="22"/>
        </w:rPr>
        <w:t>Phragmites australis</w:t>
      </w:r>
      <w:r w:rsidR="006B3A38">
        <w:rPr>
          <w:rFonts w:cs="Arial"/>
          <w:szCs w:val="22"/>
        </w:rPr>
        <w:t>,</w:t>
      </w:r>
      <w:r w:rsidR="008B0F60" w:rsidRPr="008B0F60">
        <w:rPr>
          <w:rFonts w:cs="Arial"/>
          <w:szCs w:val="22"/>
        </w:rPr>
        <w:t xml:space="preserve"> </w:t>
      </w:r>
      <w:r w:rsidR="008B0F60" w:rsidRPr="008B0F60">
        <w:rPr>
          <w:rFonts w:cs="Arial"/>
          <w:i w:val="0"/>
          <w:iCs/>
          <w:szCs w:val="22"/>
        </w:rPr>
        <w:t>has been opera</w:t>
      </w:r>
      <w:r w:rsidR="00BD7982">
        <w:rPr>
          <w:rFonts w:cs="Arial"/>
          <w:i w:val="0"/>
          <w:iCs/>
          <w:szCs w:val="22"/>
        </w:rPr>
        <w:t>t</w:t>
      </w:r>
      <w:r w:rsidR="006B3A38">
        <w:rPr>
          <w:rFonts w:cs="Arial"/>
          <w:i w:val="0"/>
          <w:iCs/>
          <w:szCs w:val="22"/>
        </w:rPr>
        <w:t>ing</w:t>
      </w:r>
      <w:r w:rsidR="008B0F60" w:rsidRPr="008B0F60">
        <w:rPr>
          <w:rFonts w:cs="Arial"/>
          <w:i w:val="0"/>
          <w:iCs/>
          <w:szCs w:val="22"/>
        </w:rPr>
        <w:t xml:space="preserve"> for eight years </w:t>
      </w:r>
      <w:r w:rsidR="006B3A38">
        <w:rPr>
          <w:rFonts w:cs="Arial"/>
          <w:i w:val="0"/>
          <w:iCs/>
          <w:szCs w:val="22"/>
        </w:rPr>
        <w:t>working</w:t>
      </w:r>
      <w:r w:rsidR="00EC5E7B">
        <w:rPr>
          <w:rFonts w:cs="Arial"/>
          <w:i w:val="0"/>
          <w:iCs/>
          <w:szCs w:val="22"/>
        </w:rPr>
        <w:t xml:space="preserve"> as </w:t>
      </w:r>
      <w:r w:rsidR="006A6C5A">
        <w:rPr>
          <w:rFonts w:cs="Arial"/>
          <w:i w:val="0"/>
          <w:iCs/>
          <w:szCs w:val="22"/>
        </w:rPr>
        <w:t xml:space="preserve">a </w:t>
      </w:r>
      <w:r w:rsidR="00EC5E7B">
        <w:rPr>
          <w:rFonts w:cs="Arial"/>
          <w:i w:val="0"/>
          <w:iCs/>
          <w:szCs w:val="22"/>
        </w:rPr>
        <w:t xml:space="preserve">tertiary system for </w:t>
      </w:r>
      <w:r w:rsidR="008B0F60" w:rsidRPr="008B0F60">
        <w:rPr>
          <w:rFonts w:cs="Arial"/>
          <w:i w:val="0"/>
          <w:iCs/>
          <w:szCs w:val="22"/>
        </w:rPr>
        <w:t>conventional wastewater (WW). The other two (HF</w:t>
      </w:r>
      <w:r w:rsidR="008B0F60" w:rsidRPr="008B0F60">
        <w:rPr>
          <w:rFonts w:cs="Arial"/>
          <w:i w:val="0"/>
          <w:iCs/>
          <w:szCs w:val="22"/>
          <w:vertAlign w:val="subscript"/>
        </w:rPr>
        <w:t>2A</w:t>
      </w:r>
      <w:r w:rsidR="008B0F60" w:rsidRPr="008B0F60">
        <w:rPr>
          <w:rFonts w:cs="Arial"/>
          <w:i w:val="0"/>
          <w:iCs/>
          <w:szCs w:val="22"/>
        </w:rPr>
        <w:t>, HF</w:t>
      </w:r>
      <w:r w:rsidR="008B0F60" w:rsidRPr="008B0F60">
        <w:rPr>
          <w:rFonts w:cs="Arial"/>
          <w:i w:val="0"/>
          <w:iCs/>
          <w:szCs w:val="22"/>
          <w:vertAlign w:val="subscript"/>
        </w:rPr>
        <w:t>2B</w:t>
      </w:r>
      <w:r w:rsidR="008B0F60" w:rsidRPr="008B0F60">
        <w:rPr>
          <w:rFonts w:cs="Arial"/>
          <w:i w:val="0"/>
          <w:iCs/>
          <w:szCs w:val="22"/>
        </w:rPr>
        <w:t xml:space="preserve">) </w:t>
      </w:r>
      <w:r w:rsidR="006B3A38" w:rsidRPr="008B0F60">
        <w:rPr>
          <w:rFonts w:cs="Arial"/>
          <w:i w:val="0"/>
          <w:iCs/>
          <w:szCs w:val="22"/>
        </w:rPr>
        <w:t>planted with </w:t>
      </w:r>
      <w:r w:rsidR="006B3A38" w:rsidRPr="008B0F60">
        <w:rPr>
          <w:rFonts w:cs="Arial"/>
          <w:szCs w:val="22"/>
        </w:rPr>
        <w:t>Canna indica</w:t>
      </w:r>
      <w:r w:rsidR="006B3A38">
        <w:rPr>
          <w:rFonts w:cs="Arial"/>
          <w:i w:val="0"/>
          <w:iCs/>
          <w:szCs w:val="22"/>
        </w:rPr>
        <w:t xml:space="preserve">, </w:t>
      </w:r>
      <w:r w:rsidR="008B0F60" w:rsidRPr="008B0F60">
        <w:rPr>
          <w:rFonts w:cs="Arial"/>
          <w:i w:val="0"/>
          <w:iCs/>
          <w:szCs w:val="22"/>
        </w:rPr>
        <w:t>are one year old</w:t>
      </w:r>
      <w:r w:rsidR="006A1E90">
        <w:rPr>
          <w:rFonts w:cs="Arial"/>
          <w:i w:val="0"/>
          <w:iCs/>
          <w:szCs w:val="22"/>
        </w:rPr>
        <w:t xml:space="preserve"> </w:t>
      </w:r>
      <w:r w:rsidR="006B3A38">
        <w:rPr>
          <w:rFonts w:cs="Arial"/>
          <w:i w:val="0"/>
          <w:iCs/>
          <w:szCs w:val="22"/>
        </w:rPr>
        <w:t xml:space="preserve">and </w:t>
      </w:r>
      <w:r w:rsidR="00EC5E7B">
        <w:rPr>
          <w:rFonts w:cs="Arial"/>
          <w:i w:val="0"/>
          <w:iCs/>
          <w:szCs w:val="22"/>
        </w:rPr>
        <w:t>treat</w:t>
      </w:r>
      <w:r w:rsidR="00C636DF">
        <w:rPr>
          <w:rFonts w:cs="Arial"/>
          <w:i w:val="0"/>
          <w:iCs/>
          <w:szCs w:val="22"/>
        </w:rPr>
        <w:t xml:space="preserve"> diary</w:t>
      </w:r>
      <w:r w:rsidR="008B0F60" w:rsidRPr="008B0F60">
        <w:rPr>
          <w:rFonts w:cs="Arial"/>
          <w:i w:val="0"/>
          <w:iCs/>
          <w:szCs w:val="22"/>
        </w:rPr>
        <w:t xml:space="preserve"> WW. In the HF</w:t>
      </w:r>
      <w:r w:rsidR="008B0F60" w:rsidRPr="00927E88">
        <w:rPr>
          <w:rFonts w:cs="Arial"/>
          <w:i w:val="0"/>
          <w:iCs/>
          <w:szCs w:val="22"/>
          <w:vertAlign w:val="subscript"/>
        </w:rPr>
        <w:t>1</w:t>
      </w:r>
      <w:r w:rsidR="008B0F60" w:rsidRPr="008B0F60">
        <w:rPr>
          <w:rFonts w:cs="Arial"/>
          <w:i w:val="0"/>
          <w:iCs/>
          <w:szCs w:val="22"/>
        </w:rPr>
        <w:t>, the total solid (TS) concentration varied between 920 and 7381 g ∙ m</w:t>
      </w:r>
      <w:r w:rsidR="008B0F60" w:rsidRPr="00C636DF">
        <w:rPr>
          <w:rFonts w:cs="Arial"/>
          <w:i w:val="0"/>
          <w:iCs/>
          <w:szCs w:val="22"/>
          <w:vertAlign w:val="superscript"/>
        </w:rPr>
        <w:t>-3</w:t>
      </w:r>
      <w:r w:rsidR="008B0F60" w:rsidRPr="008B0F60">
        <w:rPr>
          <w:rFonts w:cs="Arial"/>
          <w:i w:val="0"/>
          <w:iCs/>
          <w:szCs w:val="22"/>
        </w:rPr>
        <w:t xml:space="preserve"> with an average value of 3154 (CV= 74.1%). The volatile solids (VS) concentration ranged from 173 to 1157 g ∙ m</w:t>
      </w:r>
      <w:r w:rsidR="008B0F60" w:rsidRPr="00C636DF">
        <w:rPr>
          <w:rFonts w:cs="Arial"/>
          <w:i w:val="0"/>
          <w:iCs/>
          <w:szCs w:val="22"/>
          <w:vertAlign w:val="superscript"/>
        </w:rPr>
        <w:t>-3</w:t>
      </w:r>
      <w:r w:rsidR="008B0F60" w:rsidRPr="008B0F60">
        <w:rPr>
          <w:rFonts w:cs="Arial"/>
          <w:i w:val="0"/>
          <w:iCs/>
          <w:szCs w:val="22"/>
        </w:rPr>
        <w:t xml:space="preserve"> with an average value of 456 g ∙ m</w:t>
      </w:r>
      <w:r w:rsidR="008B0F60" w:rsidRPr="00C636DF">
        <w:rPr>
          <w:rFonts w:cs="Arial"/>
          <w:i w:val="0"/>
          <w:iCs/>
          <w:szCs w:val="22"/>
          <w:vertAlign w:val="superscript"/>
        </w:rPr>
        <w:t>-3</w:t>
      </w:r>
      <w:r w:rsidR="008B0F60" w:rsidRPr="008B0F60">
        <w:rPr>
          <w:rFonts w:cs="Arial"/>
          <w:i w:val="0"/>
          <w:iCs/>
          <w:szCs w:val="22"/>
        </w:rPr>
        <w:t xml:space="preserve"> (CV= 61.1%). The VS fraction accounted for 20% of the TS concentration. The </w:t>
      </w:r>
      <w:r w:rsidR="006858F6">
        <w:rPr>
          <w:rFonts w:cs="Arial"/>
          <w:i w:val="0"/>
          <w:iCs/>
          <w:szCs w:val="22"/>
        </w:rPr>
        <w:t xml:space="preserve">minimum </w:t>
      </w:r>
      <w:r w:rsidR="008B0F60" w:rsidRPr="008B0F60">
        <w:rPr>
          <w:rFonts w:cs="Arial"/>
          <w:i w:val="0"/>
          <w:iCs/>
          <w:szCs w:val="22"/>
        </w:rPr>
        <w:t xml:space="preserve">and the </w:t>
      </w:r>
      <w:r w:rsidR="006858F6">
        <w:rPr>
          <w:rFonts w:cs="Arial"/>
          <w:i w:val="0"/>
          <w:iCs/>
          <w:szCs w:val="22"/>
        </w:rPr>
        <w:t>maximum</w:t>
      </w:r>
      <w:r w:rsidR="006858F6" w:rsidRPr="008B0F60">
        <w:rPr>
          <w:rFonts w:cs="Arial"/>
          <w:i w:val="0"/>
          <w:iCs/>
          <w:szCs w:val="22"/>
        </w:rPr>
        <w:t xml:space="preserve"> </w:t>
      </w:r>
      <w:r w:rsidR="008B0F60" w:rsidRPr="008B0F60">
        <w:rPr>
          <w:rFonts w:cs="Arial"/>
          <w:i w:val="0"/>
          <w:iCs/>
          <w:szCs w:val="22"/>
        </w:rPr>
        <w:t>value ratio was 8.0 and 6.7 for TS and VS, respectively</w:t>
      </w:r>
      <w:r w:rsidR="00927E88">
        <w:rPr>
          <w:rFonts w:cs="Arial"/>
          <w:i w:val="0"/>
          <w:iCs/>
          <w:szCs w:val="22"/>
        </w:rPr>
        <w:t>. The HF</w:t>
      </w:r>
      <w:r w:rsidR="00927E88" w:rsidRPr="00927E88">
        <w:rPr>
          <w:rFonts w:cs="Arial"/>
          <w:i w:val="0"/>
          <w:iCs/>
          <w:szCs w:val="22"/>
          <w:vertAlign w:val="subscript"/>
        </w:rPr>
        <w:t>1</w:t>
      </w:r>
      <w:r w:rsidR="00927E88">
        <w:rPr>
          <w:rFonts w:cs="Arial"/>
          <w:i w:val="0"/>
          <w:iCs/>
          <w:szCs w:val="22"/>
        </w:rPr>
        <w:t xml:space="preserve"> </w:t>
      </w:r>
      <w:r w:rsidR="00C636DF">
        <w:rPr>
          <w:rFonts w:cs="Arial"/>
          <w:i w:val="0"/>
          <w:iCs/>
          <w:szCs w:val="22"/>
        </w:rPr>
        <w:t>show</w:t>
      </w:r>
      <w:r w:rsidR="00927E88">
        <w:rPr>
          <w:rFonts w:cs="Arial"/>
          <w:i w:val="0"/>
          <w:iCs/>
          <w:szCs w:val="22"/>
        </w:rPr>
        <w:t>ed</w:t>
      </w:r>
      <w:r w:rsidR="00C636DF">
        <w:rPr>
          <w:rFonts w:cs="Arial"/>
          <w:i w:val="0"/>
          <w:iCs/>
          <w:szCs w:val="22"/>
        </w:rPr>
        <w:t xml:space="preserve"> </w:t>
      </w:r>
      <w:r w:rsidR="00927E88">
        <w:rPr>
          <w:rFonts w:cs="Arial"/>
          <w:i w:val="0"/>
          <w:iCs/>
          <w:szCs w:val="22"/>
        </w:rPr>
        <w:t xml:space="preserve">more </w:t>
      </w:r>
      <w:r w:rsidR="008B0F60" w:rsidRPr="008B0F60">
        <w:rPr>
          <w:rFonts w:cs="Arial"/>
          <w:i w:val="0"/>
          <w:iCs/>
          <w:szCs w:val="22"/>
        </w:rPr>
        <w:t xml:space="preserve">spatial variability of </w:t>
      </w:r>
      <w:r w:rsidR="00927E88">
        <w:rPr>
          <w:rFonts w:cs="Arial"/>
          <w:i w:val="0"/>
          <w:iCs/>
          <w:szCs w:val="22"/>
        </w:rPr>
        <w:t xml:space="preserve">hydraulic conductivity and </w:t>
      </w:r>
      <w:r w:rsidR="008B0F60" w:rsidRPr="008B0F60">
        <w:rPr>
          <w:rFonts w:cs="Arial"/>
          <w:i w:val="0"/>
          <w:iCs/>
          <w:szCs w:val="22"/>
        </w:rPr>
        <w:t>solid accumulation in the porous media</w:t>
      </w:r>
      <w:r w:rsidR="00927E88">
        <w:rPr>
          <w:rFonts w:cs="Arial"/>
          <w:i w:val="0"/>
          <w:iCs/>
          <w:szCs w:val="22"/>
        </w:rPr>
        <w:t xml:space="preserve"> rather </w:t>
      </w:r>
      <w:r w:rsidR="00BF71F4">
        <w:rPr>
          <w:rFonts w:cs="Arial"/>
          <w:i w:val="0"/>
          <w:iCs/>
          <w:szCs w:val="22"/>
        </w:rPr>
        <w:t xml:space="preserve">than </w:t>
      </w:r>
      <w:r w:rsidR="00BF71F4" w:rsidRPr="008B0F60">
        <w:rPr>
          <w:rFonts w:cs="Arial"/>
          <w:i w:val="0"/>
          <w:iCs/>
          <w:szCs w:val="22"/>
        </w:rPr>
        <w:t>HF</w:t>
      </w:r>
      <w:r w:rsidR="00BF71F4" w:rsidRPr="00BF71F4">
        <w:rPr>
          <w:rFonts w:cs="Arial"/>
          <w:i w:val="0"/>
          <w:iCs/>
          <w:szCs w:val="22"/>
          <w:vertAlign w:val="subscript"/>
        </w:rPr>
        <w:t>2A</w:t>
      </w:r>
      <w:r w:rsidR="00BF71F4" w:rsidRPr="00BF71F4">
        <w:rPr>
          <w:rFonts w:cs="Arial"/>
          <w:i w:val="0"/>
          <w:iCs/>
          <w:szCs w:val="22"/>
        </w:rPr>
        <w:t xml:space="preserve"> and HF</w:t>
      </w:r>
      <w:r w:rsidR="00BF71F4" w:rsidRPr="00BF71F4">
        <w:rPr>
          <w:rFonts w:cs="Arial"/>
          <w:i w:val="0"/>
          <w:iCs/>
          <w:szCs w:val="22"/>
          <w:vertAlign w:val="subscript"/>
        </w:rPr>
        <w:t>2B</w:t>
      </w:r>
      <w:r w:rsidR="00BF71F4">
        <w:rPr>
          <w:rFonts w:cs="Arial"/>
          <w:iCs/>
          <w:szCs w:val="22"/>
        </w:rPr>
        <w:t xml:space="preserve">. </w:t>
      </w:r>
      <w:r w:rsidR="008B0F60" w:rsidRPr="008B0F60">
        <w:rPr>
          <w:rFonts w:cs="Arial"/>
          <w:i w:val="0"/>
          <w:iCs/>
          <w:szCs w:val="22"/>
        </w:rPr>
        <w:t xml:space="preserve">The average concentration </w:t>
      </w:r>
      <w:r w:rsidR="006B3A38">
        <w:rPr>
          <w:rFonts w:cs="Arial"/>
          <w:i w:val="0"/>
          <w:iCs/>
          <w:szCs w:val="22"/>
        </w:rPr>
        <w:t xml:space="preserve">values </w:t>
      </w:r>
      <w:r w:rsidR="008B0F60" w:rsidRPr="008B0F60">
        <w:rPr>
          <w:rFonts w:cs="Arial"/>
          <w:i w:val="0"/>
          <w:iCs/>
          <w:szCs w:val="22"/>
        </w:rPr>
        <w:t>of TS, PRB and VS in HF</w:t>
      </w:r>
      <w:r w:rsidR="008B0F60" w:rsidRPr="008B0F60">
        <w:rPr>
          <w:rFonts w:cs="Arial"/>
          <w:i w:val="0"/>
          <w:iCs/>
          <w:szCs w:val="22"/>
          <w:vertAlign w:val="subscript"/>
        </w:rPr>
        <w:t>1</w:t>
      </w:r>
      <w:r w:rsidR="008B0F60" w:rsidRPr="008B0F60">
        <w:rPr>
          <w:rFonts w:cs="Arial"/>
          <w:i w:val="0"/>
          <w:iCs/>
          <w:szCs w:val="22"/>
        </w:rPr>
        <w:t xml:space="preserve"> </w:t>
      </w:r>
      <w:r w:rsidR="006B3A38" w:rsidRPr="008B0F60">
        <w:rPr>
          <w:rFonts w:cs="Arial"/>
          <w:i w:val="0"/>
          <w:iCs/>
          <w:szCs w:val="22"/>
        </w:rPr>
        <w:t>w</w:t>
      </w:r>
      <w:r w:rsidR="006B3A38">
        <w:rPr>
          <w:rFonts w:cs="Arial"/>
          <w:i w:val="0"/>
          <w:iCs/>
          <w:szCs w:val="22"/>
        </w:rPr>
        <w:t>ere</w:t>
      </w:r>
      <w:r w:rsidR="006B3A38" w:rsidRPr="008B0F60">
        <w:rPr>
          <w:rFonts w:cs="Arial"/>
          <w:i w:val="0"/>
          <w:iCs/>
          <w:szCs w:val="22"/>
        </w:rPr>
        <w:t xml:space="preserve"> </w:t>
      </w:r>
      <w:r w:rsidR="008B0F60" w:rsidRPr="008B0F60">
        <w:rPr>
          <w:rFonts w:cs="Arial"/>
          <w:i w:val="0"/>
          <w:iCs/>
          <w:szCs w:val="22"/>
        </w:rPr>
        <w:t xml:space="preserve">higher than </w:t>
      </w:r>
      <w:bookmarkStart w:id="0" w:name="_Hlk98252885"/>
      <w:r w:rsidR="006B3A38">
        <w:rPr>
          <w:rFonts w:cs="Arial"/>
          <w:i w:val="0"/>
          <w:iCs/>
          <w:szCs w:val="22"/>
        </w:rPr>
        <w:t xml:space="preserve">those observed in </w:t>
      </w:r>
      <w:r w:rsidR="008B0F60" w:rsidRPr="008B0F60">
        <w:rPr>
          <w:rFonts w:cs="Arial"/>
          <w:i w:val="0"/>
          <w:iCs/>
          <w:szCs w:val="22"/>
        </w:rPr>
        <w:t>HF</w:t>
      </w:r>
      <w:r w:rsidR="008B0F60" w:rsidRPr="008B0F60">
        <w:rPr>
          <w:rFonts w:cs="Arial"/>
          <w:i w:val="0"/>
          <w:iCs/>
          <w:szCs w:val="22"/>
          <w:vertAlign w:val="subscript"/>
        </w:rPr>
        <w:t>2A</w:t>
      </w:r>
      <w:r w:rsidR="008B0F60" w:rsidRPr="008B0F60">
        <w:rPr>
          <w:rFonts w:cs="Arial"/>
          <w:i w:val="0"/>
          <w:iCs/>
          <w:szCs w:val="22"/>
        </w:rPr>
        <w:t xml:space="preserve"> and </w:t>
      </w:r>
      <w:r w:rsidR="006B3A38">
        <w:rPr>
          <w:rFonts w:cs="Arial"/>
          <w:i w:val="0"/>
          <w:iCs/>
          <w:szCs w:val="22"/>
        </w:rPr>
        <w:t xml:space="preserve">in </w:t>
      </w:r>
      <w:r w:rsidR="008B0F60" w:rsidRPr="008B0F60">
        <w:rPr>
          <w:rFonts w:cs="Arial"/>
          <w:i w:val="0"/>
          <w:iCs/>
          <w:szCs w:val="22"/>
        </w:rPr>
        <w:t>HF</w:t>
      </w:r>
      <w:r w:rsidR="008B0F60" w:rsidRPr="008B0F60">
        <w:rPr>
          <w:rFonts w:cs="Arial"/>
          <w:i w:val="0"/>
          <w:iCs/>
          <w:szCs w:val="22"/>
          <w:vertAlign w:val="subscript"/>
        </w:rPr>
        <w:t>2B</w:t>
      </w:r>
      <w:bookmarkEnd w:id="0"/>
      <w:r w:rsidR="008B0F60" w:rsidRPr="008B0F60">
        <w:rPr>
          <w:rFonts w:cs="Arial"/>
          <w:i w:val="0"/>
          <w:iCs/>
          <w:szCs w:val="22"/>
        </w:rPr>
        <w:t xml:space="preserve">, and dead plants played an important role in determining the solid organic accumulation. Independently of the operational time and plant species, spatial variability of PRB concentration was high, </w:t>
      </w:r>
      <w:r w:rsidR="00C636DF">
        <w:rPr>
          <w:rFonts w:cs="Arial"/>
          <w:i w:val="0"/>
          <w:iCs/>
          <w:szCs w:val="22"/>
        </w:rPr>
        <w:t>highlighting</w:t>
      </w:r>
      <w:r w:rsidR="008B0F60" w:rsidRPr="008B0F60">
        <w:rPr>
          <w:rFonts w:cs="Arial"/>
          <w:i w:val="0"/>
          <w:iCs/>
          <w:szCs w:val="22"/>
        </w:rPr>
        <w:t xml:space="preserve"> a significant heterogeneity in the root distribution along the porous medium. As expected, in HF</w:t>
      </w:r>
      <w:r w:rsidR="008B0F60" w:rsidRPr="008B0F60">
        <w:rPr>
          <w:rFonts w:cs="Arial"/>
          <w:i w:val="0"/>
          <w:iCs/>
          <w:szCs w:val="22"/>
          <w:vertAlign w:val="subscript"/>
        </w:rPr>
        <w:t>1</w:t>
      </w:r>
      <w:r w:rsidR="008B0F60" w:rsidRPr="008B0F60">
        <w:rPr>
          <w:rFonts w:cs="Arial"/>
          <w:i w:val="0"/>
          <w:iCs/>
          <w:szCs w:val="22"/>
        </w:rPr>
        <w:t>, the inlet zone was mainly hit by the interception and sedimentation of solids</w:t>
      </w:r>
      <w:r w:rsidR="00EC5E7B">
        <w:rPr>
          <w:rFonts w:cs="Arial"/>
          <w:i w:val="0"/>
          <w:iCs/>
          <w:szCs w:val="22"/>
        </w:rPr>
        <w:t xml:space="preserve"> and </w:t>
      </w:r>
      <w:r w:rsidR="00DF1B77">
        <w:rPr>
          <w:rFonts w:cs="Arial"/>
          <w:i w:val="0"/>
          <w:iCs/>
          <w:szCs w:val="22"/>
        </w:rPr>
        <w:t xml:space="preserve">it </w:t>
      </w:r>
      <w:r w:rsidR="00EC5E7B">
        <w:rPr>
          <w:rFonts w:cs="Arial"/>
          <w:i w:val="0"/>
          <w:iCs/>
          <w:szCs w:val="22"/>
        </w:rPr>
        <w:t xml:space="preserve">was characterized by a severe hydraulic conductivity reduction. </w:t>
      </w:r>
      <w:r w:rsidR="008B0F60" w:rsidRPr="008B0F60">
        <w:rPr>
          <w:rFonts w:cs="Arial"/>
          <w:i w:val="0"/>
          <w:iCs/>
          <w:szCs w:val="22"/>
        </w:rPr>
        <w:t>At the same time, </w:t>
      </w:r>
      <w:r w:rsidR="0004140C" w:rsidRPr="008B0F60">
        <w:rPr>
          <w:rFonts w:cs="Arial"/>
          <w:i w:val="0"/>
          <w:iCs/>
          <w:szCs w:val="22"/>
        </w:rPr>
        <w:t>HF</w:t>
      </w:r>
      <w:r w:rsidR="0004140C" w:rsidRPr="00BF71F4">
        <w:rPr>
          <w:rFonts w:cs="Arial"/>
          <w:i w:val="0"/>
          <w:iCs/>
          <w:szCs w:val="22"/>
          <w:vertAlign w:val="subscript"/>
        </w:rPr>
        <w:t>2A</w:t>
      </w:r>
      <w:r w:rsidR="0004140C" w:rsidRPr="00BF71F4">
        <w:rPr>
          <w:rFonts w:cs="Arial"/>
          <w:i w:val="0"/>
          <w:iCs/>
          <w:szCs w:val="22"/>
        </w:rPr>
        <w:t xml:space="preserve"> and HF</w:t>
      </w:r>
      <w:r w:rsidR="0004140C" w:rsidRPr="00BF71F4">
        <w:rPr>
          <w:rFonts w:cs="Arial"/>
          <w:i w:val="0"/>
          <w:iCs/>
          <w:szCs w:val="22"/>
          <w:vertAlign w:val="subscript"/>
        </w:rPr>
        <w:t>2B</w:t>
      </w:r>
      <w:r w:rsidR="0004140C" w:rsidRPr="008B0F60" w:rsidDel="0004140C">
        <w:rPr>
          <w:rFonts w:cs="Arial"/>
          <w:i w:val="0"/>
          <w:iCs/>
          <w:szCs w:val="22"/>
        </w:rPr>
        <w:t xml:space="preserve"> </w:t>
      </w:r>
      <w:r w:rsidR="008B0F60" w:rsidRPr="008B0F60">
        <w:rPr>
          <w:rFonts w:cs="Arial"/>
          <w:i w:val="0"/>
          <w:iCs/>
          <w:szCs w:val="22"/>
        </w:rPr>
        <w:t>did not show significant differences in the spatial distribution of solid accu</w:t>
      </w:r>
      <w:r w:rsidR="0067168E">
        <w:rPr>
          <w:rFonts w:cs="Arial"/>
          <w:i w:val="0"/>
          <w:iCs/>
          <w:szCs w:val="22"/>
        </w:rPr>
        <w:t>mulated</w:t>
      </w:r>
      <w:r w:rsidR="0067455B">
        <w:rPr>
          <w:rFonts w:cs="Arial"/>
          <w:i w:val="0"/>
          <w:iCs/>
          <w:szCs w:val="22"/>
        </w:rPr>
        <w:t xml:space="preserve"> </w:t>
      </w:r>
      <w:r w:rsidR="0067168E">
        <w:rPr>
          <w:rFonts w:cs="Arial"/>
          <w:i w:val="0"/>
          <w:iCs/>
          <w:szCs w:val="22"/>
        </w:rPr>
        <w:t xml:space="preserve">which </w:t>
      </w:r>
      <w:r w:rsidR="0067455B">
        <w:rPr>
          <w:rFonts w:cs="Arial"/>
          <w:i w:val="0"/>
          <w:iCs/>
          <w:szCs w:val="22"/>
        </w:rPr>
        <w:t>recalcitrant material are predominant</w:t>
      </w:r>
      <w:r w:rsidR="000035E2">
        <w:rPr>
          <w:rFonts w:cs="Arial"/>
          <w:i w:val="0"/>
          <w:iCs/>
          <w:szCs w:val="22"/>
        </w:rPr>
        <w:t xml:space="preserve">. </w:t>
      </w:r>
      <w:r w:rsidR="00D30B7F" w:rsidRPr="00D30B7F">
        <w:rPr>
          <w:rFonts w:cs="Arial"/>
          <w:i w:val="0"/>
          <w:iCs/>
          <w:szCs w:val="22"/>
        </w:rPr>
        <w:t>Despite the different</w:t>
      </w:r>
      <w:r w:rsidR="008B0F60">
        <w:rPr>
          <w:rFonts w:cs="Arial"/>
          <w:i w:val="0"/>
          <w:iCs/>
          <w:szCs w:val="22"/>
        </w:rPr>
        <w:t xml:space="preserve"> development of</w:t>
      </w:r>
      <w:r w:rsidR="00D30B7F" w:rsidRPr="00D30B7F">
        <w:rPr>
          <w:rFonts w:cs="Arial"/>
          <w:i w:val="0"/>
          <w:iCs/>
          <w:szCs w:val="22"/>
        </w:rPr>
        <w:t> solid accumulation processes, all the systems efficiently removed the principal chemical and physical pollutants.</w:t>
      </w:r>
    </w:p>
    <w:p w14:paraId="7CE751A8" w14:textId="770A2A7A" w:rsidR="00434EB6" w:rsidRPr="000425D5" w:rsidRDefault="000425D5" w:rsidP="000425D5">
      <w:pPr>
        <w:pStyle w:val="Abstract"/>
        <w:spacing w:before="0" w:after="240"/>
        <w:jc w:val="both"/>
        <w:rPr>
          <w:rFonts w:cs="Arial"/>
          <w:i w:val="0"/>
          <w:iCs/>
          <w:szCs w:val="22"/>
        </w:rPr>
      </w:pPr>
      <w:r>
        <w:rPr>
          <w:rFonts w:cs="Arial"/>
          <w:i w:val="0"/>
          <w:iCs/>
          <w:szCs w:val="22"/>
        </w:rPr>
        <w:t>*C</w:t>
      </w:r>
      <w:r w:rsidR="003C340F">
        <w:rPr>
          <w:rFonts w:cs="Arial"/>
          <w:i w:val="0"/>
          <w:iCs/>
        </w:rPr>
        <w:t xml:space="preserve">orresponding author. </w:t>
      </w:r>
      <w:r w:rsidR="00CD4759">
        <w:rPr>
          <w:rFonts w:cs="Arial"/>
          <w:i w:val="0"/>
          <w:iCs/>
        </w:rPr>
        <w:t xml:space="preserve"> </w:t>
      </w:r>
    </w:p>
    <w:sectPr w:rsidR="00434EB6" w:rsidRPr="000425D5">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FC7A" w14:textId="77777777" w:rsidR="00DD52A2" w:rsidRDefault="00DD52A2">
      <w:r>
        <w:separator/>
      </w:r>
    </w:p>
  </w:endnote>
  <w:endnote w:type="continuationSeparator" w:id="0">
    <w:p w14:paraId="79132DA8" w14:textId="77777777" w:rsidR="00DD52A2" w:rsidRDefault="00DD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F953" w14:textId="77777777" w:rsidR="00DD52A2" w:rsidRDefault="00DD52A2">
      <w:r>
        <w:separator/>
      </w:r>
    </w:p>
  </w:footnote>
  <w:footnote w:type="continuationSeparator" w:id="0">
    <w:p w14:paraId="18A26FC4" w14:textId="77777777" w:rsidR="00DD52A2" w:rsidRDefault="00DD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1EA72790" w14:textId="77777777" w:rsidTr="00181530">
      <w:trPr>
        <w:cantSplit/>
        <w:trHeight w:hRule="exact" w:val="911"/>
      </w:trPr>
      <w:tc>
        <w:tcPr>
          <w:tcW w:w="926" w:type="dxa"/>
          <w:vAlign w:val="center"/>
        </w:tcPr>
        <w:p w14:paraId="0B29FCB7"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077F424E" wp14:editId="381F64C8">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4D09E51" w14:textId="77777777" w:rsidR="00DA1D82" w:rsidRDefault="00DA1D82" w:rsidP="00DA1D82">
          <w:pPr>
            <w:pStyle w:val="Intestazione"/>
            <w:rPr>
              <w:i/>
              <w:sz w:val="20"/>
              <w:lang w:val="en-GB"/>
            </w:rPr>
          </w:pPr>
        </w:p>
      </w:tc>
      <w:tc>
        <w:tcPr>
          <w:tcW w:w="7712" w:type="dxa"/>
          <w:vAlign w:val="center"/>
        </w:tcPr>
        <w:p w14:paraId="32567F37"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B5B2923"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345FA7C"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0DA581DA"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5E2"/>
    <w:rsid w:val="00003E7A"/>
    <w:rsid w:val="00032E54"/>
    <w:rsid w:val="0004140C"/>
    <w:rsid w:val="000416CA"/>
    <w:rsid w:val="000425D5"/>
    <w:rsid w:val="000566F4"/>
    <w:rsid w:val="0009005B"/>
    <w:rsid w:val="000A0AAD"/>
    <w:rsid w:val="000D3F2E"/>
    <w:rsid w:val="000E518C"/>
    <w:rsid w:val="000F6FF4"/>
    <w:rsid w:val="00115A44"/>
    <w:rsid w:val="00125A12"/>
    <w:rsid w:val="00181530"/>
    <w:rsid w:val="002339D6"/>
    <w:rsid w:val="00284268"/>
    <w:rsid w:val="003572B2"/>
    <w:rsid w:val="00365260"/>
    <w:rsid w:val="00372B3E"/>
    <w:rsid w:val="00387BD9"/>
    <w:rsid w:val="003931B4"/>
    <w:rsid w:val="003B77E0"/>
    <w:rsid w:val="003C340F"/>
    <w:rsid w:val="003F346D"/>
    <w:rsid w:val="003F5D14"/>
    <w:rsid w:val="00434EB6"/>
    <w:rsid w:val="004B5D21"/>
    <w:rsid w:val="004C6B9E"/>
    <w:rsid w:val="004E013D"/>
    <w:rsid w:val="004E0A22"/>
    <w:rsid w:val="00525A69"/>
    <w:rsid w:val="0058471E"/>
    <w:rsid w:val="00591508"/>
    <w:rsid w:val="005A3029"/>
    <w:rsid w:val="005A41BF"/>
    <w:rsid w:val="005C461E"/>
    <w:rsid w:val="005D3192"/>
    <w:rsid w:val="005E628E"/>
    <w:rsid w:val="005F4E93"/>
    <w:rsid w:val="00614BEA"/>
    <w:rsid w:val="00622A4C"/>
    <w:rsid w:val="00655FF5"/>
    <w:rsid w:val="0067168E"/>
    <w:rsid w:val="0067455B"/>
    <w:rsid w:val="006858F6"/>
    <w:rsid w:val="006A1E90"/>
    <w:rsid w:val="006A6C5A"/>
    <w:rsid w:val="006B3A38"/>
    <w:rsid w:val="006B53CA"/>
    <w:rsid w:val="006C2472"/>
    <w:rsid w:val="006D08F4"/>
    <w:rsid w:val="006F64E6"/>
    <w:rsid w:val="007348F9"/>
    <w:rsid w:val="00734981"/>
    <w:rsid w:val="00782C7C"/>
    <w:rsid w:val="007C5B82"/>
    <w:rsid w:val="00820217"/>
    <w:rsid w:val="008B0F60"/>
    <w:rsid w:val="008C6820"/>
    <w:rsid w:val="008F795B"/>
    <w:rsid w:val="008F7CDD"/>
    <w:rsid w:val="008F7EE8"/>
    <w:rsid w:val="009169E3"/>
    <w:rsid w:val="00927E88"/>
    <w:rsid w:val="009862FA"/>
    <w:rsid w:val="0099093D"/>
    <w:rsid w:val="009C7EB7"/>
    <w:rsid w:val="00A757AE"/>
    <w:rsid w:val="00A85FE8"/>
    <w:rsid w:val="00AA39C4"/>
    <w:rsid w:val="00AE7E9C"/>
    <w:rsid w:val="00B06765"/>
    <w:rsid w:val="00B430D3"/>
    <w:rsid w:val="00B55A26"/>
    <w:rsid w:val="00B77F3D"/>
    <w:rsid w:val="00BB74BB"/>
    <w:rsid w:val="00BC4CDC"/>
    <w:rsid w:val="00BD7982"/>
    <w:rsid w:val="00BE220F"/>
    <w:rsid w:val="00BF71F4"/>
    <w:rsid w:val="00C636DF"/>
    <w:rsid w:val="00C93213"/>
    <w:rsid w:val="00CD4759"/>
    <w:rsid w:val="00CF5C81"/>
    <w:rsid w:val="00D30B7F"/>
    <w:rsid w:val="00D50D2C"/>
    <w:rsid w:val="00D76187"/>
    <w:rsid w:val="00D86538"/>
    <w:rsid w:val="00D91BC2"/>
    <w:rsid w:val="00DA1D82"/>
    <w:rsid w:val="00DB44CF"/>
    <w:rsid w:val="00DD52A2"/>
    <w:rsid w:val="00DF1B77"/>
    <w:rsid w:val="00DF66FD"/>
    <w:rsid w:val="00E02E45"/>
    <w:rsid w:val="00EC5E7B"/>
    <w:rsid w:val="00F208BF"/>
    <w:rsid w:val="00F229D0"/>
    <w:rsid w:val="00FB7D7D"/>
    <w:rsid w:val="00FD0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C3D05"/>
  <w15:docId w15:val="{48DE1DD2-88C8-4EC1-8DA4-CA959958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uiPriority w:val="20"/>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character" w:customStyle="1" w:styleId="Menzionenonrisolta3">
    <w:name w:val="Menzione non risolta3"/>
    <w:basedOn w:val="Carpredefinitoparagrafo"/>
    <w:uiPriority w:val="99"/>
    <w:semiHidden/>
    <w:unhideWhenUsed/>
    <w:rsid w:val="000566F4"/>
    <w:rPr>
      <w:color w:val="605E5C"/>
      <w:shd w:val="clear" w:color="auto" w:fill="E1DFDD"/>
    </w:rPr>
  </w:style>
  <w:style w:type="paragraph" w:styleId="PreformattatoHTML">
    <w:name w:val="HTML Preformatted"/>
    <w:basedOn w:val="Normale"/>
    <w:link w:val="PreformattatoHTMLCarattere"/>
    <w:uiPriority w:val="99"/>
    <w:semiHidden/>
    <w:unhideWhenUsed/>
    <w:rsid w:val="008C6820"/>
    <w:pPr>
      <w:spacing w:before="0"/>
    </w:pPr>
    <w:rPr>
      <w:rFonts w:ascii="Consolas" w:hAnsi="Consolas"/>
      <w:sz w:val="20"/>
    </w:rPr>
  </w:style>
  <w:style w:type="character" w:customStyle="1" w:styleId="PreformattatoHTMLCarattere">
    <w:name w:val="Preformattato HTML Carattere"/>
    <w:basedOn w:val="Carpredefinitoparagrafo"/>
    <w:link w:val="PreformattatoHTML"/>
    <w:uiPriority w:val="99"/>
    <w:semiHidden/>
    <w:rsid w:val="008C6820"/>
    <w:rPr>
      <w:rFonts w:ascii="Consolas" w:hAnsi="Consolas"/>
      <w:lang w:val="en-US" w:eastAsia="en-US"/>
    </w:rPr>
  </w:style>
  <w:style w:type="paragraph" w:styleId="Testonotaapidipagina">
    <w:name w:val="footnote text"/>
    <w:basedOn w:val="Normale"/>
    <w:link w:val="TestonotaapidipaginaCarattere"/>
    <w:uiPriority w:val="99"/>
    <w:semiHidden/>
    <w:unhideWhenUsed/>
    <w:rsid w:val="005E628E"/>
    <w:pPr>
      <w:spacing w:before="0"/>
    </w:pPr>
    <w:rPr>
      <w:sz w:val="20"/>
    </w:rPr>
  </w:style>
  <w:style w:type="character" w:customStyle="1" w:styleId="TestonotaapidipaginaCarattere">
    <w:name w:val="Testo nota a piè di pagina Carattere"/>
    <w:basedOn w:val="Carpredefinitoparagrafo"/>
    <w:link w:val="Testonotaapidipagina"/>
    <w:uiPriority w:val="99"/>
    <w:semiHidden/>
    <w:rsid w:val="005E628E"/>
    <w:rPr>
      <w:rFonts w:ascii="Arial" w:hAnsi="Arial"/>
      <w:lang w:val="en-US" w:eastAsia="en-US"/>
    </w:rPr>
  </w:style>
  <w:style w:type="character" w:styleId="Rimandonotaapidipagina">
    <w:name w:val="footnote reference"/>
    <w:basedOn w:val="Carpredefinitoparagrafo"/>
    <w:uiPriority w:val="99"/>
    <w:semiHidden/>
    <w:unhideWhenUsed/>
    <w:rsid w:val="005E628E"/>
    <w:rPr>
      <w:vertAlign w:val="superscript"/>
    </w:rPr>
  </w:style>
  <w:style w:type="character" w:styleId="Rimandocommento">
    <w:name w:val="annotation reference"/>
    <w:basedOn w:val="Carpredefinitoparagrafo"/>
    <w:uiPriority w:val="99"/>
    <w:semiHidden/>
    <w:unhideWhenUsed/>
    <w:rsid w:val="006B3A38"/>
    <w:rPr>
      <w:sz w:val="16"/>
      <w:szCs w:val="16"/>
    </w:rPr>
  </w:style>
  <w:style w:type="paragraph" w:styleId="Testocommento">
    <w:name w:val="annotation text"/>
    <w:basedOn w:val="Normale"/>
    <w:link w:val="TestocommentoCarattere"/>
    <w:uiPriority w:val="99"/>
    <w:semiHidden/>
    <w:unhideWhenUsed/>
    <w:rsid w:val="006B3A38"/>
    <w:rPr>
      <w:sz w:val="20"/>
    </w:rPr>
  </w:style>
  <w:style w:type="character" w:customStyle="1" w:styleId="TestocommentoCarattere">
    <w:name w:val="Testo commento Carattere"/>
    <w:basedOn w:val="Carpredefinitoparagrafo"/>
    <w:link w:val="Testocommento"/>
    <w:uiPriority w:val="99"/>
    <w:semiHidden/>
    <w:rsid w:val="006B3A38"/>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6B3A38"/>
    <w:rPr>
      <w:b/>
      <w:bCs/>
    </w:rPr>
  </w:style>
  <w:style w:type="character" w:customStyle="1" w:styleId="SoggettocommentoCarattere">
    <w:name w:val="Soggetto commento Carattere"/>
    <w:basedOn w:val="TestocommentoCarattere"/>
    <w:link w:val="Soggettocommento"/>
    <w:uiPriority w:val="99"/>
    <w:semiHidden/>
    <w:rsid w:val="006B3A38"/>
    <w:rPr>
      <w:rFonts w:ascii="Arial" w:hAnsi="Arial"/>
      <w:b/>
      <w:bCs/>
      <w:lang w:val="en-US" w:eastAsia="en-US"/>
    </w:rPr>
  </w:style>
  <w:style w:type="paragraph" w:styleId="Testofumetto">
    <w:name w:val="Balloon Text"/>
    <w:basedOn w:val="Normale"/>
    <w:link w:val="TestofumettoCarattere"/>
    <w:uiPriority w:val="99"/>
    <w:semiHidden/>
    <w:unhideWhenUsed/>
    <w:rsid w:val="006B3A38"/>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3A38"/>
    <w:rPr>
      <w:rFonts w:ascii="Tahoma" w:hAnsi="Tahoma" w:cs="Tahoma"/>
      <w:sz w:val="16"/>
      <w:szCs w:val="16"/>
      <w:lang w:val="en-US" w:eastAsia="en-US"/>
    </w:rPr>
  </w:style>
  <w:style w:type="paragraph" w:styleId="Revisione">
    <w:name w:val="Revision"/>
    <w:hidden/>
    <w:uiPriority w:val="99"/>
    <w:semiHidden/>
    <w:rsid w:val="006858F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82">
      <w:bodyDiv w:val="1"/>
      <w:marLeft w:val="0"/>
      <w:marRight w:val="0"/>
      <w:marTop w:val="0"/>
      <w:marBottom w:val="0"/>
      <w:divBdr>
        <w:top w:val="none" w:sz="0" w:space="0" w:color="auto"/>
        <w:left w:val="none" w:sz="0" w:space="0" w:color="auto"/>
        <w:bottom w:val="none" w:sz="0" w:space="0" w:color="auto"/>
        <w:right w:val="none" w:sz="0" w:space="0" w:color="auto"/>
      </w:divBdr>
    </w:div>
    <w:div w:id="118647177">
      <w:bodyDiv w:val="1"/>
      <w:marLeft w:val="0"/>
      <w:marRight w:val="0"/>
      <w:marTop w:val="0"/>
      <w:marBottom w:val="0"/>
      <w:divBdr>
        <w:top w:val="none" w:sz="0" w:space="0" w:color="auto"/>
        <w:left w:val="none" w:sz="0" w:space="0" w:color="auto"/>
        <w:bottom w:val="none" w:sz="0" w:space="0" w:color="auto"/>
        <w:right w:val="none" w:sz="0" w:space="0" w:color="auto"/>
      </w:divBdr>
    </w:div>
    <w:div w:id="143742172">
      <w:bodyDiv w:val="1"/>
      <w:marLeft w:val="0"/>
      <w:marRight w:val="0"/>
      <w:marTop w:val="0"/>
      <w:marBottom w:val="0"/>
      <w:divBdr>
        <w:top w:val="none" w:sz="0" w:space="0" w:color="auto"/>
        <w:left w:val="none" w:sz="0" w:space="0" w:color="auto"/>
        <w:bottom w:val="none" w:sz="0" w:space="0" w:color="auto"/>
        <w:right w:val="none" w:sz="0" w:space="0" w:color="auto"/>
      </w:divBdr>
    </w:div>
    <w:div w:id="154610617">
      <w:bodyDiv w:val="1"/>
      <w:marLeft w:val="0"/>
      <w:marRight w:val="0"/>
      <w:marTop w:val="0"/>
      <w:marBottom w:val="0"/>
      <w:divBdr>
        <w:top w:val="none" w:sz="0" w:space="0" w:color="auto"/>
        <w:left w:val="none" w:sz="0" w:space="0" w:color="auto"/>
        <w:bottom w:val="none" w:sz="0" w:space="0" w:color="auto"/>
        <w:right w:val="none" w:sz="0" w:space="0" w:color="auto"/>
      </w:divBdr>
    </w:div>
    <w:div w:id="180240212">
      <w:bodyDiv w:val="1"/>
      <w:marLeft w:val="0"/>
      <w:marRight w:val="0"/>
      <w:marTop w:val="0"/>
      <w:marBottom w:val="0"/>
      <w:divBdr>
        <w:top w:val="none" w:sz="0" w:space="0" w:color="auto"/>
        <w:left w:val="none" w:sz="0" w:space="0" w:color="auto"/>
        <w:bottom w:val="none" w:sz="0" w:space="0" w:color="auto"/>
        <w:right w:val="none" w:sz="0" w:space="0" w:color="auto"/>
      </w:divBdr>
    </w:div>
    <w:div w:id="192231288">
      <w:bodyDiv w:val="1"/>
      <w:marLeft w:val="0"/>
      <w:marRight w:val="0"/>
      <w:marTop w:val="0"/>
      <w:marBottom w:val="0"/>
      <w:divBdr>
        <w:top w:val="none" w:sz="0" w:space="0" w:color="auto"/>
        <w:left w:val="none" w:sz="0" w:space="0" w:color="auto"/>
        <w:bottom w:val="none" w:sz="0" w:space="0" w:color="auto"/>
        <w:right w:val="none" w:sz="0" w:space="0" w:color="auto"/>
      </w:divBdr>
    </w:div>
    <w:div w:id="342516606">
      <w:bodyDiv w:val="1"/>
      <w:marLeft w:val="0"/>
      <w:marRight w:val="0"/>
      <w:marTop w:val="0"/>
      <w:marBottom w:val="0"/>
      <w:divBdr>
        <w:top w:val="none" w:sz="0" w:space="0" w:color="auto"/>
        <w:left w:val="none" w:sz="0" w:space="0" w:color="auto"/>
        <w:bottom w:val="none" w:sz="0" w:space="0" w:color="auto"/>
        <w:right w:val="none" w:sz="0" w:space="0" w:color="auto"/>
      </w:divBdr>
    </w:div>
    <w:div w:id="800415979">
      <w:bodyDiv w:val="1"/>
      <w:marLeft w:val="0"/>
      <w:marRight w:val="0"/>
      <w:marTop w:val="0"/>
      <w:marBottom w:val="0"/>
      <w:divBdr>
        <w:top w:val="none" w:sz="0" w:space="0" w:color="auto"/>
        <w:left w:val="none" w:sz="0" w:space="0" w:color="auto"/>
        <w:bottom w:val="none" w:sz="0" w:space="0" w:color="auto"/>
        <w:right w:val="none" w:sz="0" w:space="0" w:color="auto"/>
      </w:divBdr>
    </w:div>
    <w:div w:id="21031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F434-7ABB-494A-990D-49F50E1B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Template>
  <TotalTime>4</TotalTime>
  <Pages>1</Pages>
  <Words>463</Words>
  <Characters>2640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3097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ALESSANDRO SACCO</cp:lastModifiedBy>
  <cp:revision>2</cp:revision>
  <cp:lastPrinted>2022-03-18T10:50:00Z</cp:lastPrinted>
  <dcterms:created xsi:type="dcterms:W3CDTF">2022-03-18T11:23:00Z</dcterms:created>
  <dcterms:modified xsi:type="dcterms:W3CDTF">2022-03-18T11:23:00Z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