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8F27F" w14:textId="5A35F387" w:rsidR="00867795" w:rsidRDefault="00FE7062" w:rsidP="00867795">
      <w:pPr>
        <w:pStyle w:val="Author"/>
        <w:ind w:left="0" w:firstLine="0"/>
        <w:jc w:val="center"/>
        <w:rPr>
          <w:kern w:val="2"/>
          <w:sz w:val="32"/>
        </w:rPr>
      </w:pPr>
      <w:r>
        <w:rPr>
          <w:kern w:val="2"/>
          <w:sz w:val="32"/>
        </w:rPr>
        <w:t>Sustainability performance of mountain food value chains</w:t>
      </w:r>
    </w:p>
    <w:p w14:paraId="706AFD69" w14:textId="6D323FF2" w:rsidR="00AE1833" w:rsidRPr="007A2DAA" w:rsidRDefault="00FE7062">
      <w:pPr>
        <w:pStyle w:val="Author"/>
        <w:jc w:val="center"/>
      </w:pPr>
      <w:r w:rsidRPr="007A2DAA">
        <w:t>P Sacco</w:t>
      </w:r>
      <w:r w:rsidR="00B85B79" w:rsidRPr="007A2DAA">
        <w:rPr>
          <w:vertAlign w:val="superscript"/>
        </w:rPr>
        <w:t>1</w:t>
      </w:r>
      <w:r w:rsidR="00B85B79" w:rsidRPr="007A2DAA">
        <w:t xml:space="preserve">*, </w:t>
      </w:r>
      <w:r w:rsidR="00E14E49" w:rsidRPr="007A2DAA">
        <w:t>D Don</w:t>
      </w:r>
      <w:r w:rsidR="00E14E49" w:rsidRPr="007A2DAA">
        <w:rPr>
          <w:vertAlign w:val="superscript"/>
        </w:rPr>
        <w:t>1</w:t>
      </w:r>
      <w:r w:rsidR="00E14E49" w:rsidRPr="007A2DAA">
        <w:t xml:space="preserve">, </w:t>
      </w:r>
      <w:bookmarkStart w:id="0" w:name="_GoBack"/>
      <w:bookmarkEnd w:id="0"/>
      <w:r w:rsidR="00B85B79" w:rsidRPr="007A2DAA">
        <w:t>L</w:t>
      </w:r>
      <w:r w:rsidR="0002212B" w:rsidRPr="007A2DAA">
        <w:t xml:space="preserve"> </w:t>
      </w:r>
      <w:r w:rsidR="00B85B79" w:rsidRPr="007A2DAA">
        <w:t>Becce</w:t>
      </w:r>
      <w:r w:rsidR="00A22967" w:rsidRPr="007A2DAA">
        <w:rPr>
          <w:vertAlign w:val="superscript"/>
        </w:rPr>
        <w:t>2</w:t>
      </w:r>
      <w:r w:rsidR="00B85B79" w:rsidRPr="007A2DAA">
        <w:t>, G</w:t>
      </w:r>
      <w:r w:rsidR="0002212B" w:rsidRPr="007A2DAA">
        <w:t xml:space="preserve"> </w:t>
      </w:r>
      <w:r w:rsidR="00B85B79" w:rsidRPr="007A2DAA">
        <w:t>Carabin</w:t>
      </w:r>
      <w:r w:rsidRPr="007A2DAA">
        <w:rPr>
          <w:vertAlign w:val="superscript"/>
        </w:rPr>
        <w:t>3</w:t>
      </w:r>
      <w:r w:rsidR="009D7535" w:rsidRPr="007A2DAA">
        <w:t xml:space="preserve">, </w:t>
      </w:r>
      <w:r w:rsidR="00A22967" w:rsidRPr="007A2DAA">
        <w:t>A Mandler</w:t>
      </w:r>
      <w:r w:rsidRPr="007A2DAA">
        <w:rPr>
          <w:vertAlign w:val="superscript"/>
        </w:rPr>
        <w:t>3</w:t>
      </w:r>
      <w:r w:rsidR="00A22967" w:rsidRPr="007A2DAA">
        <w:t xml:space="preserve"> </w:t>
      </w:r>
      <w:r w:rsidR="00B85B79" w:rsidRPr="007A2DAA">
        <w:t xml:space="preserve">and </w:t>
      </w:r>
      <w:r w:rsidRPr="007A2DAA">
        <w:t>F Mazzetto</w:t>
      </w:r>
      <w:r w:rsidR="00A22967" w:rsidRPr="007A2DAA">
        <w:rPr>
          <w:vertAlign w:val="superscript"/>
        </w:rPr>
        <w:t>3</w:t>
      </w:r>
    </w:p>
    <w:p w14:paraId="282C1B56" w14:textId="79DC2D84" w:rsidR="009D7535" w:rsidRPr="008D5512" w:rsidRDefault="00B85B79" w:rsidP="008D5512">
      <w:pPr>
        <w:pStyle w:val="Address"/>
        <w:jc w:val="center"/>
      </w:pPr>
      <w:r w:rsidRPr="008D5512">
        <w:rPr>
          <w:vertAlign w:val="superscript"/>
        </w:rPr>
        <w:t>1</w:t>
      </w:r>
      <w:r w:rsidR="00FE7062" w:rsidRPr="00FE7062">
        <w:rPr>
          <w:szCs w:val="22"/>
        </w:rPr>
        <w:t xml:space="preserve"> </w:t>
      </w:r>
      <w:r w:rsidR="00FE7062">
        <w:rPr>
          <w:szCs w:val="22"/>
        </w:rPr>
        <w:t xml:space="preserve">Fraunhofer Italia </w:t>
      </w:r>
      <w:proofErr w:type="spellStart"/>
      <w:r w:rsidR="00FE7062">
        <w:rPr>
          <w:szCs w:val="22"/>
        </w:rPr>
        <w:t>Scarl</w:t>
      </w:r>
      <w:proofErr w:type="spellEnd"/>
      <w:r w:rsidR="00FE7062" w:rsidRPr="008D5512">
        <w:rPr>
          <w:szCs w:val="22"/>
        </w:rPr>
        <w:t xml:space="preserve">, </w:t>
      </w:r>
      <w:proofErr w:type="spellStart"/>
      <w:r w:rsidR="00FE7062" w:rsidRPr="008D5512">
        <w:t>Bozen</w:t>
      </w:r>
      <w:proofErr w:type="spellEnd"/>
      <w:r w:rsidR="00FE7062" w:rsidRPr="008D5512">
        <w:t>-Bolzano</w:t>
      </w:r>
      <w:r w:rsidR="007E2718" w:rsidRPr="008D5512">
        <w:t>;</w:t>
      </w:r>
      <w:r w:rsidR="009D7535" w:rsidRPr="008D5512">
        <w:t xml:space="preserve"> </w:t>
      </w:r>
      <w:r w:rsidRPr="008D5512">
        <w:rPr>
          <w:vertAlign w:val="superscript"/>
        </w:rPr>
        <w:t>2</w:t>
      </w:r>
      <w:r w:rsidRPr="008D5512">
        <w:t xml:space="preserve">Competence Center for Plant Health of the Free University of </w:t>
      </w:r>
      <w:proofErr w:type="spellStart"/>
      <w:r w:rsidRPr="008D5512">
        <w:t>Bozen</w:t>
      </w:r>
      <w:proofErr w:type="spellEnd"/>
      <w:r w:rsidRPr="008D5512">
        <w:t>-Bolzano,</w:t>
      </w:r>
      <w:r w:rsidR="009D7535" w:rsidRPr="008D5512">
        <w:t xml:space="preserve"> </w:t>
      </w:r>
      <w:r w:rsidR="009D7535" w:rsidRPr="008D5512">
        <w:rPr>
          <w:szCs w:val="22"/>
          <w:vertAlign w:val="superscript"/>
        </w:rPr>
        <w:t>3</w:t>
      </w:r>
      <w:r w:rsidR="00FE7062" w:rsidRPr="00FE7062">
        <w:t xml:space="preserve"> </w:t>
      </w:r>
      <w:r w:rsidR="00FE7062" w:rsidRPr="008D5512">
        <w:t xml:space="preserve">Free University of </w:t>
      </w:r>
      <w:proofErr w:type="spellStart"/>
      <w:r w:rsidR="00FE7062" w:rsidRPr="008D5512">
        <w:t>Bozen</w:t>
      </w:r>
      <w:proofErr w:type="spellEnd"/>
      <w:r w:rsidR="00FE7062" w:rsidRPr="008D5512">
        <w:t>-Bolzano, Faculty of Science and Technology</w:t>
      </w:r>
    </w:p>
    <w:p w14:paraId="53888CEB" w14:textId="6470233D" w:rsidR="00AE1833" w:rsidRPr="00115CA9" w:rsidRDefault="00B95BB7">
      <w:pPr>
        <w:pStyle w:val="Address"/>
        <w:jc w:val="center"/>
      </w:pPr>
      <w:r>
        <w:rPr>
          <w:lang w:val="it-IT"/>
        </w:rPr>
        <w:t>*</w:t>
      </w:r>
      <w:proofErr w:type="spellStart"/>
      <w:r w:rsidR="00FE7062">
        <w:rPr>
          <w:lang w:val="it-IT"/>
        </w:rPr>
        <w:t>Fraunhofer</w:t>
      </w:r>
      <w:proofErr w:type="spellEnd"/>
      <w:r w:rsidR="00FE7062">
        <w:rPr>
          <w:lang w:val="it-IT"/>
        </w:rPr>
        <w:t xml:space="preserve"> Italia</w:t>
      </w:r>
      <w:r w:rsidR="009D7535" w:rsidRPr="009D7535">
        <w:rPr>
          <w:lang w:val="it-IT"/>
        </w:rPr>
        <w:t>,</w:t>
      </w:r>
      <w:r w:rsidR="00B85B79" w:rsidRPr="009D7535">
        <w:rPr>
          <w:lang w:val="it-IT"/>
        </w:rPr>
        <w:t xml:space="preserve"> </w:t>
      </w:r>
      <w:r w:rsidR="00FE7062">
        <w:rPr>
          <w:lang w:val="it-IT"/>
        </w:rPr>
        <w:t>Via Volta 13 A</w:t>
      </w:r>
      <w:r w:rsidR="00B85B79" w:rsidRPr="009D7535">
        <w:rPr>
          <w:lang w:val="it-IT"/>
        </w:rPr>
        <w:t xml:space="preserve">, 39100 Bolzano, </w:t>
      </w:r>
      <w:proofErr w:type="spellStart"/>
      <w:r w:rsidR="00B85B79" w:rsidRPr="009D7535">
        <w:rPr>
          <w:lang w:val="it-IT"/>
        </w:rPr>
        <w:t>Italy</w:t>
      </w:r>
      <w:proofErr w:type="spellEnd"/>
      <w:r w:rsidR="00B85B79" w:rsidRPr="009D7535">
        <w:rPr>
          <w:lang w:val="it-IT"/>
        </w:rPr>
        <w:t xml:space="preserve">. </w:t>
      </w:r>
      <w:r w:rsidR="00B85B79" w:rsidRPr="00115CA9">
        <w:t xml:space="preserve">(corresponding: </w:t>
      </w:r>
      <w:r w:rsidR="00FE7062" w:rsidRPr="00115CA9">
        <w:t>pasqualina</w:t>
      </w:r>
      <w:r w:rsidR="00A22967" w:rsidRPr="00115CA9">
        <w:t>.</w:t>
      </w:r>
      <w:r w:rsidR="00FE7062" w:rsidRPr="00115CA9">
        <w:t>sacco</w:t>
      </w:r>
      <w:r w:rsidR="00B85B79" w:rsidRPr="00115CA9">
        <w:rPr>
          <w:color w:val="000000"/>
        </w:rPr>
        <w:t>@</w:t>
      </w:r>
      <w:r w:rsidR="00FE7062" w:rsidRPr="00115CA9">
        <w:rPr>
          <w:color w:val="000000"/>
        </w:rPr>
        <w:t>fraunhofer</w:t>
      </w:r>
      <w:r w:rsidR="00B85B79" w:rsidRPr="00115CA9">
        <w:rPr>
          <w:color w:val="000000"/>
        </w:rPr>
        <w:t>.it)</w:t>
      </w:r>
    </w:p>
    <w:p w14:paraId="3893033D" w14:textId="77777777" w:rsidR="00AE1833" w:rsidRPr="00115CA9" w:rsidRDefault="00AE1833"/>
    <w:p w14:paraId="7AF01C44" w14:textId="155C7395" w:rsidR="00AE1833" w:rsidRDefault="00B85B79">
      <w:pPr>
        <w:pStyle w:val="Keywords"/>
        <w:jc w:val="both"/>
      </w:pPr>
      <w:r>
        <w:rPr>
          <w:b/>
        </w:rPr>
        <w:t>Keywords.</w:t>
      </w:r>
      <w:r>
        <w:t xml:space="preserve"> </w:t>
      </w:r>
      <w:r w:rsidR="00867795">
        <w:t xml:space="preserve">Mountain agriculture, </w:t>
      </w:r>
      <w:r w:rsidR="00115CA9">
        <w:t>cereal value chain, LCA, multicriteria analysis</w:t>
      </w:r>
    </w:p>
    <w:p w14:paraId="766F0295" w14:textId="7457C606" w:rsidR="003C7F8C" w:rsidRPr="003C7F8C" w:rsidRDefault="003C7F8C" w:rsidP="43BE9FF8">
      <w:pPr>
        <w:pStyle w:val="Abstract"/>
        <w:jc w:val="both"/>
        <w:rPr>
          <w:rFonts w:cs="Arial"/>
          <w:i w:val="0"/>
        </w:rPr>
      </w:pPr>
      <w:r>
        <w:rPr>
          <w:rFonts w:cs="Arial"/>
          <w:i w:val="0"/>
          <w:iCs/>
          <w:noProof/>
        </w:rPr>
        <w:drawing>
          <wp:anchor distT="0" distB="0" distL="114300" distR="114300" simplePos="0" relativeHeight="251658240" behindDoc="0" locked="0" layoutInCell="1" allowOverlap="1" wp14:anchorId="251AE3DA" wp14:editId="6FD0B30F">
            <wp:simplePos x="0" y="0"/>
            <wp:positionH relativeFrom="margin">
              <wp:align>right</wp:align>
            </wp:positionH>
            <wp:positionV relativeFrom="paragraph">
              <wp:posOffset>1018872</wp:posOffset>
            </wp:positionV>
            <wp:extent cx="3190875" cy="1674933"/>
            <wp:effectExtent l="0" t="0" r="0" b="1905"/>
            <wp:wrapSquare wrapText="bothSides"/>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97" b="12425"/>
                    <a:stretch/>
                  </pic:blipFill>
                  <pic:spPr bwMode="auto">
                    <a:xfrm>
                      <a:off x="0" y="0"/>
                      <a:ext cx="3190875" cy="16749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B79" w:rsidRPr="43BE9FF8">
        <w:rPr>
          <w:b/>
          <w:bCs/>
        </w:rPr>
        <w:t>Abstract.</w:t>
      </w:r>
      <w:r w:rsidR="00B85B79" w:rsidRPr="43BE9FF8">
        <w:rPr>
          <w:rFonts w:cs="Arial"/>
          <w:i w:val="0"/>
        </w:rPr>
        <w:t xml:space="preserve"> </w:t>
      </w:r>
      <w:r w:rsidRPr="43BE9FF8">
        <w:rPr>
          <w:rFonts w:cs="Arial"/>
          <w:i w:val="0"/>
        </w:rPr>
        <w:t xml:space="preserve">In the framework of the </w:t>
      </w:r>
      <w:proofErr w:type="spellStart"/>
      <w:r w:rsidRPr="43BE9FF8">
        <w:rPr>
          <w:rFonts w:cs="Arial"/>
          <w:i w:val="0"/>
        </w:rPr>
        <w:t>Brotweg</w:t>
      </w:r>
      <w:proofErr w:type="spellEnd"/>
      <w:r w:rsidRPr="43BE9FF8">
        <w:rPr>
          <w:rFonts w:cs="Arial"/>
          <w:i w:val="0"/>
        </w:rPr>
        <w:t xml:space="preserve"> project ("</w:t>
      </w:r>
      <w:r w:rsidRPr="00115CA9">
        <w:rPr>
          <w:rFonts w:cs="Arial"/>
          <w:iCs/>
        </w:rPr>
        <w:t>The bread route for mountain areas</w:t>
      </w:r>
      <w:r w:rsidRPr="43BE9FF8">
        <w:rPr>
          <w:rFonts w:cs="Arial"/>
          <w:i w:val="0"/>
        </w:rPr>
        <w:t xml:space="preserve">"), the performance of </w:t>
      </w:r>
      <w:r w:rsidR="00115CA9">
        <w:rPr>
          <w:rFonts w:cs="Arial"/>
          <w:i w:val="0"/>
        </w:rPr>
        <w:t xml:space="preserve">some </w:t>
      </w:r>
      <w:r w:rsidRPr="43BE9FF8">
        <w:rPr>
          <w:rFonts w:cs="Arial"/>
          <w:i w:val="0"/>
        </w:rPr>
        <w:t xml:space="preserve">alternative supply chains was evaluated. Geomorphological considerations on the territory, namely the high slopes and highly uneven terrain, meant that the chosen sites are suitable for the cultivation and processing of different types of cereals and for animal husbandry. For this reason, four alternative supply chains were considered: 1) rye-bread, 2) barley-beer, 3) cow's milk-cheese, 4) goat's milk-cheese. Regarding the cereal cases, the innovative cultivation and post-harvest methods developed during the </w:t>
      </w:r>
      <w:proofErr w:type="spellStart"/>
      <w:r w:rsidRPr="43BE9FF8">
        <w:rPr>
          <w:rFonts w:cs="Arial"/>
          <w:i w:val="0"/>
        </w:rPr>
        <w:t>Brotweg</w:t>
      </w:r>
      <w:proofErr w:type="spellEnd"/>
      <w:r w:rsidRPr="43BE9FF8">
        <w:rPr>
          <w:rFonts w:cs="Arial"/>
          <w:i w:val="0"/>
        </w:rPr>
        <w:t xml:space="preserve"> project were considered. For the dairy farming ones, the haymaking phase was also included. Two methodologies were used to assess the performance of the supply chains: Lifecycle Analysis (LCA) and Multi-Criteria Analysis (MCA). Both approaches present pros and cons, hence affecting their applicability depending on the context and decision-making processes that they must support.</w:t>
      </w:r>
    </w:p>
    <w:p w14:paraId="7D5D73D6" w14:textId="14FC37F3" w:rsidR="003C7F8C" w:rsidRPr="003C7F8C" w:rsidRDefault="003C7F8C" w:rsidP="43BE9FF8">
      <w:pPr>
        <w:pStyle w:val="Abstract"/>
        <w:jc w:val="both"/>
        <w:rPr>
          <w:rFonts w:cs="Arial"/>
          <w:i w:val="0"/>
        </w:rPr>
      </w:pPr>
      <w:r w:rsidRPr="43BE9FF8">
        <w:rPr>
          <w:rFonts w:cs="Arial"/>
          <w:i w:val="0"/>
        </w:rPr>
        <w:t xml:space="preserve">The </w:t>
      </w:r>
      <w:r w:rsidR="00115CA9">
        <w:rPr>
          <w:rFonts w:cs="Arial"/>
          <w:i w:val="0"/>
        </w:rPr>
        <w:t>paper</w:t>
      </w:r>
      <w:r w:rsidRPr="43BE9FF8">
        <w:rPr>
          <w:rFonts w:cs="Arial"/>
          <w:i w:val="0"/>
        </w:rPr>
        <w:t xml:space="preserve"> introduces the preliminary results of the supply chain analysis </w:t>
      </w:r>
      <w:r w:rsidR="00115CA9">
        <w:rPr>
          <w:rFonts w:cs="Arial"/>
          <w:i w:val="0"/>
        </w:rPr>
        <w:t xml:space="preserve">with a related critical discussion. </w:t>
      </w:r>
      <w:r w:rsidRPr="43BE9FF8">
        <w:rPr>
          <w:rFonts w:cs="Arial"/>
          <w:i w:val="0"/>
        </w:rPr>
        <w:t xml:space="preserve">In particular: </w:t>
      </w:r>
    </w:p>
    <w:p w14:paraId="246F571C" w14:textId="77777777" w:rsidR="003C7F8C" w:rsidRPr="003C7F8C" w:rsidRDefault="003C7F8C" w:rsidP="003C7F8C">
      <w:pPr>
        <w:pStyle w:val="Abstract"/>
        <w:numPr>
          <w:ilvl w:val="0"/>
          <w:numId w:val="5"/>
        </w:numPr>
        <w:ind w:left="426"/>
        <w:jc w:val="both"/>
        <w:rPr>
          <w:rFonts w:cs="Arial"/>
          <w:i w:val="0"/>
          <w:iCs/>
        </w:rPr>
      </w:pPr>
      <w:r w:rsidRPr="003C7F8C">
        <w:rPr>
          <w:rFonts w:cs="Arial"/>
          <w:i w:val="0"/>
          <w:iCs/>
        </w:rPr>
        <w:t>For both approaches there is a need for consistent knowledge of the performance of different alternative supply chains.</w:t>
      </w:r>
    </w:p>
    <w:p w14:paraId="5E6D83CB" w14:textId="6B9DBA67" w:rsidR="003C7F8C" w:rsidRPr="00115CA9" w:rsidRDefault="003C7F8C" w:rsidP="00115CA9">
      <w:pPr>
        <w:pStyle w:val="Abstract"/>
        <w:numPr>
          <w:ilvl w:val="0"/>
          <w:numId w:val="5"/>
        </w:numPr>
        <w:ind w:left="426"/>
        <w:jc w:val="both"/>
        <w:rPr>
          <w:rFonts w:cs="Arial"/>
          <w:i w:val="0"/>
        </w:rPr>
      </w:pPr>
      <w:r w:rsidRPr="43BE9FF8">
        <w:rPr>
          <w:rFonts w:cs="Arial"/>
          <w:i w:val="0"/>
        </w:rPr>
        <w:t xml:space="preserve">For territories </w:t>
      </w:r>
      <w:r w:rsidRPr="00115CA9">
        <w:rPr>
          <w:rFonts w:cs="Arial"/>
          <w:i w:val="0"/>
        </w:rPr>
        <w:t>as the</w:t>
      </w:r>
      <w:r w:rsidR="00115CA9">
        <w:rPr>
          <w:rFonts w:cs="Arial"/>
          <w:i w:val="0"/>
        </w:rPr>
        <w:t xml:space="preserve"> one here</w:t>
      </w:r>
      <w:r w:rsidRPr="00115CA9">
        <w:rPr>
          <w:rFonts w:cs="Arial"/>
          <w:i w:val="0"/>
        </w:rPr>
        <w:t xml:space="preserve"> studied, a further assessment of short supply chains (all on-farm) and cooperative models (e.g. sharing of plants and machinery) is necessary</w:t>
      </w:r>
      <w:r w:rsidR="00115CA9">
        <w:rPr>
          <w:rFonts w:cs="Arial"/>
          <w:i w:val="0"/>
        </w:rPr>
        <w:t xml:space="preserve">; in </w:t>
      </w:r>
      <w:proofErr w:type="gramStart"/>
      <w:r w:rsidR="00115CA9">
        <w:rPr>
          <w:rFonts w:cs="Arial"/>
          <w:i w:val="0"/>
        </w:rPr>
        <w:t xml:space="preserve">addition, </w:t>
      </w:r>
      <w:r w:rsidRPr="00115CA9">
        <w:rPr>
          <w:rFonts w:cs="Arial"/>
          <w:i w:val="0"/>
        </w:rPr>
        <w:t xml:space="preserve"> logistics</w:t>
      </w:r>
      <w:proofErr w:type="gramEnd"/>
      <w:r w:rsidRPr="00115CA9">
        <w:rPr>
          <w:rFonts w:cs="Arial"/>
          <w:i w:val="0"/>
        </w:rPr>
        <w:t xml:space="preserve"> considerations</w:t>
      </w:r>
      <w:r w:rsidR="00115CA9">
        <w:rPr>
          <w:rFonts w:cs="Arial"/>
          <w:i w:val="0"/>
        </w:rPr>
        <w:t xml:space="preserve"> must be even integrated.</w:t>
      </w:r>
    </w:p>
    <w:p w14:paraId="6FCBE689" w14:textId="0DDAB6F8" w:rsidR="001B2BD9" w:rsidRPr="003C7F8C" w:rsidRDefault="003C7F8C" w:rsidP="43BE9FF8">
      <w:pPr>
        <w:pStyle w:val="Abstract"/>
        <w:numPr>
          <w:ilvl w:val="0"/>
          <w:numId w:val="5"/>
        </w:numPr>
        <w:ind w:left="426"/>
        <w:jc w:val="both"/>
        <w:rPr>
          <w:rFonts w:eastAsia="Arial" w:cs="Arial"/>
          <w:i w:val="0"/>
          <w:szCs w:val="22"/>
        </w:rPr>
      </w:pPr>
      <w:r w:rsidRPr="43BE9FF8">
        <w:rPr>
          <w:rFonts w:cs="Arial"/>
          <w:i w:val="0"/>
        </w:rPr>
        <w:t xml:space="preserve">The short cereal-bread chain is an interesting </w:t>
      </w:r>
      <w:r w:rsidR="004E250F">
        <w:rPr>
          <w:rFonts w:cs="Arial"/>
          <w:i w:val="0"/>
        </w:rPr>
        <w:t xml:space="preserve">and valuable </w:t>
      </w:r>
      <w:r w:rsidRPr="43BE9FF8">
        <w:rPr>
          <w:rFonts w:cs="Arial"/>
          <w:i w:val="0"/>
        </w:rPr>
        <w:t>alternative</w:t>
      </w:r>
      <w:r w:rsidR="004E250F">
        <w:rPr>
          <w:rFonts w:cs="Arial"/>
          <w:i w:val="0"/>
        </w:rPr>
        <w:t xml:space="preserve"> from operational, environmental and economic standpoints; unfortunately, its main cons is related to </w:t>
      </w:r>
      <w:proofErr w:type="spellStart"/>
      <w:r w:rsidR="004E250F">
        <w:rPr>
          <w:rFonts w:cs="Arial"/>
          <w:i w:val="0"/>
        </w:rPr>
        <w:t>metereological</w:t>
      </w:r>
      <w:proofErr w:type="spellEnd"/>
      <w:r w:rsidRPr="43BE9FF8">
        <w:rPr>
          <w:rFonts w:cs="Arial"/>
          <w:i w:val="0"/>
        </w:rPr>
        <w:t xml:space="preserve"> risk</w:t>
      </w:r>
      <w:r w:rsidR="004E250F">
        <w:rPr>
          <w:rFonts w:cs="Arial"/>
          <w:i w:val="0"/>
        </w:rPr>
        <w:t>s</w:t>
      </w:r>
      <w:r w:rsidRPr="43BE9FF8">
        <w:rPr>
          <w:rFonts w:cs="Arial"/>
          <w:i w:val="0"/>
        </w:rPr>
        <w:t xml:space="preserve"> – e.g. loss of primary production. </w:t>
      </w:r>
      <w:r w:rsidR="004E250F">
        <w:rPr>
          <w:rFonts w:cs="Arial"/>
          <w:i w:val="0"/>
        </w:rPr>
        <w:t>A</w:t>
      </w:r>
      <w:r w:rsidRPr="43BE9FF8">
        <w:rPr>
          <w:rFonts w:cs="Arial"/>
          <w:i w:val="0"/>
        </w:rPr>
        <w:t>lternative systems linked to animal husbandry are less risky</w:t>
      </w:r>
      <w:r w:rsidR="004E250F">
        <w:rPr>
          <w:rFonts w:cs="Arial"/>
          <w:i w:val="0"/>
        </w:rPr>
        <w:t>, although more critical in relation to the major standpoints (in particular, environmental and operational).</w:t>
      </w:r>
    </w:p>
    <w:sectPr w:rsidR="001B2BD9" w:rsidRPr="003C7F8C">
      <w:headerReference w:type="default" r:id="rId8"/>
      <w:pgSz w:w="12240" w:h="15840"/>
      <w:pgMar w:top="1701" w:right="1701" w:bottom="1701" w:left="1701" w:header="720" w:footer="0" w:gutter="0"/>
      <w:pgNumType w:start="2"/>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DA3E8" w14:textId="77777777" w:rsidR="00DD27CF" w:rsidRDefault="00DD27CF">
      <w:pPr>
        <w:spacing w:before="0"/>
      </w:pPr>
      <w:r>
        <w:separator/>
      </w:r>
    </w:p>
  </w:endnote>
  <w:endnote w:type="continuationSeparator" w:id="0">
    <w:p w14:paraId="0234C840" w14:textId="77777777" w:rsidR="00DD27CF" w:rsidRDefault="00DD27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4101" w14:textId="77777777" w:rsidR="00DD27CF" w:rsidRDefault="00DD27CF">
      <w:pPr>
        <w:spacing w:before="0"/>
      </w:pPr>
      <w:r>
        <w:separator/>
      </w:r>
    </w:p>
  </w:footnote>
  <w:footnote w:type="continuationSeparator" w:id="0">
    <w:p w14:paraId="721FC18D" w14:textId="77777777" w:rsidR="00DD27CF" w:rsidRDefault="00DD27C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Layout w:type="fixed"/>
      <w:tblCellMar>
        <w:left w:w="0" w:type="dxa"/>
        <w:right w:w="0" w:type="dxa"/>
      </w:tblCellMar>
      <w:tblLook w:val="04A0" w:firstRow="1" w:lastRow="0" w:firstColumn="1" w:lastColumn="0" w:noHBand="0" w:noVBand="1"/>
    </w:tblPr>
    <w:tblGrid>
      <w:gridCol w:w="926"/>
      <w:gridCol w:w="614"/>
      <w:gridCol w:w="7715"/>
    </w:tblGrid>
    <w:tr w:rsidR="00AE1833" w14:paraId="21F63C0B" w14:textId="77777777">
      <w:trPr>
        <w:cantSplit/>
        <w:trHeight w:hRule="exact" w:val="911"/>
      </w:trPr>
      <w:tc>
        <w:tcPr>
          <w:tcW w:w="926" w:type="dxa"/>
          <w:tcBorders>
            <w:top w:val="nil"/>
            <w:left w:val="nil"/>
            <w:bottom w:val="nil"/>
            <w:right w:val="nil"/>
          </w:tcBorders>
          <w:vAlign w:val="center"/>
        </w:tcPr>
        <w:p w14:paraId="24FD2431" w14:textId="77777777" w:rsidR="00AE1833" w:rsidRDefault="00B85B79">
          <w:pPr>
            <w:pStyle w:val="Intestazione"/>
            <w:widowControl w:val="0"/>
            <w:jc w:val="center"/>
            <w:rPr>
              <w:i/>
              <w:sz w:val="20"/>
              <w:lang w:val="en-GB"/>
            </w:rPr>
          </w:pPr>
          <w:r>
            <w:rPr>
              <w:i/>
              <w:noProof/>
              <w:sz w:val="20"/>
              <w:lang w:val="en-GB"/>
            </w:rPr>
            <w:drawing>
              <wp:anchor distT="0" distB="0" distL="0" distR="0" simplePos="0" relativeHeight="3" behindDoc="1" locked="0" layoutInCell="1" allowOverlap="1" wp14:anchorId="37675BFA" wp14:editId="13406728">
                <wp:simplePos x="0" y="0"/>
                <wp:positionH relativeFrom="column">
                  <wp:posOffset>-3810</wp:posOffset>
                </wp:positionH>
                <wp:positionV relativeFrom="paragraph">
                  <wp:posOffset>76200</wp:posOffset>
                </wp:positionV>
                <wp:extent cx="539750" cy="539750"/>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p>
      </w:tc>
      <w:tc>
        <w:tcPr>
          <w:tcW w:w="614" w:type="dxa"/>
          <w:tcBorders>
            <w:top w:val="nil"/>
            <w:left w:val="nil"/>
            <w:bottom w:val="nil"/>
            <w:right w:val="nil"/>
          </w:tcBorders>
        </w:tcPr>
        <w:p w14:paraId="1E6220C7" w14:textId="77777777" w:rsidR="00AE1833" w:rsidRDefault="00AE1833">
          <w:pPr>
            <w:pStyle w:val="Intestazione"/>
            <w:widowControl w:val="0"/>
            <w:rPr>
              <w:i/>
              <w:sz w:val="20"/>
              <w:lang w:val="en-GB"/>
            </w:rPr>
          </w:pPr>
        </w:p>
      </w:tc>
      <w:tc>
        <w:tcPr>
          <w:tcW w:w="7715" w:type="dxa"/>
          <w:tcBorders>
            <w:top w:val="nil"/>
            <w:left w:val="nil"/>
            <w:bottom w:val="nil"/>
            <w:right w:val="nil"/>
          </w:tcBorders>
          <w:vAlign w:val="center"/>
        </w:tcPr>
        <w:p w14:paraId="359035E1" w14:textId="77777777" w:rsidR="00AE1833" w:rsidRDefault="00B85B79">
          <w:pPr>
            <w:pStyle w:val="Intestazione"/>
            <w:widowControl w:val="0"/>
            <w:spacing w:before="0"/>
            <w:rPr>
              <w:i/>
              <w:sz w:val="20"/>
              <w:lang w:val="en-GB"/>
            </w:rPr>
          </w:pPr>
          <w:r>
            <w:rPr>
              <w:rFonts w:eastAsia="Times New Roman"/>
              <w:i/>
              <w:sz w:val="20"/>
              <w:lang w:val="en-GB"/>
            </w:rPr>
            <w:t>12</w:t>
          </w:r>
          <w:r>
            <w:rPr>
              <w:rFonts w:eastAsia="Times New Roman"/>
              <w:i/>
              <w:sz w:val="20"/>
              <w:vertAlign w:val="superscript"/>
              <w:lang w:val="en-GB"/>
            </w:rPr>
            <w:t>th</w:t>
          </w:r>
          <w:r>
            <w:rPr>
              <w:rFonts w:eastAsia="Times New Roman"/>
              <w:i/>
              <w:sz w:val="20"/>
              <w:lang w:val="en-GB"/>
            </w:rPr>
            <w:t xml:space="preserve"> International AIIA Conference: September 19-22, 2022 Palermo - Italy</w:t>
          </w:r>
        </w:p>
        <w:p w14:paraId="786FCC6E" w14:textId="77777777" w:rsidR="00AE1833" w:rsidRDefault="00B85B79">
          <w:pPr>
            <w:pStyle w:val="Intestazione"/>
            <w:widowControl w:val="0"/>
            <w:rPr>
              <w:i/>
              <w:sz w:val="20"/>
              <w:lang w:val="en-GB"/>
            </w:rPr>
          </w:pPr>
          <w:r>
            <w:rPr>
              <w:rFonts w:eastAsia="Times New Roman"/>
              <w:i/>
              <w:sz w:val="20"/>
              <w:lang w:val="en-GB"/>
            </w:rPr>
            <w:t xml:space="preserve">“Biosystems Engineering towards the Green Deal” </w:t>
          </w:r>
        </w:p>
        <w:p w14:paraId="7402940A" w14:textId="77777777" w:rsidR="00AE1833" w:rsidRDefault="00B85B79">
          <w:pPr>
            <w:pStyle w:val="Intestazione"/>
            <w:widowControl w:val="0"/>
            <w:spacing w:before="0"/>
            <w:rPr>
              <w:i/>
              <w:sz w:val="20"/>
              <w:lang w:val="en-GB"/>
            </w:rPr>
          </w:pPr>
          <w:r>
            <w:rPr>
              <w:rFonts w:eastAsia="Times New Roman"/>
              <w:i/>
              <w:sz w:val="20"/>
              <w:lang w:val="en-GB"/>
            </w:rPr>
            <w:t>Improving the resilience of agriculture, forestry and food systems in the post-Covid era</w:t>
          </w:r>
        </w:p>
      </w:tc>
    </w:tr>
  </w:tbl>
  <w:p w14:paraId="7E6A47EF" w14:textId="77777777" w:rsidR="00AE1833" w:rsidRDefault="00AE183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4FA0"/>
    <w:multiLevelType w:val="multilevel"/>
    <w:tmpl w:val="055CF924"/>
    <w:lvl w:ilvl="0">
      <w:start w:val="1"/>
      <w:numFmt w:val="bullet"/>
      <w:pStyle w:val="Puntoelenco"/>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E71B1D"/>
    <w:multiLevelType w:val="multilevel"/>
    <w:tmpl w:val="E15C1E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2A06B8"/>
    <w:multiLevelType w:val="hybridMultilevel"/>
    <w:tmpl w:val="03F6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9C5AA5"/>
    <w:multiLevelType w:val="multilevel"/>
    <w:tmpl w:val="8F4242F6"/>
    <w:lvl w:ilvl="0">
      <w:start w:val="1"/>
      <w:numFmt w:val="decimal"/>
      <w:pStyle w:val="Numeroelenco"/>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D9D5375"/>
    <w:multiLevelType w:val="multilevel"/>
    <w:tmpl w:val="FEDE57C8"/>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33"/>
    <w:rsid w:val="0000536A"/>
    <w:rsid w:val="00005D0B"/>
    <w:rsid w:val="0002212B"/>
    <w:rsid w:val="00115CA9"/>
    <w:rsid w:val="00181172"/>
    <w:rsid w:val="001B2BD9"/>
    <w:rsid w:val="001D7A7B"/>
    <w:rsid w:val="00204BB7"/>
    <w:rsid w:val="002A66C0"/>
    <w:rsid w:val="002D0302"/>
    <w:rsid w:val="003C7F8C"/>
    <w:rsid w:val="004E1D66"/>
    <w:rsid w:val="004E250F"/>
    <w:rsid w:val="00667146"/>
    <w:rsid w:val="007A2DAA"/>
    <w:rsid w:val="007E2718"/>
    <w:rsid w:val="00867795"/>
    <w:rsid w:val="008D5512"/>
    <w:rsid w:val="009D7535"/>
    <w:rsid w:val="00A04CFF"/>
    <w:rsid w:val="00A14FDB"/>
    <w:rsid w:val="00A22967"/>
    <w:rsid w:val="00AE1833"/>
    <w:rsid w:val="00AE43D4"/>
    <w:rsid w:val="00B85B79"/>
    <w:rsid w:val="00B95BB7"/>
    <w:rsid w:val="00CE777F"/>
    <w:rsid w:val="00D8269C"/>
    <w:rsid w:val="00DD27CF"/>
    <w:rsid w:val="00E14E49"/>
    <w:rsid w:val="00E60590"/>
    <w:rsid w:val="00F31455"/>
    <w:rsid w:val="00FE7062"/>
    <w:rsid w:val="0D157719"/>
    <w:rsid w:val="104D17DB"/>
    <w:rsid w:val="11E8E83C"/>
    <w:rsid w:val="1384B89D"/>
    <w:rsid w:val="150760A1"/>
    <w:rsid w:val="152088FE"/>
    <w:rsid w:val="1B8FCA82"/>
    <w:rsid w:val="1D2B9AE3"/>
    <w:rsid w:val="1EC76B44"/>
    <w:rsid w:val="2536ACC8"/>
    <w:rsid w:val="26D27D29"/>
    <w:rsid w:val="2A0A1DEB"/>
    <w:rsid w:val="3966F970"/>
    <w:rsid w:val="3C96ACAC"/>
    <w:rsid w:val="43BE9FF8"/>
    <w:rsid w:val="4BEB9AAB"/>
    <w:rsid w:val="60C3F4C1"/>
    <w:rsid w:val="68CF06A6"/>
    <w:rsid w:val="68E82F03"/>
    <w:rsid w:val="6A6AD707"/>
    <w:rsid w:val="7275E8EC"/>
    <w:rsid w:val="7A80FAD1"/>
    <w:rsid w:val="7DB89B9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CAA2"/>
  <w15:docId w15:val="{90677BC9-E1B7-49B5-99A8-67684D2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qFormat/>
  </w:style>
  <w:style w:type="character" w:customStyle="1" w:styleId="Enfasi">
    <w:name w:val="Enfasi"/>
    <w:qFormat/>
    <w:rPr>
      <w:i/>
      <w:iCs/>
    </w:rPr>
  </w:style>
  <w:style w:type="character" w:customStyle="1" w:styleId="CollegamentoInternet">
    <w:name w:val="Collegamento Internet"/>
    <w:semiHidden/>
    <w:rPr>
      <w:color w:val="0000FF"/>
      <w:u w:val="single"/>
    </w:rPr>
  </w:style>
  <w:style w:type="character" w:customStyle="1" w:styleId="CollegamentoInternetvisitato">
    <w:name w:val="Collegamento Internet visitato"/>
    <w:semiHidden/>
    <w:rPr>
      <w:color w:val="800080"/>
      <w:u w:val="single"/>
    </w:rPr>
  </w:style>
  <w:style w:type="character" w:customStyle="1" w:styleId="Menzionenonrisolta1">
    <w:name w:val="Menzione non risolta1"/>
    <w:basedOn w:val="Carpredefinitoparagrafo"/>
    <w:uiPriority w:val="99"/>
    <w:semiHidden/>
    <w:unhideWhenUsed/>
    <w:qFormat/>
    <w:rsid w:val="006C2472"/>
    <w:rPr>
      <w:color w:val="605E5C"/>
      <w:shd w:val="clear" w:color="auto" w:fill="E1DFDD"/>
    </w:rPr>
  </w:style>
  <w:style w:type="character" w:styleId="Menzionenonrisolta">
    <w:name w:val="Unresolved Mention"/>
    <w:basedOn w:val="Carpredefinitoparagrafo"/>
    <w:uiPriority w:val="99"/>
    <w:semiHidden/>
    <w:unhideWhenUsed/>
    <w:qFormat/>
    <w:rsid w:val="008F7CDD"/>
    <w:rPr>
      <w:color w:val="605E5C"/>
      <w:shd w:val="clear" w:color="auto" w:fill="E1DFDD"/>
    </w:rPr>
  </w:style>
  <w:style w:type="character" w:customStyle="1" w:styleId="Caratteridinumerazione">
    <w:name w:val="Caratteri di numerazione"/>
    <w:qFormat/>
    <w:rPr>
      <w:sz w:val="16"/>
      <w:szCs w:val="16"/>
    </w:rPr>
  </w:style>
  <w:style w:type="paragraph" w:customStyle="1" w:styleId="Titolo10">
    <w:name w:val="Titolo1"/>
    <w:basedOn w:val="Normale"/>
    <w:next w:val="Corpotesto"/>
    <w:qFormat/>
    <w:pPr>
      <w:keepNext/>
      <w:spacing w:before="240" w:after="120"/>
    </w:pPr>
    <w:rPr>
      <w:rFonts w:ascii="Liberation Sans" w:eastAsia="Noto Sans CJK SC" w:hAnsi="Liberation Sans" w:cs="Lucida Sans"/>
      <w:sz w:val="28"/>
      <w:szCs w:val="28"/>
    </w:rPr>
  </w:style>
  <w:style w:type="paragraph" w:styleId="Corpotesto">
    <w:name w:val="Body Text"/>
    <w:basedOn w:val="Normale"/>
    <w:semiHidden/>
    <w:pPr>
      <w:spacing w:before="0"/>
    </w:pPr>
    <w:rPr>
      <w:rFonts w:ascii="Times New Roman" w:hAnsi="Times New Roman"/>
    </w:rPr>
  </w:style>
  <w:style w:type="paragraph" w:styleId="Elenco">
    <w:name w:val="List"/>
    <w:basedOn w:val="Corpotesto"/>
    <w:rPr>
      <w:rFonts w:cs="Lucida Sans"/>
    </w:rPr>
  </w:style>
  <w:style w:type="paragraph" w:styleId="Didascalia">
    <w:name w:val="caption"/>
    <w:basedOn w:val="Normale"/>
    <w:qFormat/>
    <w:pPr>
      <w:suppressLineNumbers/>
      <w:spacing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itolo">
    <w:name w:val="Title"/>
    <w:basedOn w:val="Normale"/>
    <w:next w:val="Author"/>
    <w:qFormat/>
    <w:pPr>
      <w:spacing w:before="360" w:after="360"/>
      <w:ind w:left="720" w:right="720"/>
      <w:jc w:val="center"/>
      <w:outlineLvl w:val="0"/>
    </w:pPr>
    <w:rPr>
      <w:b/>
      <w:kern w:val="2"/>
      <w:sz w:val="32"/>
    </w:rPr>
  </w:style>
  <w:style w:type="paragraph" w:customStyle="1" w:styleId="Author">
    <w:name w:val="Author"/>
    <w:basedOn w:val="Normale"/>
    <w:next w:val="Normale"/>
    <w:qFormat/>
    <w:pPr>
      <w:ind w:left="720" w:hanging="720"/>
    </w:pPr>
    <w:rPr>
      <w:b/>
      <w:sz w:val="24"/>
    </w:rPr>
  </w:style>
  <w:style w:type="paragraph" w:customStyle="1" w:styleId="Address">
    <w:name w:val="Address"/>
    <w:basedOn w:val="Normale"/>
    <w:next w:val="Author"/>
    <w:qFormat/>
    <w:pPr>
      <w:spacing w:after="60"/>
      <w:ind w:left="720"/>
    </w:pPr>
  </w:style>
  <w:style w:type="paragraph" w:customStyle="1" w:styleId="ConfName">
    <w:name w:val="ConfName"/>
    <w:basedOn w:val="Normale"/>
    <w:next w:val="ConfLocation"/>
    <w:qFormat/>
    <w:pPr>
      <w:spacing w:before="240"/>
      <w:ind w:left="720" w:right="720"/>
      <w:jc w:val="center"/>
      <w:outlineLvl w:val="0"/>
    </w:pPr>
    <w:rPr>
      <w:b/>
      <w:kern w:val="2"/>
      <w:sz w:val="24"/>
    </w:rPr>
  </w:style>
  <w:style w:type="paragraph" w:customStyle="1" w:styleId="ConfLocation">
    <w:name w:val="ConfLocation"/>
    <w:basedOn w:val="ConfName"/>
    <w:next w:val="ConfDate"/>
    <w:qFormat/>
    <w:pPr>
      <w:spacing w:before="0"/>
      <w:outlineLvl w:val="9"/>
    </w:pPr>
  </w:style>
  <w:style w:type="paragraph" w:customStyle="1" w:styleId="ConfDate">
    <w:name w:val="ConfDate"/>
    <w:basedOn w:val="ConfLocation"/>
    <w:next w:val="ConfSponsor"/>
    <w:qFormat/>
  </w:style>
  <w:style w:type="paragraph" w:customStyle="1" w:styleId="ConfSponsor">
    <w:name w:val="ConfSponsor"/>
    <w:basedOn w:val="ConfDate"/>
    <w:next w:val="Normale"/>
    <w:qFormat/>
  </w:style>
  <w:style w:type="paragraph" w:customStyle="1" w:styleId="Keywords">
    <w:name w:val="Keywords"/>
    <w:basedOn w:val="Normale"/>
    <w:next w:val="Introduction"/>
    <w:qFormat/>
    <w:pPr>
      <w:spacing w:after="240"/>
      <w:outlineLvl w:val="0"/>
    </w:pPr>
    <w:rPr>
      <w:kern w:val="2"/>
    </w:rPr>
  </w:style>
  <w:style w:type="paragraph" w:customStyle="1" w:styleId="Introduction">
    <w:name w:val="Introduction"/>
    <w:basedOn w:val="Titolo1"/>
    <w:next w:val="Normale"/>
    <w:qFormat/>
    <w:pPr>
      <w:outlineLvl w:val="9"/>
    </w:pPr>
  </w:style>
  <w:style w:type="paragraph" w:customStyle="1" w:styleId="Disclaimer">
    <w:name w:val="Disclaimer"/>
    <w:basedOn w:val="Normale"/>
    <w:qFormat/>
    <w:pPr>
      <w:pBdr>
        <w:top w:val="single" w:sz="4" w:space="1" w:color="000000"/>
      </w:pBdr>
      <w:spacing w:before="60"/>
      <w:jc w:val="both"/>
    </w:pPr>
    <w:rPr>
      <w:kern w:val="2"/>
      <w:sz w:val="16"/>
    </w:rPr>
  </w:style>
  <w:style w:type="paragraph" w:customStyle="1" w:styleId="Conclusion">
    <w:name w:val="Conclusion"/>
    <w:basedOn w:val="Titolo1"/>
    <w:next w:val="Normale"/>
    <w:qFormat/>
    <w:pPr>
      <w:outlineLvl w:val="9"/>
    </w:pPr>
  </w:style>
  <w:style w:type="paragraph" w:customStyle="1" w:styleId="Figura">
    <w:name w:val="Figura"/>
    <w:basedOn w:val="Normale"/>
    <w:next w:val="Normale"/>
    <w:qFormat/>
    <w:pPr>
      <w:spacing w:after="60"/>
      <w:jc w:val="center"/>
    </w:pPr>
    <w:rPr>
      <w:kern w:val="2"/>
      <w:sz w:val="24"/>
    </w:rPr>
  </w:style>
  <w:style w:type="paragraph" w:customStyle="1" w:styleId="RefTitle">
    <w:name w:val="Ref Title"/>
    <w:basedOn w:val="Titolo1"/>
    <w:next w:val="RefListing"/>
    <w:qFormat/>
    <w:pPr>
      <w:outlineLvl w:val="9"/>
    </w:pPr>
  </w:style>
  <w:style w:type="paragraph" w:customStyle="1" w:styleId="RefListing">
    <w:name w:val="RefListing"/>
    <w:basedOn w:val="Normale"/>
    <w:qFormat/>
    <w:pPr>
      <w:spacing w:before="60"/>
      <w:ind w:left="720" w:hanging="720"/>
    </w:pPr>
    <w:rPr>
      <w:kern w:val="2"/>
    </w:rPr>
  </w:style>
  <w:style w:type="paragraph" w:customStyle="1" w:styleId="PaperNumber">
    <w:name w:val="PaperNumber"/>
    <w:next w:val="Normale"/>
    <w:qFormat/>
    <w:pPr>
      <w:widowControl w:val="0"/>
      <w:jc w:val="right"/>
    </w:pPr>
    <w:rPr>
      <w:rFonts w:ascii="Arial" w:hAnsi="Arial"/>
      <w:sz w:val="24"/>
      <w:lang w:val="en-US" w:eastAsia="en-US"/>
    </w:rPr>
  </w:style>
  <w:style w:type="paragraph" w:customStyle="1" w:styleId="History">
    <w:name w:val="History"/>
    <w:basedOn w:val="Normale"/>
    <w:qFormat/>
    <w:pPr>
      <w:widowControl w:val="0"/>
      <w:spacing w:after="240"/>
      <w:ind w:left="720" w:right="720"/>
      <w:jc w:val="center"/>
    </w:pPr>
    <w:rPr>
      <w:kern w:val="2"/>
      <w:sz w:val="20"/>
    </w:rPr>
  </w:style>
  <w:style w:type="paragraph" w:customStyle="1" w:styleId="TableCaption">
    <w:name w:val="Table Caption"/>
    <w:basedOn w:val="Normale"/>
    <w:next w:val="Normale"/>
    <w:qFormat/>
    <w:pPr>
      <w:widowControl w:val="0"/>
      <w:spacing w:after="60"/>
    </w:pPr>
    <w:rPr>
      <w:kern w:val="2"/>
    </w:rPr>
  </w:style>
  <w:style w:type="paragraph" w:customStyle="1" w:styleId="FigureCaption">
    <w:name w:val="Figure Caption"/>
    <w:basedOn w:val="Normale"/>
    <w:qFormat/>
    <w:pPr>
      <w:spacing w:before="60" w:after="60"/>
      <w:jc w:val="center"/>
    </w:pPr>
    <w:rPr>
      <w:kern w:val="2"/>
    </w:rPr>
  </w:style>
  <w:style w:type="paragraph" w:customStyle="1" w:styleId="Abstract">
    <w:name w:val="Abstract"/>
    <w:basedOn w:val="Normale"/>
    <w:qFormat/>
    <w:rPr>
      <w:i/>
    </w:rPr>
  </w:style>
  <w:style w:type="paragraph" w:customStyle="1" w:styleId="Gruformel1">
    <w:name w:val="Grußformel1"/>
    <w:basedOn w:val="Titolo1"/>
    <w:next w:val="Titolo1"/>
    <w:qFormat/>
    <w:pPr>
      <w:outlineLvl w:val="9"/>
    </w:pPr>
  </w:style>
  <w:style w:type="paragraph" w:customStyle="1" w:styleId="Intestazioneepidipagina">
    <w:name w:val="Intestazione e piè di pagina"/>
    <w:basedOn w:val="Normale"/>
    <w:qFormat/>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qFormat/>
    <w:pPr>
      <w:spacing w:before="60" w:after="60"/>
    </w:pPr>
    <w:rPr>
      <w:kern w:val="2"/>
    </w:rPr>
  </w:style>
  <w:style w:type="paragraph" w:styleId="Puntoelenco">
    <w:name w:val="List Bullet"/>
    <w:basedOn w:val="Normale"/>
    <w:semiHidden/>
    <w:qFormat/>
    <w:pPr>
      <w:numPr>
        <w:numId w:val="2"/>
      </w:numPr>
      <w:spacing w:before="60" w:after="60"/>
    </w:pPr>
    <w:rPr>
      <w:kern w:val="2"/>
    </w:rPr>
  </w:style>
  <w:style w:type="paragraph" w:styleId="Numeroelenco">
    <w:name w:val="List Number"/>
    <w:basedOn w:val="Normale"/>
    <w:semiHidden/>
    <w:qFormat/>
    <w:pPr>
      <w:numPr>
        <w:numId w:val="3"/>
      </w:numPr>
      <w:spacing w:before="60" w:after="60"/>
    </w:pPr>
    <w:rPr>
      <w:kern w:val="2"/>
    </w:rPr>
  </w:style>
  <w:style w:type="paragraph" w:customStyle="1" w:styleId="Tablecontents">
    <w:name w:val="Table contents"/>
    <w:basedOn w:val="Normale"/>
    <w:qFormat/>
    <w:pPr>
      <w:spacing w:before="0"/>
    </w:pPr>
  </w:style>
  <w:style w:type="paragraph" w:customStyle="1" w:styleId="Authors">
    <w:name w:val="Authors"/>
    <w:basedOn w:val="Titolo"/>
    <w:next w:val="Affiliation"/>
    <w:qFormat/>
    <w:pPr>
      <w:keepNext/>
      <w:spacing w:before="240"/>
      <w:ind w:left="0" w:right="0"/>
      <w:outlineLvl w:val="9"/>
    </w:pPr>
    <w:rPr>
      <w:rFonts w:ascii="Times New Roman" w:hAnsi="Times New Roman"/>
      <w:sz w:val="24"/>
    </w:rPr>
  </w:style>
  <w:style w:type="paragraph" w:customStyle="1" w:styleId="Affiliation">
    <w:name w:val="Affiliation"/>
    <w:basedOn w:val="Titolo"/>
    <w:next w:val="PubInfo"/>
    <w:qFormat/>
    <w:pPr>
      <w:keepNext/>
      <w:spacing w:before="240"/>
      <w:ind w:left="0" w:right="0"/>
      <w:outlineLvl w:val="9"/>
    </w:pPr>
    <w:rPr>
      <w:rFonts w:ascii="Times New Roman" w:hAnsi="Times New Roman"/>
      <w:sz w:val="24"/>
    </w:rPr>
  </w:style>
  <w:style w:type="paragraph" w:customStyle="1" w:styleId="PubInfo">
    <w:name w:val="PubInfo"/>
    <w:basedOn w:val="Affiliation"/>
    <w:next w:val="Titolo"/>
    <w:qFormat/>
  </w:style>
  <w:style w:type="paragraph" w:styleId="Corpodeltesto2">
    <w:name w:val="Body Text 2"/>
    <w:basedOn w:val="Normale"/>
    <w:semiHidden/>
    <w:qFormat/>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qFormat/>
    <w:pPr>
      <w:spacing w:before="0"/>
    </w:pPr>
    <w:rPr>
      <w:rFonts w:ascii="Courier New" w:eastAsia="Times New Roman" w:hAnsi="Courier New" w:cs="Courier New"/>
      <w:sz w:val="20"/>
      <w:lang w:eastAsia="it-IT"/>
    </w:rPr>
  </w:style>
  <w:style w:type="table" w:styleId="Grigliatabella">
    <w:name w:val="Table Grid"/>
    <w:basedOn w:val="Tabellanormale"/>
    <w:rsid w:val="00DA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358</Words>
  <Characters>2047</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Paper No: 200000</vt:lpstr>
      <vt:lpstr>Paper No: 200000</vt:lpstr>
    </vt:vector>
  </TitlesOfParts>
  <Company>ASAE</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subject/>
  <dc:creator>ASAE</dc:creator>
  <dc:description/>
  <cp:lastModifiedBy>Sauro Pierucci</cp:lastModifiedBy>
  <cp:revision>4</cp:revision>
  <cp:lastPrinted>2003-12-04T08:59:00Z</cp:lastPrinted>
  <dcterms:created xsi:type="dcterms:W3CDTF">2022-05-05T18:40:00Z</dcterms:created>
  <dcterms:modified xsi:type="dcterms:W3CDTF">2022-08-03T15:25:00Z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