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A7F1" w14:textId="03437168" w:rsidR="00434EB6" w:rsidRDefault="00ED5743">
      <w:pPr>
        <w:pStyle w:val="Titolo"/>
        <w:ind w:left="0" w:right="49"/>
        <w:rPr>
          <w:sz w:val="28"/>
        </w:rPr>
      </w:pPr>
      <w:r>
        <w:t xml:space="preserve">Monitoring </w:t>
      </w:r>
      <w:r w:rsidR="002351E7">
        <w:t>forest condition in a protected Mediterranean coastal area by the analysis of diachronic NDVI data</w:t>
      </w:r>
    </w:p>
    <w:p w14:paraId="4BB4B845" w14:textId="0FD5C0E7" w:rsidR="00434EB6" w:rsidRPr="00E570B7" w:rsidRDefault="00E570B7">
      <w:pPr>
        <w:pStyle w:val="Author"/>
        <w:jc w:val="center"/>
        <w:rPr>
          <w:lang w:val="it-IT"/>
        </w:rPr>
      </w:pPr>
      <w:r w:rsidRPr="00E570B7">
        <w:rPr>
          <w:lang w:val="it-IT"/>
        </w:rPr>
        <w:t>Recanatesi F</w:t>
      </w:r>
      <w:r>
        <w:rPr>
          <w:vertAlign w:val="superscript"/>
          <w:lang w:val="it-IT"/>
        </w:rPr>
        <w:t>(*)</w:t>
      </w:r>
      <w:r w:rsidRPr="00E570B7">
        <w:rPr>
          <w:lang w:val="it-IT"/>
        </w:rPr>
        <w:t xml:space="preserve">., </w:t>
      </w:r>
      <w:r>
        <w:rPr>
          <w:lang w:val="it-IT"/>
        </w:rPr>
        <w:t xml:space="preserve">Marucci A., Boccia L., Caputi E., Gatti L., </w:t>
      </w:r>
      <w:r w:rsidR="005D348D">
        <w:rPr>
          <w:lang w:val="it-IT"/>
        </w:rPr>
        <w:t xml:space="preserve">Patriarca A., </w:t>
      </w:r>
      <w:r w:rsidRPr="00E570B7">
        <w:rPr>
          <w:lang w:val="it-IT"/>
        </w:rPr>
        <w:t>Ripa M.N</w:t>
      </w:r>
      <w:r>
        <w:rPr>
          <w:lang w:val="it-IT"/>
        </w:rPr>
        <w:t>.</w:t>
      </w:r>
    </w:p>
    <w:p w14:paraId="6E961913" w14:textId="1449E410" w:rsidR="00E62295" w:rsidRPr="004E3826" w:rsidRDefault="00E570B7">
      <w:pPr>
        <w:pStyle w:val="Address"/>
        <w:jc w:val="center"/>
        <w:rPr>
          <w:sz w:val="16"/>
          <w:szCs w:val="16"/>
          <w:lang w:val="it-IT"/>
        </w:rPr>
      </w:pPr>
      <w:r w:rsidRPr="00ED5743">
        <w:rPr>
          <w:sz w:val="16"/>
          <w:szCs w:val="16"/>
        </w:rPr>
        <w:t xml:space="preserve">(*) </w:t>
      </w:r>
      <w:r w:rsidR="00E62295" w:rsidRPr="00ED5743">
        <w:rPr>
          <w:sz w:val="16"/>
          <w:szCs w:val="16"/>
        </w:rPr>
        <w:t xml:space="preserve">fabio.rec@unitus.it - </w:t>
      </w:r>
      <w:r w:rsidRPr="00ED5743">
        <w:rPr>
          <w:sz w:val="16"/>
          <w:szCs w:val="16"/>
        </w:rPr>
        <w:t>Department of Agricultural and Forestry Sciences – Tuscia University</w:t>
      </w:r>
      <w:r w:rsidR="00E62295" w:rsidRPr="00ED5743">
        <w:rPr>
          <w:sz w:val="16"/>
          <w:szCs w:val="16"/>
        </w:rPr>
        <w:t xml:space="preserve">. </w:t>
      </w:r>
      <w:r w:rsidR="00E62295" w:rsidRPr="004E3826">
        <w:rPr>
          <w:sz w:val="16"/>
          <w:szCs w:val="16"/>
          <w:lang w:val="it-IT"/>
        </w:rPr>
        <w:t xml:space="preserve">Via San Camillo de Lellis </w:t>
      </w:r>
      <w:r w:rsidRPr="004E3826">
        <w:rPr>
          <w:sz w:val="16"/>
          <w:szCs w:val="16"/>
          <w:lang w:val="it-IT"/>
        </w:rPr>
        <w:t>(Viterbo)</w:t>
      </w:r>
      <w:r w:rsidR="00434EB6" w:rsidRPr="004E3826">
        <w:rPr>
          <w:sz w:val="16"/>
          <w:szCs w:val="16"/>
          <w:lang w:val="it-IT"/>
        </w:rPr>
        <w:t xml:space="preserve">, </w:t>
      </w:r>
    </w:p>
    <w:p w14:paraId="6F0E023C" w14:textId="50536B71" w:rsidR="00434EB6" w:rsidRPr="004E3826" w:rsidRDefault="001A7DFA">
      <w:pPr>
        <w:pStyle w:val="Address"/>
        <w:jc w:val="center"/>
        <w:rPr>
          <w:sz w:val="16"/>
          <w:szCs w:val="16"/>
          <w:lang w:val="it-IT"/>
        </w:rPr>
      </w:pPr>
      <w:r w:rsidRPr="004E3826">
        <w:rPr>
          <w:sz w:val="16"/>
          <w:szCs w:val="16"/>
          <w:lang w:val="it-IT"/>
        </w:rPr>
        <w:t>(marucci@unitus.it; lorenzo.boccia@unina.it; caputi.eros@gmail.com;</w:t>
      </w:r>
      <w:r w:rsidR="00ED5743" w:rsidRPr="004E3826">
        <w:rPr>
          <w:sz w:val="16"/>
          <w:szCs w:val="16"/>
          <w:lang w:val="it-IT"/>
        </w:rPr>
        <w:t xml:space="preserve"> gatti@unitus.it; </w:t>
      </w:r>
      <w:r w:rsidRPr="004E3826">
        <w:rPr>
          <w:sz w:val="16"/>
          <w:szCs w:val="16"/>
          <w:lang w:val="it-IT"/>
        </w:rPr>
        <w:t>nripa@unitus.it</w:t>
      </w:r>
      <w:r w:rsidR="00ED5743" w:rsidRPr="004E3826">
        <w:rPr>
          <w:sz w:val="16"/>
          <w:szCs w:val="16"/>
          <w:lang w:val="it-IT"/>
        </w:rPr>
        <w:t>)</w:t>
      </w:r>
    </w:p>
    <w:p w14:paraId="0778A978" w14:textId="77777777" w:rsidR="00434EB6" w:rsidRPr="004E3826" w:rsidRDefault="00434EB6">
      <w:pPr>
        <w:rPr>
          <w:lang w:val="it-IT"/>
        </w:rPr>
      </w:pPr>
    </w:p>
    <w:p w14:paraId="3B0A02D6" w14:textId="522D6CE8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E62295">
        <w:t>Remote Sensing, Protected Area, NDVI, Sentinel-2</w:t>
      </w:r>
      <w:r w:rsidR="004E3826">
        <w:t>, Vegetation indexes</w:t>
      </w:r>
    </w:p>
    <w:p w14:paraId="1BCB28DE" w14:textId="77777777" w:rsidR="00CC433D" w:rsidRPr="00CC433D" w:rsidRDefault="00434EB6" w:rsidP="00CC433D">
      <w:pPr>
        <w:pStyle w:val="Abstract"/>
        <w:jc w:val="both"/>
        <w:rPr>
          <w:rFonts w:cs="Arial"/>
          <w:i w:val="0"/>
          <w:iCs/>
          <w:szCs w:val="24"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CC433D" w:rsidRPr="00CC433D">
        <w:rPr>
          <w:rFonts w:cs="Arial"/>
          <w:i w:val="0"/>
          <w:iCs/>
          <w:szCs w:val="24"/>
        </w:rPr>
        <w:t>Climate change and human activities in particular, are important causes of the possible variations in Mediterranean basin forest health conditions. As a consequence, today, increased forest vulnerability is being reflected in a larger number of severe decline episodes associated mainly with drought. In this context, the Mediterranean area shows high forest vulnerability and a subsequent decline in its natural renewal rate.</w:t>
      </w:r>
    </w:p>
    <w:p w14:paraId="0A1BA5F6" w14:textId="5BEB8E95" w:rsidR="00434EB6" w:rsidRDefault="00CC433D" w:rsidP="00CC433D">
      <w:pPr>
        <w:pStyle w:val="Abstract"/>
        <w:jc w:val="both"/>
        <w:rPr>
          <w:rFonts w:cs="Arial"/>
          <w:bCs/>
          <w:i w:val="0"/>
          <w:iCs/>
        </w:rPr>
      </w:pPr>
      <w:r w:rsidRPr="00CC433D">
        <w:rPr>
          <w:rFonts w:cs="Arial"/>
          <w:i w:val="0"/>
          <w:iCs/>
          <w:szCs w:val="24"/>
        </w:rPr>
        <w:t>In this scenario, multi-spectral analysis of remote sensing data today represents an efficient tool for monitoring vegetation in a Mediterranean environment, where spatial resolution often represents a limiting factor due to high fragmentation and spatial distribution of forest stand.</w:t>
      </w:r>
    </w:p>
    <w:p w14:paraId="551C1E3E" w14:textId="37FD891F" w:rsidR="00434EB6" w:rsidRDefault="00CC433D" w:rsidP="00CC433D">
      <w:pPr>
        <w:pStyle w:val="Abstract"/>
        <w:jc w:val="both"/>
        <w:rPr>
          <w:rFonts w:cs="Arial"/>
          <w:i w:val="0"/>
          <w:iCs/>
        </w:rPr>
      </w:pPr>
      <w:r w:rsidRPr="00CC433D">
        <w:rPr>
          <w:rFonts w:cs="Arial"/>
          <w:i w:val="0"/>
          <w:iCs/>
        </w:rPr>
        <w:t>The aim of this study has been to map the health conditions of the Castelporziano coastal pinewood forest (Roma). To this aim, we used a diachronic NDVI index, provided by ESA Sentinel-2 images and field observations, to monitor the health status in a historic pinewood forest that has recently been affected by a rapid diffusion of pests (Tomicus destruens Woll.).</w:t>
      </w:r>
    </w:p>
    <w:p w14:paraId="0C470300" w14:textId="4D62671E" w:rsidR="009652BF" w:rsidRDefault="009652BF" w:rsidP="00CC433D">
      <w:pPr>
        <w:pStyle w:val="Abstract"/>
        <w:jc w:val="both"/>
        <w:rPr>
          <w:rFonts w:cs="Arial"/>
          <w:i w:val="0"/>
          <w:iCs/>
        </w:rPr>
      </w:pPr>
      <w:r w:rsidRPr="009652BF">
        <w:rPr>
          <w:rFonts w:cs="Arial"/>
          <w:i w:val="0"/>
          <w:iCs/>
        </w:rPr>
        <w:t>The monitoring performed allowed us to map the pinewood forest in risk classes and at the same time to provide data concerning the localization of areas showing a strong decline. Thus, we provide information useful for the correct management and planning of forestry thinning to preserve those areas of the pinewood forest not involved in the decline process.</w:t>
      </w:r>
    </w:p>
    <w:p w14:paraId="31784ADC" w14:textId="5DD3DAC3" w:rsidR="009652BF" w:rsidRDefault="00864798" w:rsidP="001A7DFA">
      <w:pPr>
        <w:pStyle w:val="Abstract"/>
        <w:jc w:val="center"/>
        <w:rPr>
          <w:rFonts w:cs="Arial"/>
          <w:i w:val="0"/>
          <w:iCs/>
        </w:rPr>
      </w:pPr>
      <w:r>
        <w:rPr>
          <w:rFonts w:cs="Arial"/>
          <w:i w:val="0"/>
          <w:iCs/>
          <w:noProof/>
        </w:rPr>
        <w:drawing>
          <wp:inline distT="0" distB="0" distL="0" distR="0" wp14:anchorId="359AC897" wp14:editId="3DAF4281">
            <wp:extent cx="3473450" cy="1767379"/>
            <wp:effectExtent l="12700" t="12700" r="6350" b="1079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7779" cy="1800111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14:paraId="1858577A" w14:textId="782EA6F9" w:rsidR="00434EB6" w:rsidRPr="001A7DFA" w:rsidRDefault="00864798" w:rsidP="001A7DFA">
      <w:pPr>
        <w:pStyle w:val="Abstract"/>
        <w:jc w:val="center"/>
        <w:rPr>
          <w:rFonts w:cs="Arial"/>
          <w:i w:val="0"/>
          <w:iCs/>
          <w:sz w:val="16"/>
          <w:szCs w:val="16"/>
        </w:rPr>
      </w:pPr>
      <w:r w:rsidRPr="001A7DFA">
        <w:rPr>
          <w:rFonts w:cs="Arial"/>
          <w:sz w:val="16"/>
          <w:szCs w:val="16"/>
        </w:rPr>
        <w:t>Figure 1.</w:t>
      </w:r>
      <w:r w:rsidR="00ED5743">
        <w:rPr>
          <w:rFonts w:cs="Arial"/>
          <w:sz w:val="16"/>
          <w:szCs w:val="16"/>
        </w:rPr>
        <w:t xml:space="preserve"> Pinewood forest:</w:t>
      </w:r>
      <w:r w:rsidRPr="001A7DFA">
        <w:rPr>
          <w:rFonts w:cs="Arial"/>
          <w:sz w:val="16"/>
          <w:szCs w:val="16"/>
        </w:rPr>
        <w:t xml:space="preserve"> NDVI classes and their evolution</w:t>
      </w:r>
      <w:r w:rsidR="001A7DFA" w:rsidRPr="001A7DFA">
        <w:rPr>
          <w:rFonts w:cs="Arial"/>
          <w:sz w:val="16"/>
          <w:szCs w:val="16"/>
        </w:rPr>
        <w:t xml:space="preserve"> for the period 2015-2021</w:t>
      </w:r>
    </w:p>
    <w:sectPr w:rsidR="00434EB6" w:rsidRPr="001A7DFA">
      <w:headerReference w:type="default" r:id="rId8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497A7" w14:textId="77777777" w:rsidR="00A83F8F" w:rsidRDefault="00A83F8F">
      <w:r>
        <w:separator/>
      </w:r>
    </w:p>
  </w:endnote>
  <w:endnote w:type="continuationSeparator" w:id="0">
    <w:p w14:paraId="7CAE8CE5" w14:textId="77777777" w:rsidR="00A83F8F" w:rsidRDefault="00A8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53943" w14:textId="77777777" w:rsidR="00A83F8F" w:rsidRDefault="00A83F8F">
      <w:r>
        <w:separator/>
      </w:r>
    </w:p>
  </w:footnote>
  <w:footnote w:type="continuationSeparator" w:id="0">
    <w:p w14:paraId="690E56C3" w14:textId="77777777" w:rsidR="00A83F8F" w:rsidRDefault="00A83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6F7F9DD2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33D52D76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0A06270" wp14:editId="33ED47D8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143DC456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20A1E120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7D463FD8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0B0C3CA8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0DD66240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7C"/>
    <w:rsid w:val="00003E7A"/>
    <w:rsid w:val="000F6FF4"/>
    <w:rsid w:val="00181530"/>
    <w:rsid w:val="001A7DFA"/>
    <w:rsid w:val="002351E7"/>
    <w:rsid w:val="00387BD9"/>
    <w:rsid w:val="003931B4"/>
    <w:rsid w:val="00434EB6"/>
    <w:rsid w:val="004E3826"/>
    <w:rsid w:val="0058471E"/>
    <w:rsid w:val="005A41BF"/>
    <w:rsid w:val="005D3192"/>
    <w:rsid w:val="005D348D"/>
    <w:rsid w:val="006C2472"/>
    <w:rsid w:val="007348F9"/>
    <w:rsid w:val="00782C7C"/>
    <w:rsid w:val="00864798"/>
    <w:rsid w:val="008F7CDD"/>
    <w:rsid w:val="009652BF"/>
    <w:rsid w:val="009862FA"/>
    <w:rsid w:val="00A83F8F"/>
    <w:rsid w:val="00B430D3"/>
    <w:rsid w:val="00BC4CDC"/>
    <w:rsid w:val="00CC433D"/>
    <w:rsid w:val="00D50D2C"/>
    <w:rsid w:val="00D76187"/>
    <w:rsid w:val="00D91BC2"/>
    <w:rsid w:val="00DA1D82"/>
    <w:rsid w:val="00DF66FD"/>
    <w:rsid w:val="00E570B7"/>
    <w:rsid w:val="00E62295"/>
    <w:rsid w:val="00EB0A08"/>
    <w:rsid w:val="00ED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7CABA9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asae-tp.dot</Template>
  <TotalTime>56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2044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Nicoletta Ripa</cp:lastModifiedBy>
  <cp:revision>3</cp:revision>
  <cp:lastPrinted>2003-12-04T08:59:00Z</cp:lastPrinted>
  <dcterms:created xsi:type="dcterms:W3CDTF">2022-02-25T12:58:00Z</dcterms:created>
  <dcterms:modified xsi:type="dcterms:W3CDTF">2022-02-26T09:29:00Z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