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6BD6" w14:textId="087DEBE1" w:rsidR="00434EB6" w:rsidRDefault="00F52122">
      <w:pPr>
        <w:pStyle w:val="Titolo"/>
        <w:ind w:left="0" w:right="49"/>
        <w:rPr>
          <w:sz w:val="28"/>
        </w:rPr>
      </w:pPr>
      <w:r w:rsidRPr="00F52122">
        <w:t>Can a variable-rate spr</w:t>
      </w:r>
      <w:r w:rsidR="00392161">
        <w:t>ayer be efficient and economic</w:t>
      </w:r>
      <w:r w:rsidRPr="00F52122">
        <w:t>? Testing and e</w:t>
      </w:r>
      <w:r w:rsidR="00392161">
        <w:t>conomic analysis in viticulture</w:t>
      </w:r>
      <w:r w:rsidR="00DC36BE">
        <w:t xml:space="preserve">  </w:t>
      </w:r>
    </w:p>
    <w:p w14:paraId="4848BAB2" w14:textId="52F03E3C" w:rsidR="00434EB6" w:rsidRPr="00C85407" w:rsidRDefault="00C85407">
      <w:pPr>
        <w:pStyle w:val="Author"/>
        <w:jc w:val="center"/>
        <w:rPr>
          <w:lang w:val="it-IT"/>
        </w:rPr>
      </w:pPr>
      <w:r w:rsidRPr="00C85407">
        <w:rPr>
          <w:lang w:val="it-IT"/>
        </w:rPr>
        <w:t>Pagliai Andrea</w:t>
      </w:r>
      <w:r w:rsidR="006B4179" w:rsidRPr="006B4179">
        <w:rPr>
          <w:vertAlign w:val="superscript"/>
          <w:lang w:val="it-IT"/>
        </w:rPr>
        <w:t>1</w:t>
      </w:r>
      <w:r w:rsidR="0059449E" w:rsidRPr="006B4179">
        <w:rPr>
          <w:lang w:val="it-IT"/>
        </w:rPr>
        <w:t>*</w:t>
      </w:r>
      <w:r w:rsidRPr="00C85407">
        <w:rPr>
          <w:lang w:val="it-IT"/>
        </w:rPr>
        <w:t>, Sarri</w:t>
      </w:r>
      <w:r>
        <w:rPr>
          <w:lang w:val="it-IT"/>
        </w:rPr>
        <w:t xml:space="preserve"> </w:t>
      </w:r>
      <w:r w:rsidRPr="00C85407">
        <w:rPr>
          <w:lang w:val="it-IT"/>
        </w:rPr>
        <w:t>Daniele</w:t>
      </w:r>
      <w:r w:rsidR="006B4179" w:rsidRPr="006B4179">
        <w:rPr>
          <w:vertAlign w:val="superscript"/>
          <w:lang w:val="it-IT"/>
        </w:rPr>
        <w:t>1</w:t>
      </w:r>
      <w:r w:rsidRPr="00C85407">
        <w:rPr>
          <w:lang w:val="it-IT"/>
        </w:rPr>
        <w:t xml:space="preserve">, </w:t>
      </w:r>
      <w:r>
        <w:rPr>
          <w:lang w:val="it-IT"/>
        </w:rPr>
        <w:t xml:space="preserve">Perna </w:t>
      </w:r>
      <w:r w:rsidRPr="00C85407">
        <w:rPr>
          <w:lang w:val="it-IT"/>
        </w:rPr>
        <w:t>C</w:t>
      </w:r>
      <w:r>
        <w:rPr>
          <w:lang w:val="it-IT"/>
        </w:rPr>
        <w:t>arolina</w:t>
      </w:r>
      <w:r w:rsidR="006B4179" w:rsidRPr="006B4179">
        <w:rPr>
          <w:vertAlign w:val="superscript"/>
          <w:lang w:val="it-IT"/>
        </w:rPr>
        <w:t>1</w:t>
      </w:r>
      <w:r w:rsidR="006F5642">
        <w:rPr>
          <w:lang w:val="it-IT"/>
        </w:rPr>
        <w:t xml:space="preserve"> </w:t>
      </w:r>
      <w:r w:rsidR="0059449E">
        <w:rPr>
          <w:lang w:val="it-IT"/>
        </w:rPr>
        <w:t>and Vieri Marco</w:t>
      </w:r>
      <w:r w:rsidR="006B4179" w:rsidRPr="006B4179">
        <w:rPr>
          <w:vertAlign w:val="superscript"/>
          <w:lang w:val="it-IT"/>
        </w:rPr>
        <w:t>1</w:t>
      </w:r>
    </w:p>
    <w:p w14:paraId="3BF0A267" w14:textId="2AED801C" w:rsidR="007972E3" w:rsidRPr="006F5642" w:rsidRDefault="006B4179" w:rsidP="001D097E">
      <w:pPr>
        <w:pStyle w:val="Address"/>
        <w:rPr>
          <w:lang w:val="it-IT"/>
        </w:rPr>
      </w:pPr>
      <w:r w:rsidRPr="006F5642">
        <w:rPr>
          <w:vertAlign w:val="superscript"/>
          <w:lang w:val="it-IT"/>
        </w:rPr>
        <w:t>1</w:t>
      </w:r>
      <w:r w:rsidR="00EA2A80" w:rsidRPr="006F5642">
        <w:rPr>
          <w:lang w:val="it-IT"/>
        </w:rPr>
        <w:t>D</w:t>
      </w:r>
      <w:r w:rsidR="00EE1954" w:rsidRPr="006F5642">
        <w:rPr>
          <w:lang w:val="it-IT"/>
        </w:rPr>
        <w:t>AGRI</w:t>
      </w:r>
      <w:r w:rsidR="00EA2A80" w:rsidRPr="006F5642">
        <w:rPr>
          <w:lang w:val="it-IT"/>
        </w:rPr>
        <w:t xml:space="preserve">, University of Florence, </w:t>
      </w:r>
      <w:r w:rsidR="00EE1954" w:rsidRPr="006F5642">
        <w:rPr>
          <w:lang w:val="it-IT"/>
        </w:rPr>
        <w:t>Piazzale</w:t>
      </w:r>
      <w:r w:rsidR="00EA2A80" w:rsidRPr="006F5642">
        <w:rPr>
          <w:lang w:val="it-IT"/>
        </w:rPr>
        <w:t xml:space="preserve"> delle Cascine 15, </w:t>
      </w:r>
      <w:r w:rsidR="00EE1954" w:rsidRPr="006F5642">
        <w:rPr>
          <w:lang w:val="it-IT"/>
        </w:rPr>
        <w:t xml:space="preserve">50144 </w:t>
      </w:r>
      <w:r w:rsidR="00EA2A80" w:rsidRPr="006F5642">
        <w:rPr>
          <w:lang w:val="it-IT"/>
        </w:rPr>
        <w:t>Firenze</w:t>
      </w:r>
    </w:p>
    <w:p w14:paraId="38BAAD86" w14:textId="6316E236" w:rsidR="004C7D73" w:rsidRPr="001D097E" w:rsidRDefault="004C7D73" w:rsidP="001D097E">
      <w:pPr>
        <w:pStyle w:val="Author"/>
        <w:ind w:hanging="11"/>
        <w:rPr>
          <w:bCs/>
          <w:sz w:val="22"/>
          <w:szCs w:val="22"/>
        </w:rPr>
      </w:pPr>
      <w:r w:rsidRPr="001D097E">
        <w:rPr>
          <w:bCs/>
          <w:sz w:val="22"/>
          <w:szCs w:val="22"/>
        </w:rPr>
        <w:t xml:space="preserve">*Corresponding author: Andrea Pagliai, </w:t>
      </w:r>
      <w:r w:rsidR="001D097E" w:rsidRPr="00307C7D">
        <w:rPr>
          <w:bCs/>
          <w:sz w:val="22"/>
          <w:szCs w:val="22"/>
        </w:rPr>
        <w:t>andrea.pagliai@unifi.it</w:t>
      </w:r>
      <w:r w:rsidR="001D097E" w:rsidRPr="001D097E">
        <w:rPr>
          <w:bCs/>
          <w:sz w:val="22"/>
          <w:szCs w:val="22"/>
        </w:rPr>
        <w:t xml:space="preserve">, </w:t>
      </w:r>
    </w:p>
    <w:p w14:paraId="577A2D86" w14:textId="541E130D" w:rsidR="00434EB6" w:rsidRDefault="00434EB6">
      <w:pPr>
        <w:pStyle w:val="Keywords"/>
        <w:jc w:val="both"/>
      </w:pPr>
      <w:r>
        <w:rPr>
          <w:b/>
        </w:rPr>
        <w:t>Keywords.</w:t>
      </w:r>
      <w:r>
        <w:t xml:space="preserve"> </w:t>
      </w:r>
      <w:r w:rsidR="00AB71CA">
        <w:t xml:space="preserve">VRA, optimization </w:t>
      </w:r>
      <w:r w:rsidR="001D4F98">
        <w:t>spraying, pesticide</w:t>
      </w:r>
      <w:r w:rsidR="00AB71CA">
        <w:t>, ultras</w:t>
      </w:r>
      <w:r w:rsidR="00A26FA7">
        <w:t>ound</w:t>
      </w:r>
      <w:r w:rsidR="00AB71CA">
        <w:t xml:space="preserve"> sensor</w:t>
      </w:r>
      <w:r w:rsidR="00A26FA7">
        <w:t xml:space="preserve">, </w:t>
      </w:r>
      <w:r w:rsidR="001D4F98">
        <w:t>specialty crops</w:t>
      </w:r>
    </w:p>
    <w:p w14:paraId="2B8B32F1" w14:textId="583E4FFF" w:rsidR="00D21816" w:rsidRDefault="00434EB6" w:rsidP="00100D2B">
      <w:pPr>
        <w:pStyle w:val="Abstract"/>
        <w:spacing w:after="240"/>
        <w:jc w:val="both"/>
        <w:rPr>
          <w:rFonts w:cs="Arial"/>
          <w:bCs/>
          <w:i w:val="0"/>
          <w:iCs/>
        </w:rPr>
      </w:pPr>
      <w:r>
        <w:rPr>
          <w:b/>
        </w:rPr>
        <w:t>Abstract.</w:t>
      </w:r>
      <w:r>
        <w:rPr>
          <w:rFonts w:cs="Arial"/>
          <w:i w:val="0"/>
          <w:iCs/>
        </w:rPr>
        <w:t xml:space="preserve"> </w:t>
      </w:r>
      <w:r w:rsidR="00F24D3F" w:rsidRPr="00F24D3F">
        <w:rPr>
          <w:rFonts w:cs="Arial"/>
          <w:i w:val="0"/>
          <w:iCs/>
        </w:rPr>
        <w:t xml:space="preserve">The European Union pointed out ambitious goals in terms of the reduction of pesticides in agriculture. These goals could be achieved </w:t>
      </w:r>
      <w:r w:rsidR="00F52122">
        <w:rPr>
          <w:rFonts w:cs="Arial"/>
          <w:i w:val="0"/>
          <w:iCs/>
        </w:rPr>
        <w:t>in different ways e.g.</w:t>
      </w:r>
      <w:r w:rsidR="00F24D3F" w:rsidRPr="00F24D3F">
        <w:rPr>
          <w:rFonts w:cs="Arial"/>
          <w:i w:val="0"/>
          <w:iCs/>
        </w:rPr>
        <w:t xml:space="preserve"> by variable-rate application (VRA)</w:t>
      </w:r>
      <w:r w:rsidR="00F52122">
        <w:rPr>
          <w:rFonts w:cs="Arial"/>
          <w:i w:val="0"/>
          <w:iCs/>
        </w:rPr>
        <w:t xml:space="preserve"> technologies</w:t>
      </w:r>
      <w:r w:rsidR="00F24D3F" w:rsidRPr="00F24D3F">
        <w:rPr>
          <w:rFonts w:cs="Arial"/>
          <w:i w:val="0"/>
          <w:iCs/>
        </w:rPr>
        <w:t xml:space="preserve">. </w:t>
      </w:r>
      <w:r w:rsidR="00F52122">
        <w:rPr>
          <w:rFonts w:cs="Arial"/>
          <w:i w:val="0"/>
          <w:iCs/>
        </w:rPr>
        <w:t>Present</w:t>
      </w:r>
      <w:r w:rsidR="00F24D3F" w:rsidRPr="00F24D3F">
        <w:rPr>
          <w:rFonts w:cs="Arial"/>
          <w:i w:val="0"/>
          <w:iCs/>
        </w:rPr>
        <w:t xml:space="preserve"> work aims to assess the </w:t>
      </w:r>
      <w:r w:rsidR="00F52122">
        <w:rPr>
          <w:rFonts w:cs="Arial"/>
          <w:i w:val="0"/>
          <w:iCs/>
        </w:rPr>
        <w:t>spraying</w:t>
      </w:r>
      <w:r w:rsidR="00F24D3F" w:rsidRPr="00F24D3F">
        <w:rPr>
          <w:rFonts w:cs="Arial"/>
          <w:i w:val="0"/>
          <w:iCs/>
        </w:rPr>
        <w:t xml:space="preserve"> p</w:t>
      </w:r>
      <w:r w:rsidR="00791E82">
        <w:rPr>
          <w:rFonts w:cs="Arial"/>
          <w:i w:val="0"/>
          <w:iCs/>
        </w:rPr>
        <w:t xml:space="preserve">erformance of a VRA sprayer and </w:t>
      </w:r>
      <w:r w:rsidR="00F24D3F" w:rsidRPr="00F24D3F">
        <w:rPr>
          <w:rFonts w:cs="Arial"/>
          <w:i w:val="0"/>
          <w:iCs/>
        </w:rPr>
        <w:t>its economic sustainability.</w:t>
      </w:r>
      <w:r w:rsidR="00F24D3F">
        <w:rPr>
          <w:rFonts w:cs="Arial"/>
          <w:i w:val="0"/>
          <w:iCs/>
        </w:rPr>
        <w:t xml:space="preserve"> </w:t>
      </w:r>
      <w:r w:rsidR="00CD2787">
        <w:rPr>
          <w:rFonts w:cs="Arial"/>
          <w:bCs/>
          <w:i w:val="0"/>
          <w:iCs/>
        </w:rPr>
        <w:t>To evaluate the operating performance</w:t>
      </w:r>
      <w:r w:rsidR="00E61F67">
        <w:rPr>
          <w:rFonts w:cs="Arial"/>
          <w:bCs/>
          <w:i w:val="0"/>
          <w:iCs/>
        </w:rPr>
        <w:t>,</w:t>
      </w:r>
      <w:r w:rsidR="0075567B">
        <w:rPr>
          <w:rFonts w:cs="Arial"/>
          <w:bCs/>
          <w:i w:val="0"/>
          <w:iCs/>
        </w:rPr>
        <w:t xml:space="preserve"> </w:t>
      </w:r>
      <w:r w:rsidR="00CD2787">
        <w:rPr>
          <w:rFonts w:cs="Arial"/>
          <w:bCs/>
          <w:i w:val="0"/>
          <w:iCs/>
        </w:rPr>
        <w:t>three trials</w:t>
      </w:r>
      <w:r w:rsidR="00CF7277">
        <w:rPr>
          <w:rFonts w:cs="Arial"/>
          <w:bCs/>
          <w:i w:val="0"/>
          <w:iCs/>
        </w:rPr>
        <w:t xml:space="preserve"> (BBCH </w:t>
      </w:r>
      <w:r w:rsidR="002B3EA9">
        <w:rPr>
          <w:rFonts w:cs="Arial"/>
          <w:bCs/>
          <w:i w:val="0"/>
          <w:iCs/>
        </w:rPr>
        <w:t>65, BBCH 73, BBCH 83)</w:t>
      </w:r>
      <w:r w:rsidR="00CD2787">
        <w:rPr>
          <w:rFonts w:cs="Arial"/>
          <w:bCs/>
          <w:i w:val="0"/>
          <w:iCs/>
        </w:rPr>
        <w:t xml:space="preserve"> were </w:t>
      </w:r>
      <w:r w:rsidR="00E958A0">
        <w:rPr>
          <w:rFonts w:cs="Arial"/>
          <w:bCs/>
          <w:i w:val="0"/>
          <w:iCs/>
        </w:rPr>
        <w:t>performed i</w:t>
      </w:r>
      <w:r w:rsidR="00CD2787">
        <w:rPr>
          <w:rFonts w:cs="Arial"/>
          <w:bCs/>
          <w:i w:val="0"/>
          <w:iCs/>
        </w:rPr>
        <w:t xml:space="preserve">n a vineyard </w:t>
      </w:r>
      <w:r w:rsidR="0002599E">
        <w:rPr>
          <w:rFonts w:cs="Arial"/>
          <w:bCs/>
          <w:i w:val="0"/>
          <w:iCs/>
        </w:rPr>
        <w:t>following a profile sampling strategy (BS ISO 22522:2007)</w:t>
      </w:r>
      <w:r w:rsidR="00CD2787">
        <w:rPr>
          <w:rFonts w:cs="Arial"/>
          <w:bCs/>
          <w:i w:val="0"/>
          <w:iCs/>
        </w:rPr>
        <w:t>.</w:t>
      </w:r>
      <w:r w:rsidR="002B3EA9">
        <w:rPr>
          <w:rFonts w:cs="Arial"/>
          <w:bCs/>
          <w:i w:val="0"/>
          <w:iCs/>
        </w:rPr>
        <w:t xml:space="preserve"> A </w:t>
      </w:r>
      <w:r w:rsidR="00791E82">
        <w:rPr>
          <w:rFonts w:cs="Arial"/>
          <w:bCs/>
          <w:i w:val="0"/>
          <w:iCs/>
        </w:rPr>
        <w:t>r</w:t>
      </w:r>
      <w:r w:rsidR="00791E82" w:rsidRPr="00791E82">
        <w:rPr>
          <w:rFonts w:cs="Arial"/>
          <w:bCs/>
          <w:i w:val="0"/>
          <w:iCs/>
        </w:rPr>
        <w:t xml:space="preserve">andomized </w:t>
      </w:r>
      <w:r w:rsidR="00791E82">
        <w:rPr>
          <w:rFonts w:cs="Arial"/>
          <w:bCs/>
          <w:i w:val="0"/>
          <w:iCs/>
        </w:rPr>
        <w:t>c</w:t>
      </w:r>
      <w:r w:rsidR="00791E82" w:rsidRPr="00791E82">
        <w:rPr>
          <w:rFonts w:cs="Arial"/>
          <w:bCs/>
          <w:i w:val="0"/>
          <w:iCs/>
        </w:rPr>
        <w:t xml:space="preserve">omplete </w:t>
      </w:r>
      <w:r w:rsidR="00791E82">
        <w:rPr>
          <w:rFonts w:cs="Arial"/>
          <w:bCs/>
          <w:i w:val="0"/>
          <w:iCs/>
        </w:rPr>
        <w:t>b</w:t>
      </w:r>
      <w:r w:rsidR="00791E82" w:rsidRPr="00791E82">
        <w:rPr>
          <w:rFonts w:cs="Arial"/>
          <w:bCs/>
          <w:i w:val="0"/>
          <w:iCs/>
        </w:rPr>
        <w:t xml:space="preserve">lock </w:t>
      </w:r>
      <w:r w:rsidR="00791E82">
        <w:rPr>
          <w:rFonts w:cs="Arial"/>
          <w:bCs/>
          <w:i w:val="0"/>
          <w:iCs/>
        </w:rPr>
        <w:t>d</w:t>
      </w:r>
      <w:r w:rsidR="00791E82" w:rsidRPr="00791E82">
        <w:rPr>
          <w:rFonts w:cs="Arial"/>
          <w:bCs/>
          <w:i w:val="0"/>
          <w:iCs/>
        </w:rPr>
        <w:t>esign</w:t>
      </w:r>
      <w:r w:rsidR="00791E82">
        <w:rPr>
          <w:rFonts w:cs="Arial"/>
          <w:bCs/>
          <w:i w:val="0"/>
          <w:iCs/>
        </w:rPr>
        <w:t xml:space="preserve"> </w:t>
      </w:r>
      <w:r w:rsidR="002B3EA9">
        <w:rPr>
          <w:rFonts w:cs="Arial"/>
          <w:bCs/>
          <w:i w:val="0"/>
          <w:iCs/>
        </w:rPr>
        <w:t xml:space="preserve">was performed with three replications </w:t>
      </w:r>
      <w:r w:rsidR="0075567B">
        <w:rPr>
          <w:rFonts w:cs="Arial"/>
          <w:bCs/>
          <w:i w:val="0"/>
          <w:iCs/>
        </w:rPr>
        <w:t>for each treatment</w:t>
      </w:r>
      <w:r w:rsidR="009A2374">
        <w:rPr>
          <w:rFonts w:cs="Arial"/>
          <w:bCs/>
          <w:i w:val="0"/>
          <w:iCs/>
        </w:rPr>
        <w:t xml:space="preserve"> (</w:t>
      </w:r>
      <w:r w:rsidR="00791E82">
        <w:rPr>
          <w:rFonts w:cs="Arial"/>
          <w:bCs/>
          <w:i w:val="0"/>
          <w:iCs/>
        </w:rPr>
        <w:t>u</w:t>
      </w:r>
      <w:r w:rsidR="001D4F98">
        <w:rPr>
          <w:rFonts w:cs="Arial"/>
          <w:bCs/>
          <w:i w:val="0"/>
          <w:iCs/>
        </w:rPr>
        <w:t xml:space="preserve">niform </w:t>
      </w:r>
      <w:r w:rsidR="00791E82">
        <w:rPr>
          <w:rFonts w:cs="Arial"/>
          <w:bCs/>
          <w:i w:val="0"/>
          <w:iCs/>
        </w:rPr>
        <w:t>and variable</w:t>
      </w:r>
      <w:r w:rsidR="00D21816">
        <w:rPr>
          <w:rFonts w:cs="Arial"/>
          <w:bCs/>
          <w:i w:val="0"/>
          <w:iCs/>
        </w:rPr>
        <w:t xml:space="preserve"> - </w:t>
      </w:r>
      <w:r w:rsidR="009A2374">
        <w:rPr>
          <w:rFonts w:cs="Arial"/>
          <w:bCs/>
          <w:i w:val="0"/>
          <w:iCs/>
        </w:rPr>
        <w:t>UA and VRA)</w:t>
      </w:r>
      <w:r w:rsidR="0075567B">
        <w:rPr>
          <w:rFonts w:cs="Arial"/>
          <w:bCs/>
          <w:i w:val="0"/>
          <w:iCs/>
        </w:rPr>
        <w:t xml:space="preserve">. </w:t>
      </w:r>
      <w:r w:rsidR="00803C06">
        <w:rPr>
          <w:rFonts w:cs="Arial"/>
          <w:bCs/>
          <w:i w:val="0"/>
          <w:iCs/>
        </w:rPr>
        <w:t>The variable</w:t>
      </w:r>
      <w:r w:rsidR="00476C22">
        <w:rPr>
          <w:rFonts w:cs="Arial"/>
          <w:bCs/>
          <w:i w:val="0"/>
          <w:iCs/>
        </w:rPr>
        <w:t>s (</w:t>
      </w:r>
      <w:r w:rsidR="00F92731">
        <w:rPr>
          <w:rFonts w:cs="Arial"/>
          <w:bCs/>
          <w:i w:val="0"/>
          <w:iCs/>
        </w:rPr>
        <w:t xml:space="preserve">normalized </w:t>
      </w:r>
      <w:r w:rsidR="00476C22">
        <w:rPr>
          <w:rFonts w:cs="Arial"/>
          <w:bCs/>
          <w:i w:val="0"/>
          <w:iCs/>
        </w:rPr>
        <w:t>deposition</w:t>
      </w:r>
      <w:r w:rsidR="00F92731">
        <w:rPr>
          <w:rFonts w:cs="Arial"/>
          <w:bCs/>
          <w:i w:val="0"/>
          <w:iCs/>
        </w:rPr>
        <w:t xml:space="preserve"> and</w:t>
      </w:r>
      <w:r w:rsidR="00476C22">
        <w:rPr>
          <w:rFonts w:cs="Arial"/>
          <w:bCs/>
          <w:i w:val="0"/>
          <w:iCs/>
        </w:rPr>
        <w:t xml:space="preserve"> coverage) </w:t>
      </w:r>
      <w:r w:rsidR="00791E82">
        <w:rPr>
          <w:rFonts w:cs="Arial"/>
          <w:bCs/>
          <w:i w:val="0"/>
          <w:iCs/>
        </w:rPr>
        <w:t xml:space="preserve">from artificial targets </w:t>
      </w:r>
      <w:r w:rsidR="0070462D">
        <w:rPr>
          <w:rFonts w:cs="Arial"/>
          <w:bCs/>
          <w:i w:val="0"/>
          <w:iCs/>
        </w:rPr>
        <w:t xml:space="preserve">by spectrophotometry and image analysis </w:t>
      </w:r>
      <w:r w:rsidR="00E61F67">
        <w:rPr>
          <w:rFonts w:cs="Arial"/>
          <w:bCs/>
          <w:i w:val="0"/>
          <w:iCs/>
        </w:rPr>
        <w:t>techniques respectively</w:t>
      </w:r>
      <w:r w:rsidR="00791E82">
        <w:rPr>
          <w:rFonts w:cs="Arial"/>
          <w:bCs/>
          <w:i w:val="0"/>
          <w:iCs/>
        </w:rPr>
        <w:t>, were extracted</w:t>
      </w:r>
      <w:r w:rsidR="00E61F67">
        <w:rPr>
          <w:rFonts w:cs="Arial"/>
          <w:bCs/>
          <w:i w:val="0"/>
          <w:iCs/>
        </w:rPr>
        <w:t>.</w:t>
      </w:r>
      <w:r w:rsidR="00D21816">
        <w:rPr>
          <w:rFonts w:cs="Arial"/>
          <w:bCs/>
          <w:i w:val="0"/>
          <w:iCs/>
        </w:rPr>
        <w:t xml:space="preserve"> Moreover, t</w:t>
      </w:r>
      <w:r w:rsidR="00D21816">
        <w:rPr>
          <w:rFonts w:cs="Arial"/>
          <w:bCs/>
          <w:i w:val="0"/>
          <w:iCs/>
        </w:rPr>
        <w:t>he economic performance of VRA sprayer compared to UA one was performed for the whole vegetative season in two plots.</w:t>
      </w:r>
    </w:p>
    <w:tbl>
      <w:tblPr>
        <w:tblStyle w:val="Grigliatabella"/>
        <w:tblW w:w="0" w:type="auto"/>
        <w:tblLook w:val="04A0" w:firstRow="1" w:lastRow="0" w:firstColumn="1" w:lastColumn="0" w:noHBand="0" w:noVBand="1"/>
      </w:tblPr>
      <w:tblGrid>
        <w:gridCol w:w="4247"/>
        <w:gridCol w:w="4247"/>
      </w:tblGrid>
      <w:tr w:rsidR="00855490" w14:paraId="6F297843" w14:textId="77777777" w:rsidTr="00855490">
        <w:tc>
          <w:tcPr>
            <w:tcW w:w="4247" w:type="dxa"/>
          </w:tcPr>
          <w:p w14:paraId="4D92AF67" w14:textId="4BEC6967" w:rsidR="00855490" w:rsidRDefault="00855490">
            <w:pPr>
              <w:pStyle w:val="Abstract"/>
              <w:jc w:val="both"/>
              <w:rPr>
                <w:rFonts w:cs="Arial"/>
                <w:bCs/>
                <w:i w:val="0"/>
                <w:iCs/>
              </w:rPr>
            </w:pPr>
            <w:r>
              <w:rPr>
                <w:rFonts w:cs="Arial"/>
                <w:bCs/>
                <w:i w:val="0"/>
                <w:iCs/>
                <w:noProof/>
                <w:lang w:val="en-GB" w:eastAsia="en-GB"/>
              </w:rPr>
              <w:drawing>
                <wp:inline distT="0" distB="0" distL="0" distR="0" wp14:anchorId="479467F6" wp14:editId="56F8074B">
                  <wp:extent cx="2520000" cy="1500721"/>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500721"/>
                          </a:xfrm>
                          <a:prstGeom prst="rect">
                            <a:avLst/>
                          </a:prstGeom>
                          <a:noFill/>
                        </pic:spPr>
                      </pic:pic>
                    </a:graphicData>
                  </a:graphic>
                </wp:inline>
              </w:drawing>
            </w:r>
          </w:p>
        </w:tc>
        <w:tc>
          <w:tcPr>
            <w:tcW w:w="4247" w:type="dxa"/>
          </w:tcPr>
          <w:p w14:paraId="0F5FF43D" w14:textId="1F4642F8" w:rsidR="00855490" w:rsidRDefault="00855490">
            <w:pPr>
              <w:pStyle w:val="Abstract"/>
              <w:jc w:val="both"/>
              <w:rPr>
                <w:rFonts w:cs="Arial"/>
                <w:bCs/>
                <w:i w:val="0"/>
                <w:iCs/>
              </w:rPr>
            </w:pPr>
            <w:r>
              <w:rPr>
                <w:rFonts w:cs="Arial"/>
                <w:bCs/>
                <w:i w:val="0"/>
                <w:iCs/>
                <w:noProof/>
                <w:lang w:val="en-GB" w:eastAsia="en-GB"/>
              </w:rPr>
              <w:drawing>
                <wp:inline distT="0" distB="0" distL="0" distR="0" wp14:anchorId="6583F564" wp14:editId="789B5236">
                  <wp:extent cx="2520000" cy="1484264"/>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484264"/>
                          </a:xfrm>
                          <a:prstGeom prst="rect">
                            <a:avLst/>
                          </a:prstGeom>
                          <a:noFill/>
                        </pic:spPr>
                      </pic:pic>
                    </a:graphicData>
                  </a:graphic>
                </wp:inline>
              </w:drawing>
            </w:r>
          </w:p>
        </w:tc>
      </w:tr>
      <w:tr w:rsidR="00855490" w14:paraId="6185C487" w14:textId="77777777" w:rsidTr="00A90C20">
        <w:tc>
          <w:tcPr>
            <w:tcW w:w="8494" w:type="dxa"/>
            <w:gridSpan w:val="2"/>
          </w:tcPr>
          <w:p w14:paraId="48EA59D9" w14:textId="53275517" w:rsidR="00855490" w:rsidRPr="00AD1833" w:rsidRDefault="00963874" w:rsidP="00963874">
            <w:pPr>
              <w:pStyle w:val="Abstract"/>
              <w:spacing w:before="0"/>
              <w:jc w:val="both"/>
              <w:rPr>
                <w:rFonts w:cs="Arial"/>
                <w:bCs/>
              </w:rPr>
            </w:pPr>
            <w:r w:rsidRPr="00AD1833">
              <w:rPr>
                <w:rFonts w:cs="Arial"/>
                <w:bCs/>
              </w:rPr>
              <w:t>Results of the two-way ANOVA for the normalized deposits (</w:t>
            </w:r>
            <w:r w:rsidR="00D21816">
              <w:rPr>
                <w:rFonts w:ascii="GreekC" w:hAnsi="GreekC" w:cs="GreekC"/>
                <w:bCs/>
              </w:rPr>
              <w:t>m</w:t>
            </w:r>
            <w:r w:rsidRPr="00AD1833">
              <w:rPr>
                <w:rFonts w:cs="Arial"/>
                <w:bCs/>
              </w:rPr>
              <w:t>g cm</w:t>
            </w:r>
            <w:r w:rsidRPr="00AD1833">
              <w:rPr>
                <w:rFonts w:cs="Arial"/>
                <w:bCs/>
                <w:vertAlign w:val="superscript"/>
              </w:rPr>
              <w:t>-2</w:t>
            </w:r>
            <w:r w:rsidRPr="00AD1833">
              <w:rPr>
                <w:rFonts w:cs="Arial"/>
                <w:bCs/>
              </w:rPr>
              <w:t>) and spray coverage (%)</w:t>
            </w:r>
            <w:r w:rsidR="00231931" w:rsidRPr="00AD1833">
              <w:rPr>
                <w:rFonts w:cs="Arial"/>
                <w:bCs/>
              </w:rPr>
              <w:t>. Different letters mean statistical differences (Tukey HSD test;</w:t>
            </w:r>
            <w:r w:rsidR="00CF708A" w:rsidRPr="00AD1833">
              <w:rPr>
                <w:rFonts w:cs="Arial"/>
                <w:bCs/>
              </w:rPr>
              <w:t xml:space="preserve"> α = 0.05).</w:t>
            </w:r>
          </w:p>
        </w:tc>
      </w:tr>
    </w:tbl>
    <w:p w14:paraId="0103832B" w14:textId="0851C3C3" w:rsidR="006F5642" w:rsidRPr="0006325D" w:rsidRDefault="00E958A0">
      <w:pPr>
        <w:pStyle w:val="Abstract"/>
        <w:jc w:val="both"/>
        <w:rPr>
          <w:rFonts w:cs="Arial"/>
          <w:bCs/>
          <w:i w:val="0"/>
          <w:iCs/>
        </w:rPr>
      </w:pPr>
      <w:r w:rsidRPr="00E958A0">
        <w:rPr>
          <w:rFonts w:cs="Arial"/>
          <w:bCs/>
          <w:i w:val="0"/>
          <w:iCs/>
        </w:rPr>
        <w:t>Normalized deposit results</w:t>
      </w:r>
      <w:r w:rsidRPr="00E958A0">
        <w:rPr>
          <w:rFonts w:cs="Arial"/>
          <w:bCs/>
          <w:iCs/>
        </w:rPr>
        <w:t xml:space="preserve"> </w:t>
      </w:r>
      <w:r w:rsidR="00777C1C" w:rsidRPr="00777C1C">
        <w:rPr>
          <w:rFonts w:cs="Arial"/>
          <w:bCs/>
          <w:i w:val="0"/>
          <w:iCs/>
        </w:rPr>
        <w:t>show</w:t>
      </w:r>
      <w:r w:rsidR="00791E82">
        <w:rPr>
          <w:rFonts w:cs="Arial"/>
          <w:bCs/>
          <w:i w:val="0"/>
          <w:iCs/>
        </w:rPr>
        <w:t>ed</w:t>
      </w:r>
      <w:r w:rsidR="00777C1C" w:rsidRPr="00777C1C">
        <w:rPr>
          <w:rFonts w:cs="Arial"/>
          <w:bCs/>
          <w:i w:val="0"/>
          <w:iCs/>
        </w:rPr>
        <w:t xml:space="preserve"> differences between detection heights (H1, H2, H3, H4) rather than between treatments (VRA vs UA). </w:t>
      </w:r>
      <w:r>
        <w:rPr>
          <w:rFonts w:cs="Arial"/>
          <w:bCs/>
          <w:i w:val="0"/>
          <w:iCs/>
        </w:rPr>
        <w:t>Therefore,</w:t>
      </w:r>
      <w:r w:rsidR="00777C1C" w:rsidRPr="00777C1C">
        <w:rPr>
          <w:rFonts w:cs="Arial"/>
          <w:bCs/>
          <w:i w:val="0"/>
          <w:iCs/>
        </w:rPr>
        <w:t xml:space="preserve"> </w:t>
      </w:r>
      <w:r w:rsidR="00A76C4A" w:rsidRPr="00A76C4A">
        <w:rPr>
          <w:rFonts w:cs="Arial"/>
          <w:bCs/>
          <w:i w:val="0"/>
          <w:iCs/>
        </w:rPr>
        <w:t>VRA and UA efficacy was confirmed, given the similar values of deposit.</w:t>
      </w:r>
      <w:r w:rsidR="00777C1C" w:rsidRPr="00777C1C">
        <w:rPr>
          <w:rFonts w:cs="Arial"/>
          <w:bCs/>
          <w:i w:val="0"/>
          <w:iCs/>
        </w:rPr>
        <w:t xml:space="preserve"> The same trend </w:t>
      </w:r>
      <w:r w:rsidR="00791E82">
        <w:rPr>
          <w:rFonts w:cs="Arial"/>
          <w:bCs/>
          <w:i w:val="0"/>
          <w:iCs/>
        </w:rPr>
        <w:t>was</w:t>
      </w:r>
      <w:r w:rsidR="00777C1C" w:rsidRPr="00777C1C">
        <w:rPr>
          <w:rFonts w:cs="Arial"/>
          <w:bCs/>
          <w:i w:val="0"/>
          <w:iCs/>
        </w:rPr>
        <w:t xml:space="preserve"> shown in coverage results, </w:t>
      </w:r>
      <w:r w:rsidR="00A76C4A">
        <w:rPr>
          <w:rFonts w:cs="Arial"/>
          <w:bCs/>
          <w:i w:val="0"/>
          <w:iCs/>
        </w:rPr>
        <w:t>even if</w:t>
      </w:r>
      <w:r w:rsidR="00777C1C" w:rsidRPr="00777C1C">
        <w:rPr>
          <w:rFonts w:cs="Arial"/>
          <w:bCs/>
          <w:i w:val="0"/>
          <w:iCs/>
        </w:rPr>
        <w:t xml:space="preserve"> UA coverages </w:t>
      </w:r>
      <w:r w:rsidR="00791E82">
        <w:rPr>
          <w:rFonts w:cs="Arial"/>
          <w:bCs/>
          <w:i w:val="0"/>
          <w:iCs/>
        </w:rPr>
        <w:t>were</w:t>
      </w:r>
      <w:r w:rsidR="00777C1C" w:rsidRPr="00777C1C">
        <w:rPr>
          <w:rFonts w:cs="Arial"/>
          <w:bCs/>
          <w:i w:val="0"/>
          <w:iCs/>
        </w:rPr>
        <w:t xml:space="preserve"> higher than VRA, usually exceeding the overspray threshold</w:t>
      </w:r>
      <w:r w:rsidR="00777C1C">
        <w:rPr>
          <w:rFonts w:cs="Arial"/>
          <w:bCs/>
          <w:i w:val="0"/>
          <w:iCs/>
        </w:rPr>
        <w:t xml:space="preserve"> </w:t>
      </w:r>
      <w:r w:rsidR="0067301D">
        <w:rPr>
          <w:rFonts w:cs="Arial"/>
          <w:bCs/>
          <w:i w:val="0"/>
          <w:iCs/>
        </w:rPr>
        <w:fldChar w:fldCharType="begin" w:fldLock="1"/>
      </w:r>
      <w:r w:rsidR="00777C1C">
        <w:rPr>
          <w:rFonts w:cs="Arial"/>
          <w:bCs/>
          <w:i w:val="0"/>
          <w:iCs/>
        </w:rPr>
        <w:instrText>ADDIN CSL_CITATION {"citationItems":[{"id":"ITEM-1","itemData":{"DOI":"10.1007/s11119-021-09835-6","ISBN":"0123456789","ISSN":"15731618","abstract":"The pulse width modulation (PWM) spray system is the most advanced technology to obtain variable rate spray application without varying the operative sprayer parameters (e.g. spray pressure, nozzle size). According to the precision agriculture principles, PWM is the prime technology that allows to spray the required amount where needed without varying the droplet size spectra which benefits both the uniformity of spray quality and the spray drift reduction. However, some concerns related to the effect of on–off solenoid valves and the alternating on/off action of adjacent nozzles on final uneven spray coverage (SC) have arisen. Further evaluations of PWM systems used for spraying 3D crops under field conditions are welcomed. A tower-shaped airblast sprayer equipped with a PWM was tested in a vineyard. Twelve configurations, combining duty cycles (DC: 30, 50, 70, 100%) and forward speeds (FS: 4, 6, 8 km h−1), were tested. Two methodologies, namely field-standardized and real field conditions, were adopted to evaluate the effect of DC and FS on (1) SC variability (CV%) along both the sprayer travel direction and the vertical spray profile using long water sensitive papers (WSP), and (2) SC uniformity (IU, index value) within the canopy at different depths and heights, respectively. Furthermore, the SC (%) and deposit density (Nst, no stains cm−2), determined using short WSP, were used to evaluate the spray application performances taking into account the spray volumes applied. Under field-controlled conditions, the pulsing of the PWM system affects both the SC variability measured along the sprayer travel direction and along the vertical spray profile. In contrast, under real field conditions, the PWM system does not affect the uniformity of SC measured within the canopy. The relationship between SC and Nst allowed identification of the ranges of 200–250 and 300–370 l ha−1 as the most suitable spray volumes to be applied for insecticide and fungicide plant protection products, respectively.","author":[{"dropping-particle":"","family":"Grella","given":"Marco","non-dropping-particle":"","parse-names":false,"suffix":""},{"dropping-particle":"","family":"Gioelli","given":"Fabrizio","non-dropping-particle":"","parse-names":false,"suffix":""},{"dropping-particle":"","family":"Marucco","given":"Paolo","non-dropping-particle":"","parse-names":false,"suffix":""},{"dropping-particle":"","family":"Zwertvaegher","given":"Ingrid","non-dropping-particle":"","parse-names":false,"suffix":""},{"dropping-particle":"","family":"Mozzanini","given":"Eric","non-dropping-particle":"","parse-names":false,"suffix":""},{"dropping-particle":"","family":"Mylonas","given":"Nikolaos","non-dropping-particle":"","parse-names":false,"suffix":""},{"dropping-particle":"","family":"Nuyttens","given":"David","non-dropping-particle":"","parse-names":false,"suffix":""},{"dropping-particle":"","family":"Balsari","given":"Paolo","non-dropping-particle":"","parse-names":false,"suffix":""}],"container-title":"Precision Agriculture","id":"ITEM-1","issue":"0123456789","issued":{"date-parts":[["2021"]]},"publisher":"Springer US","title":"Field assessment of a pulse width modulation (PWM) spray system applying different spray volumes: duty cycle and forward speed effects on vines spray coverage","type":"book"},"uris":["http://www.mendeley.com/documents/?uuid=c9217603-bb8e-4efd-afa0-e95cbcc07c8b"]}],"mendeley":{"formattedCitation":"[1]","plainTextFormattedCitation":"[1]","previouslyFormattedCitation":"(Grella et al. 2021)"},"properties":{"noteIndex":0},"schema":"https://github.com/citation-style-language/schema/raw/master/csl-citation.json"}</w:instrText>
      </w:r>
      <w:r w:rsidR="0067301D">
        <w:rPr>
          <w:rFonts w:cs="Arial"/>
          <w:bCs/>
          <w:i w:val="0"/>
          <w:iCs/>
        </w:rPr>
        <w:fldChar w:fldCharType="separate"/>
      </w:r>
      <w:r w:rsidR="00777C1C" w:rsidRPr="00777C1C">
        <w:rPr>
          <w:rFonts w:cs="Arial"/>
          <w:bCs/>
          <w:i w:val="0"/>
          <w:iCs/>
          <w:noProof/>
        </w:rPr>
        <w:t>[1]</w:t>
      </w:r>
      <w:r w:rsidR="0067301D">
        <w:rPr>
          <w:rFonts w:cs="Arial"/>
          <w:bCs/>
          <w:i w:val="0"/>
          <w:iCs/>
        </w:rPr>
        <w:fldChar w:fldCharType="end"/>
      </w:r>
      <w:r w:rsidR="001618CF">
        <w:rPr>
          <w:rFonts w:cs="Arial"/>
          <w:bCs/>
          <w:i w:val="0"/>
          <w:iCs/>
        </w:rPr>
        <w:t>.</w:t>
      </w:r>
      <w:r w:rsidR="0011431F">
        <w:rPr>
          <w:rFonts w:cs="Arial"/>
          <w:bCs/>
          <w:i w:val="0"/>
          <w:iCs/>
        </w:rPr>
        <w:t xml:space="preserve"> </w:t>
      </w:r>
      <w:r w:rsidR="00392161">
        <w:rPr>
          <w:rFonts w:cs="Arial"/>
          <w:bCs/>
          <w:i w:val="0"/>
          <w:iCs/>
        </w:rPr>
        <w:t>T</w:t>
      </w:r>
      <w:r w:rsidR="00B474D8">
        <w:rPr>
          <w:rFonts w:cs="Arial"/>
          <w:bCs/>
          <w:i w:val="0"/>
          <w:iCs/>
        </w:rPr>
        <w:t>he economic performance</w:t>
      </w:r>
      <w:r w:rsidR="00881B19">
        <w:rPr>
          <w:rFonts w:cs="Arial"/>
          <w:bCs/>
          <w:i w:val="0"/>
          <w:iCs/>
        </w:rPr>
        <w:t xml:space="preserve"> </w:t>
      </w:r>
      <w:r w:rsidR="00392161">
        <w:rPr>
          <w:rFonts w:cs="Arial"/>
          <w:bCs/>
          <w:i w:val="0"/>
          <w:iCs/>
        </w:rPr>
        <w:t>highlighted for VRA average volume saving</w:t>
      </w:r>
      <w:r w:rsidR="00392161">
        <w:rPr>
          <w:rFonts w:cs="Arial"/>
          <w:bCs/>
          <w:iCs/>
        </w:rPr>
        <w:t xml:space="preserve"> </w:t>
      </w:r>
      <w:r w:rsidR="00A76043">
        <w:rPr>
          <w:rFonts w:cs="Arial"/>
          <w:bCs/>
          <w:i w:val="0"/>
          <w:iCs/>
        </w:rPr>
        <w:t xml:space="preserve">of </w:t>
      </w:r>
      <w:r w:rsidR="004B60BF">
        <w:rPr>
          <w:rFonts w:cs="Arial"/>
          <w:bCs/>
          <w:i w:val="0"/>
          <w:iCs/>
        </w:rPr>
        <w:t>35</w:t>
      </w:r>
      <w:r w:rsidR="00392161">
        <w:rPr>
          <w:rFonts w:cs="Arial"/>
          <w:bCs/>
          <w:i w:val="0"/>
          <w:iCs/>
        </w:rPr>
        <w:t>%,</w:t>
      </w:r>
      <w:r w:rsidR="00E12F7A">
        <w:rPr>
          <w:rFonts w:cs="Arial"/>
          <w:bCs/>
          <w:i w:val="0"/>
          <w:iCs/>
        </w:rPr>
        <w:t xml:space="preserve"> ranging from 76% in the first session to 10% in the last one. </w:t>
      </w:r>
      <w:r w:rsidR="00C664C5">
        <w:rPr>
          <w:rFonts w:cs="Arial"/>
          <w:bCs/>
          <w:i w:val="0"/>
          <w:iCs/>
        </w:rPr>
        <w:t>T</w:t>
      </w:r>
      <w:r w:rsidR="00C664C5" w:rsidRPr="00C664C5">
        <w:rPr>
          <w:rFonts w:cs="Arial"/>
          <w:bCs/>
          <w:i w:val="0"/>
          <w:iCs/>
        </w:rPr>
        <w:t xml:space="preserve">he resulting economic saving was </w:t>
      </w:r>
      <w:r w:rsidR="00152ECE">
        <w:rPr>
          <w:rFonts w:cs="Arial"/>
          <w:bCs/>
          <w:i w:val="0"/>
          <w:iCs/>
        </w:rPr>
        <w:t>€</w:t>
      </w:r>
      <w:r w:rsidR="00777C1C">
        <w:rPr>
          <w:rFonts w:cs="Arial"/>
          <w:bCs/>
          <w:i w:val="0"/>
          <w:iCs/>
        </w:rPr>
        <w:t>2</w:t>
      </w:r>
      <w:r w:rsidR="009A59D6">
        <w:rPr>
          <w:rFonts w:cs="Arial"/>
          <w:bCs/>
          <w:i w:val="0"/>
          <w:iCs/>
        </w:rPr>
        <w:t>600</w:t>
      </w:r>
      <w:r w:rsidR="00F246AF">
        <w:rPr>
          <w:rFonts w:cs="Arial"/>
          <w:bCs/>
          <w:i w:val="0"/>
          <w:iCs/>
        </w:rPr>
        <w:t>.0</w:t>
      </w:r>
      <w:r w:rsidR="00D8210F">
        <w:rPr>
          <w:rFonts w:cs="Arial"/>
          <w:bCs/>
          <w:i w:val="0"/>
          <w:iCs/>
        </w:rPr>
        <w:t xml:space="preserve">, consisting </w:t>
      </w:r>
      <w:r w:rsidR="0073242F">
        <w:rPr>
          <w:rFonts w:cs="Arial"/>
          <w:bCs/>
          <w:i w:val="0"/>
          <w:iCs/>
        </w:rPr>
        <w:t>in:</w:t>
      </w:r>
      <w:r w:rsidR="00D8210F">
        <w:rPr>
          <w:rFonts w:cs="Arial"/>
          <w:bCs/>
          <w:i w:val="0"/>
          <w:iCs/>
        </w:rPr>
        <w:t xml:space="preserve"> </w:t>
      </w:r>
      <w:r w:rsidR="00152ECE">
        <w:rPr>
          <w:rFonts w:cs="Arial"/>
          <w:bCs/>
          <w:i w:val="0"/>
          <w:iCs/>
        </w:rPr>
        <w:t>€</w:t>
      </w:r>
      <w:r w:rsidR="00777C1C">
        <w:rPr>
          <w:rFonts w:cs="Arial"/>
          <w:bCs/>
          <w:i w:val="0"/>
          <w:iCs/>
        </w:rPr>
        <w:t>2502</w:t>
      </w:r>
      <w:r w:rsidR="00152ECE">
        <w:rPr>
          <w:rFonts w:cs="Arial"/>
          <w:bCs/>
          <w:i w:val="0"/>
          <w:iCs/>
        </w:rPr>
        <w:t>.</w:t>
      </w:r>
      <w:r w:rsidR="00777C1C">
        <w:rPr>
          <w:rFonts w:cs="Arial"/>
          <w:bCs/>
          <w:i w:val="0"/>
          <w:iCs/>
        </w:rPr>
        <w:t>5</w:t>
      </w:r>
      <w:r w:rsidR="00492EC6">
        <w:rPr>
          <w:rFonts w:cs="Arial"/>
          <w:bCs/>
          <w:i w:val="0"/>
          <w:iCs/>
        </w:rPr>
        <w:t xml:space="preserve"> of pesticides</w:t>
      </w:r>
      <w:r w:rsidR="00934D8B">
        <w:rPr>
          <w:rFonts w:cs="Arial"/>
          <w:bCs/>
          <w:i w:val="0"/>
          <w:iCs/>
        </w:rPr>
        <w:t>,</w:t>
      </w:r>
      <w:r w:rsidR="001E2975">
        <w:rPr>
          <w:rFonts w:cs="Arial"/>
          <w:bCs/>
          <w:i w:val="0"/>
          <w:iCs/>
        </w:rPr>
        <w:t xml:space="preserve"> </w:t>
      </w:r>
      <w:r w:rsidR="00152ECE">
        <w:rPr>
          <w:rFonts w:cs="Arial"/>
          <w:bCs/>
          <w:i w:val="0"/>
          <w:iCs/>
        </w:rPr>
        <w:t>€</w:t>
      </w:r>
      <w:r w:rsidR="001E2975">
        <w:rPr>
          <w:rFonts w:cs="Arial"/>
          <w:bCs/>
          <w:i w:val="0"/>
          <w:iCs/>
        </w:rPr>
        <w:t>52</w:t>
      </w:r>
      <w:r w:rsidR="0073242F">
        <w:rPr>
          <w:rFonts w:cs="Arial"/>
          <w:bCs/>
          <w:i w:val="0"/>
          <w:iCs/>
        </w:rPr>
        <w:t>.</w:t>
      </w:r>
      <w:r w:rsidR="004B2F72">
        <w:rPr>
          <w:rFonts w:cs="Arial"/>
          <w:bCs/>
          <w:i w:val="0"/>
          <w:iCs/>
        </w:rPr>
        <w:t>7</w:t>
      </w:r>
      <w:r w:rsidR="001E2975">
        <w:rPr>
          <w:rFonts w:cs="Arial"/>
          <w:bCs/>
          <w:i w:val="0"/>
          <w:iCs/>
        </w:rPr>
        <w:t xml:space="preserve"> of water and </w:t>
      </w:r>
      <w:r w:rsidR="0073242F">
        <w:rPr>
          <w:rFonts w:cs="Arial"/>
          <w:bCs/>
          <w:i w:val="0"/>
          <w:iCs/>
        </w:rPr>
        <w:t>€</w:t>
      </w:r>
      <w:r w:rsidR="009A59D6">
        <w:rPr>
          <w:rFonts w:cs="Arial"/>
          <w:bCs/>
          <w:i w:val="0"/>
          <w:iCs/>
        </w:rPr>
        <w:t>44</w:t>
      </w:r>
      <w:r w:rsidR="00C664C5">
        <w:rPr>
          <w:rFonts w:cs="Arial"/>
          <w:bCs/>
          <w:i w:val="0"/>
          <w:iCs/>
        </w:rPr>
        <w:t>.</w:t>
      </w:r>
      <w:r w:rsidR="004B2F72">
        <w:rPr>
          <w:rFonts w:cs="Arial"/>
          <w:bCs/>
          <w:i w:val="0"/>
          <w:iCs/>
        </w:rPr>
        <w:t>8</w:t>
      </w:r>
      <w:r w:rsidR="001E2975">
        <w:rPr>
          <w:rFonts w:cs="Arial"/>
          <w:bCs/>
          <w:i w:val="0"/>
          <w:iCs/>
        </w:rPr>
        <w:t xml:space="preserve"> of fuel.</w:t>
      </w:r>
      <w:r w:rsidR="001A3870">
        <w:rPr>
          <w:rFonts w:cs="Arial"/>
          <w:bCs/>
          <w:i w:val="0"/>
          <w:iCs/>
        </w:rPr>
        <w:t xml:space="preserve"> </w:t>
      </w:r>
      <w:r w:rsidR="00392161">
        <w:rPr>
          <w:rFonts w:cs="Arial"/>
          <w:bCs/>
          <w:i w:val="0"/>
          <w:iCs/>
        </w:rPr>
        <w:t xml:space="preserve">Overall, </w:t>
      </w:r>
      <w:r w:rsidR="007A4AF4">
        <w:rPr>
          <w:rFonts w:cs="Arial"/>
          <w:bCs/>
          <w:i w:val="0"/>
          <w:iCs/>
        </w:rPr>
        <w:t xml:space="preserve">VRA </w:t>
      </w:r>
      <w:r w:rsidR="00A51C8E">
        <w:rPr>
          <w:rFonts w:cs="Arial"/>
          <w:bCs/>
          <w:i w:val="0"/>
          <w:iCs/>
        </w:rPr>
        <w:t>system</w:t>
      </w:r>
      <w:r w:rsidR="007A4AF4">
        <w:rPr>
          <w:rFonts w:cs="Arial"/>
          <w:bCs/>
          <w:i w:val="0"/>
          <w:iCs/>
        </w:rPr>
        <w:t xml:space="preserve"> </w:t>
      </w:r>
      <w:r w:rsidR="00A51C8E">
        <w:rPr>
          <w:rFonts w:cs="Arial"/>
          <w:bCs/>
          <w:i w:val="0"/>
          <w:iCs/>
        </w:rPr>
        <w:t>showed</w:t>
      </w:r>
      <w:r w:rsidR="004F71B9">
        <w:rPr>
          <w:rFonts w:cs="Arial"/>
          <w:bCs/>
          <w:i w:val="0"/>
          <w:iCs/>
        </w:rPr>
        <w:t xml:space="preserve"> </w:t>
      </w:r>
      <w:r w:rsidR="00EE3B90">
        <w:rPr>
          <w:rFonts w:cs="Arial"/>
          <w:bCs/>
          <w:i w:val="0"/>
          <w:iCs/>
        </w:rPr>
        <w:t xml:space="preserve">good </w:t>
      </w:r>
      <w:r w:rsidR="00392161">
        <w:rPr>
          <w:rFonts w:cs="Arial"/>
          <w:bCs/>
          <w:i w:val="0"/>
          <w:iCs/>
        </w:rPr>
        <w:t>spraying</w:t>
      </w:r>
      <w:r w:rsidR="0004123D">
        <w:rPr>
          <w:rFonts w:cs="Arial"/>
          <w:bCs/>
          <w:i w:val="0"/>
          <w:iCs/>
        </w:rPr>
        <w:t xml:space="preserve"> </w:t>
      </w:r>
      <w:r w:rsidR="00EE3B90">
        <w:rPr>
          <w:rFonts w:cs="Arial"/>
          <w:bCs/>
          <w:i w:val="0"/>
          <w:iCs/>
        </w:rPr>
        <w:t>performance</w:t>
      </w:r>
      <w:r w:rsidR="0004123D">
        <w:rPr>
          <w:rFonts w:cs="Arial"/>
          <w:bCs/>
          <w:i w:val="0"/>
          <w:iCs/>
        </w:rPr>
        <w:t>s reducing the application volume</w:t>
      </w:r>
      <w:r w:rsidR="008C31FA">
        <w:rPr>
          <w:rFonts w:cs="Arial"/>
          <w:bCs/>
          <w:i w:val="0"/>
          <w:iCs/>
        </w:rPr>
        <w:t xml:space="preserve"> significantly and </w:t>
      </w:r>
      <w:r w:rsidR="00EF63CF">
        <w:rPr>
          <w:rFonts w:cs="Arial"/>
          <w:bCs/>
          <w:i w:val="0"/>
          <w:iCs/>
        </w:rPr>
        <w:t>enhancing economic sustainability.</w:t>
      </w:r>
      <w:r w:rsidR="008C31FA">
        <w:rPr>
          <w:rFonts w:cs="Arial"/>
          <w:bCs/>
          <w:i w:val="0"/>
          <w:iCs/>
        </w:rPr>
        <w:t xml:space="preserve"> </w:t>
      </w:r>
    </w:p>
    <w:p w14:paraId="7575F7CD" w14:textId="35748535" w:rsidR="00434EB6" w:rsidRDefault="001618CF" w:rsidP="00D21816">
      <w:pPr>
        <w:widowControl w:val="0"/>
        <w:autoSpaceDE w:val="0"/>
        <w:autoSpaceDN w:val="0"/>
        <w:adjustRightInd w:val="0"/>
        <w:ind w:left="640" w:hanging="640"/>
        <w:rPr>
          <w:rFonts w:cs="Arial"/>
          <w:i/>
          <w:iCs/>
        </w:rPr>
      </w:pPr>
      <w:r w:rsidRPr="00CF330D">
        <w:rPr>
          <w:rFonts w:cs="Arial"/>
          <w:i/>
          <w:iCs/>
          <w:szCs w:val="22"/>
        </w:rPr>
        <w:fldChar w:fldCharType="begin" w:fldLock="1"/>
      </w:r>
      <w:r w:rsidRPr="00CF330D">
        <w:rPr>
          <w:rFonts w:cs="Arial"/>
          <w:i/>
          <w:iCs/>
          <w:szCs w:val="22"/>
        </w:rPr>
        <w:instrText xml:space="preserve">ADDIN Mendeley Bibliography CSL_BIBLIOGRAPHY </w:instrText>
      </w:r>
      <w:r w:rsidRPr="00CF330D">
        <w:rPr>
          <w:rFonts w:cs="Arial"/>
          <w:i/>
          <w:iCs/>
          <w:szCs w:val="22"/>
        </w:rPr>
        <w:fldChar w:fldCharType="separate"/>
      </w:r>
      <w:r w:rsidR="00777C1C" w:rsidRPr="00CF330D">
        <w:rPr>
          <w:rFonts w:cs="Arial"/>
          <w:noProof/>
          <w:szCs w:val="22"/>
        </w:rPr>
        <w:t xml:space="preserve">1. </w:t>
      </w:r>
      <w:r w:rsidR="00777C1C" w:rsidRPr="00CF330D">
        <w:rPr>
          <w:rFonts w:cs="Arial"/>
          <w:noProof/>
          <w:szCs w:val="22"/>
        </w:rPr>
        <w:tab/>
        <w:t xml:space="preserve">Grella, M.; Gioelli, F.; Marucco, P.; Zwertvaegher, I.; Mozzanini, E.; Mylonas, N.; Nuyttens, D.; Balsari, P. </w:t>
      </w:r>
      <w:r w:rsidR="00777C1C" w:rsidRPr="00CF330D">
        <w:rPr>
          <w:rFonts w:cs="Arial"/>
          <w:i/>
          <w:iCs/>
          <w:noProof/>
          <w:szCs w:val="22"/>
        </w:rPr>
        <w:t>Field assessment of a pulse width modulation (PWM) spray system applying different spray volumes: duty cycle and forward speed effects on vines spray coverage</w:t>
      </w:r>
      <w:r w:rsidR="00777C1C" w:rsidRPr="00CF330D">
        <w:rPr>
          <w:rFonts w:cs="Arial"/>
          <w:noProof/>
          <w:szCs w:val="22"/>
        </w:rPr>
        <w:t>; Springer US, 2021; ISBN 0123456789.</w:t>
      </w:r>
      <w:r w:rsidRPr="00CF330D">
        <w:rPr>
          <w:rFonts w:cs="Arial"/>
          <w:i/>
          <w:iCs/>
          <w:szCs w:val="22"/>
        </w:rPr>
        <w:fldChar w:fldCharType="end"/>
      </w:r>
    </w:p>
    <w:sectPr w:rsidR="00434EB6" w:rsidSect="005C515D">
      <w:headerReference w:type="default" r:id="rId10"/>
      <w:pgSz w:w="11906" w:h="16838" w:code="9"/>
      <w:pgMar w:top="1985" w:right="1701" w:bottom="1701" w:left="1701" w:header="720"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4ED6" w14:textId="77777777" w:rsidR="00846A99" w:rsidRDefault="00846A99">
      <w:r>
        <w:separator/>
      </w:r>
    </w:p>
  </w:endnote>
  <w:endnote w:type="continuationSeparator" w:id="0">
    <w:p w14:paraId="66A937EF" w14:textId="77777777" w:rsidR="00846A99" w:rsidRDefault="0084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reekC">
    <w:panose1 w:val="000004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DA18" w14:textId="77777777" w:rsidR="00846A99" w:rsidRDefault="00846A99">
      <w:r>
        <w:separator/>
      </w:r>
    </w:p>
  </w:footnote>
  <w:footnote w:type="continuationSeparator" w:id="0">
    <w:p w14:paraId="0118FAFF" w14:textId="77777777" w:rsidR="00846A99" w:rsidRDefault="0084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3E773519" w14:textId="77777777" w:rsidTr="00181530">
      <w:trPr>
        <w:cantSplit/>
        <w:trHeight w:hRule="exact" w:val="911"/>
      </w:trPr>
      <w:tc>
        <w:tcPr>
          <w:tcW w:w="926" w:type="dxa"/>
          <w:vAlign w:val="center"/>
        </w:tcPr>
        <w:p w14:paraId="3585BC8B" w14:textId="77777777" w:rsidR="00DA1D82" w:rsidRDefault="00DA1D82" w:rsidP="00DA1D82">
          <w:pPr>
            <w:pStyle w:val="Intestazione"/>
            <w:jc w:val="center"/>
            <w:rPr>
              <w:i/>
              <w:sz w:val="20"/>
              <w:lang w:val="en-GB"/>
            </w:rPr>
          </w:pPr>
          <w:r>
            <w:rPr>
              <w:i/>
              <w:noProof/>
              <w:sz w:val="20"/>
              <w:lang w:val="en-GB" w:eastAsia="en-GB"/>
            </w:rPr>
            <w:drawing>
              <wp:anchor distT="0" distB="0" distL="114300" distR="114300" simplePos="0" relativeHeight="251658240" behindDoc="0" locked="0" layoutInCell="1" allowOverlap="1" wp14:anchorId="3E768058" wp14:editId="63268DDA">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69EF41D" w14:textId="77777777" w:rsidR="00DA1D82" w:rsidRDefault="00DA1D82" w:rsidP="00DA1D82">
          <w:pPr>
            <w:pStyle w:val="Intestazione"/>
            <w:rPr>
              <w:i/>
              <w:sz w:val="20"/>
              <w:lang w:val="en-GB"/>
            </w:rPr>
          </w:pPr>
        </w:p>
      </w:tc>
      <w:tc>
        <w:tcPr>
          <w:tcW w:w="7712" w:type="dxa"/>
          <w:vAlign w:val="center"/>
        </w:tcPr>
        <w:p w14:paraId="7B07F1A5"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7ACE4378"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55FF4E99"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7E3CE109"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0MDSyMDE2MrY0NbVU0lEKTi0uzszPAykwqQUAADZNYCwAAAA="/>
  </w:docVars>
  <w:rsids>
    <w:rsidRoot w:val="00782C7C"/>
    <w:rsid w:val="00003E7A"/>
    <w:rsid w:val="000160F0"/>
    <w:rsid w:val="0002599E"/>
    <w:rsid w:val="0004123D"/>
    <w:rsid w:val="00044427"/>
    <w:rsid w:val="0006325D"/>
    <w:rsid w:val="00074E99"/>
    <w:rsid w:val="000808A0"/>
    <w:rsid w:val="000F6FF4"/>
    <w:rsid w:val="00100D2B"/>
    <w:rsid w:val="0011431F"/>
    <w:rsid w:val="00141BCD"/>
    <w:rsid w:val="00152ECE"/>
    <w:rsid w:val="001618CF"/>
    <w:rsid w:val="00181530"/>
    <w:rsid w:val="001879D9"/>
    <w:rsid w:val="0019499D"/>
    <w:rsid w:val="001A3870"/>
    <w:rsid w:val="001C106C"/>
    <w:rsid w:val="001C5DE4"/>
    <w:rsid w:val="001D097E"/>
    <w:rsid w:val="001D4F98"/>
    <w:rsid w:val="001E2975"/>
    <w:rsid w:val="00231931"/>
    <w:rsid w:val="002364DE"/>
    <w:rsid w:val="00271A3C"/>
    <w:rsid w:val="002827A8"/>
    <w:rsid w:val="002B3EA9"/>
    <w:rsid w:val="002B4D4F"/>
    <w:rsid w:val="002B5060"/>
    <w:rsid w:val="00307C7D"/>
    <w:rsid w:val="00321998"/>
    <w:rsid w:val="0037312F"/>
    <w:rsid w:val="00387BD9"/>
    <w:rsid w:val="00392161"/>
    <w:rsid w:val="003931B4"/>
    <w:rsid w:val="003A3F8E"/>
    <w:rsid w:val="003B5E86"/>
    <w:rsid w:val="003E189D"/>
    <w:rsid w:val="00434EB6"/>
    <w:rsid w:val="00476C22"/>
    <w:rsid w:val="00492EC6"/>
    <w:rsid w:val="004A1D39"/>
    <w:rsid w:val="004B2F72"/>
    <w:rsid w:val="004B60BF"/>
    <w:rsid w:val="004C7D73"/>
    <w:rsid w:val="004F71B9"/>
    <w:rsid w:val="00532699"/>
    <w:rsid w:val="005520E0"/>
    <w:rsid w:val="0056337D"/>
    <w:rsid w:val="0057379C"/>
    <w:rsid w:val="0058471E"/>
    <w:rsid w:val="0059449E"/>
    <w:rsid w:val="005A41BF"/>
    <w:rsid w:val="005B1A45"/>
    <w:rsid w:val="005C2431"/>
    <w:rsid w:val="005C515D"/>
    <w:rsid w:val="005D3192"/>
    <w:rsid w:val="006359C5"/>
    <w:rsid w:val="00650208"/>
    <w:rsid w:val="0067301D"/>
    <w:rsid w:val="006A1E6B"/>
    <w:rsid w:val="006B4179"/>
    <w:rsid w:val="006C2472"/>
    <w:rsid w:val="006D5F89"/>
    <w:rsid w:val="006D70D0"/>
    <w:rsid w:val="006F5642"/>
    <w:rsid w:val="0070462D"/>
    <w:rsid w:val="00712E5C"/>
    <w:rsid w:val="0073242F"/>
    <w:rsid w:val="007348F9"/>
    <w:rsid w:val="00745637"/>
    <w:rsid w:val="0075567B"/>
    <w:rsid w:val="00757D9E"/>
    <w:rsid w:val="00777C1C"/>
    <w:rsid w:val="00782C7C"/>
    <w:rsid w:val="00791E82"/>
    <w:rsid w:val="00794659"/>
    <w:rsid w:val="007972E3"/>
    <w:rsid w:val="007A4AF4"/>
    <w:rsid w:val="007E3A4F"/>
    <w:rsid w:val="00803C06"/>
    <w:rsid w:val="0081055C"/>
    <w:rsid w:val="00846A99"/>
    <w:rsid w:val="00850C1C"/>
    <w:rsid w:val="00855490"/>
    <w:rsid w:val="00881B19"/>
    <w:rsid w:val="008C075A"/>
    <w:rsid w:val="008C31FA"/>
    <w:rsid w:val="008F7CDD"/>
    <w:rsid w:val="0091675D"/>
    <w:rsid w:val="00924C6A"/>
    <w:rsid w:val="00934D8B"/>
    <w:rsid w:val="009574E7"/>
    <w:rsid w:val="00963874"/>
    <w:rsid w:val="009862FA"/>
    <w:rsid w:val="00992D16"/>
    <w:rsid w:val="009A2374"/>
    <w:rsid w:val="009A59D6"/>
    <w:rsid w:val="009E7456"/>
    <w:rsid w:val="00A01CDB"/>
    <w:rsid w:val="00A153A3"/>
    <w:rsid w:val="00A26FA7"/>
    <w:rsid w:val="00A51C8E"/>
    <w:rsid w:val="00A76043"/>
    <w:rsid w:val="00A76C4A"/>
    <w:rsid w:val="00AB71CA"/>
    <w:rsid w:val="00AD1833"/>
    <w:rsid w:val="00AE3B7E"/>
    <w:rsid w:val="00AE6DED"/>
    <w:rsid w:val="00B430D3"/>
    <w:rsid w:val="00B474D8"/>
    <w:rsid w:val="00B70BC2"/>
    <w:rsid w:val="00B76269"/>
    <w:rsid w:val="00B87784"/>
    <w:rsid w:val="00BC4415"/>
    <w:rsid w:val="00BC4CDC"/>
    <w:rsid w:val="00C10FB7"/>
    <w:rsid w:val="00C14A8A"/>
    <w:rsid w:val="00C664C5"/>
    <w:rsid w:val="00C85407"/>
    <w:rsid w:val="00C9385C"/>
    <w:rsid w:val="00CC5EB6"/>
    <w:rsid w:val="00CC7C4A"/>
    <w:rsid w:val="00CD2787"/>
    <w:rsid w:val="00CF330D"/>
    <w:rsid w:val="00CF708A"/>
    <w:rsid w:val="00CF7277"/>
    <w:rsid w:val="00D21816"/>
    <w:rsid w:val="00D50D2C"/>
    <w:rsid w:val="00D656C0"/>
    <w:rsid w:val="00D76187"/>
    <w:rsid w:val="00D8210F"/>
    <w:rsid w:val="00D8237A"/>
    <w:rsid w:val="00D91BC2"/>
    <w:rsid w:val="00D93408"/>
    <w:rsid w:val="00DA1D82"/>
    <w:rsid w:val="00DB32CB"/>
    <w:rsid w:val="00DC36BE"/>
    <w:rsid w:val="00DF66FD"/>
    <w:rsid w:val="00E12F7A"/>
    <w:rsid w:val="00E27A4F"/>
    <w:rsid w:val="00E45500"/>
    <w:rsid w:val="00E547A4"/>
    <w:rsid w:val="00E61F67"/>
    <w:rsid w:val="00E86C35"/>
    <w:rsid w:val="00E958A0"/>
    <w:rsid w:val="00EA0DE5"/>
    <w:rsid w:val="00EA2A80"/>
    <w:rsid w:val="00EE1954"/>
    <w:rsid w:val="00EE1CF2"/>
    <w:rsid w:val="00EE3B90"/>
    <w:rsid w:val="00EF63CF"/>
    <w:rsid w:val="00F246AF"/>
    <w:rsid w:val="00F24D3F"/>
    <w:rsid w:val="00F52122"/>
    <w:rsid w:val="00F56CB2"/>
    <w:rsid w:val="00F927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FE97F"/>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character" w:styleId="Rimandocommento">
    <w:name w:val="annotation reference"/>
    <w:basedOn w:val="Carpredefinitoparagrafo"/>
    <w:uiPriority w:val="99"/>
    <w:semiHidden/>
    <w:unhideWhenUsed/>
    <w:rsid w:val="00AE3B7E"/>
    <w:rPr>
      <w:sz w:val="16"/>
      <w:szCs w:val="16"/>
    </w:rPr>
  </w:style>
  <w:style w:type="paragraph" w:styleId="Testocommento">
    <w:name w:val="annotation text"/>
    <w:basedOn w:val="Normale"/>
    <w:link w:val="TestocommentoCarattere"/>
    <w:uiPriority w:val="99"/>
    <w:semiHidden/>
    <w:unhideWhenUsed/>
    <w:rsid w:val="00AE3B7E"/>
    <w:rPr>
      <w:sz w:val="20"/>
    </w:rPr>
  </w:style>
  <w:style w:type="character" w:customStyle="1" w:styleId="TestocommentoCarattere">
    <w:name w:val="Testo commento Carattere"/>
    <w:basedOn w:val="Carpredefinitoparagrafo"/>
    <w:link w:val="Testocommento"/>
    <w:uiPriority w:val="99"/>
    <w:semiHidden/>
    <w:rsid w:val="00AE3B7E"/>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AE3B7E"/>
    <w:rPr>
      <w:b/>
      <w:bCs/>
    </w:rPr>
  </w:style>
  <w:style w:type="character" w:customStyle="1" w:styleId="SoggettocommentoCarattere">
    <w:name w:val="Soggetto commento Carattere"/>
    <w:basedOn w:val="TestocommentoCarattere"/>
    <w:link w:val="Soggettocommento"/>
    <w:uiPriority w:val="99"/>
    <w:semiHidden/>
    <w:rsid w:val="00AE3B7E"/>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0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DF5C8F-3918-4A70-B23A-B8121E38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asae-tp.dot</Template>
  <TotalTime>0</TotalTime>
  <Pages>1</Pages>
  <Words>951</Words>
  <Characters>5425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6364</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Andrea Pagliai</cp:lastModifiedBy>
  <cp:revision>3</cp:revision>
  <cp:lastPrinted>2022-03-29T09:02:00Z</cp:lastPrinted>
  <dcterms:created xsi:type="dcterms:W3CDTF">2022-04-05T07:19:00Z</dcterms:created>
  <dcterms:modified xsi:type="dcterms:W3CDTF">2022-04-05T15:57:00Z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Mendeley Recent Style Id 0_1">
    <vt:lpwstr>http://www.zotero.org/styles/agronomy-for-sustainable-development</vt:lpwstr>
  </property>
  <property fmtid="{D5CDD505-2E9C-101B-9397-08002B2CF9AE}" pid="5" name="Mendeley Recent Style Name 0_1">
    <vt:lpwstr>Agronomy for Sustainable Development</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 11th edition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7th edition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 6th edition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17th edition (author-date)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http://www.zotero.org/styles/journal-of-animal-physiology-and-animal-nutrition</vt:lpwstr>
  </property>
  <property fmtid="{D5CDD505-2E9C-101B-9397-08002B2CF9AE}" pid="19" name="Mendeley Recent Style Name 7_1">
    <vt:lpwstr>Journal of Animal Physiology and Animal Nutrition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http://www.zotero.org/styles/remote-sensing</vt:lpwstr>
  </property>
  <property fmtid="{D5CDD505-2E9C-101B-9397-08002B2CF9AE}" pid="23" name="Mendeley Recent Style Name 9_1">
    <vt:lpwstr>Remote Sensing</vt:lpwstr>
  </property>
  <property fmtid="{D5CDD505-2E9C-101B-9397-08002B2CF9AE}" pid="24" name="Mendeley Document_1">
    <vt:lpwstr>True</vt:lpwstr>
  </property>
  <property fmtid="{D5CDD505-2E9C-101B-9397-08002B2CF9AE}" pid="25" name="Mendeley Unique User Id_1">
    <vt:lpwstr>84f9348b-b19c-35e6-83d5-b87f85cfe1da</vt:lpwstr>
  </property>
  <property fmtid="{D5CDD505-2E9C-101B-9397-08002B2CF9AE}" pid="26" name="Mendeley Citation Style_1">
    <vt:lpwstr>http://www.zotero.org/styles/remote-sensing</vt:lpwstr>
  </property>
</Properties>
</file>