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E93BCF3" w14:textId="6288241B" w:rsidR="00434EB6" w:rsidRDefault="00001FA4">
      <w:pPr>
        <w:pStyle w:val="Titolo"/>
        <w:ind w:start="0pt" w:end="2.45pt"/>
        <w:rPr>
          <w:sz w:val="28"/>
        </w:rPr>
      </w:pPr>
      <w:r>
        <w:t>Green Infrastructures and wine landscape</w:t>
      </w:r>
      <w:r w:rsidR="00704A7F">
        <w:t>s</w:t>
      </w:r>
      <w:r>
        <w:t xml:space="preserve">: </w:t>
      </w:r>
      <w:r w:rsidR="00704A7F">
        <w:t xml:space="preserve">a </w:t>
      </w:r>
      <w:r>
        <w:t xml:space="preserve">case </w:t>
      </w:r>
      <w:r w:rsidR="00704A7F">
        <w:t xml:space="preserve">study in </w:t>
      </w:r>
      <w:r>
        <w:t>Bordeaux.</w:t>
      </w:r>
    </w:p>
    <w:p w14:paraId="74C4822D" w14:textId="1BDE0A6F" w:rsidR="00434EB6" w:rsidRPr="00F93365" w:rsidRDefault="00053679">
      <w:pPr>
        <w:pStyle w:val="Author"/>
        <w:jc w:val="center"/>
        <w:rPr>
          <w:lang w:val="it-IT"/>
        </w:rPr>
      </w:pPr>
      <w:r w:rsidRPr="00F55F5E">
        <w:rPr>
          <w:lang w:val="it-IT"/>
        </w:rPr>
        <w:t>Andrea De Montis</w:t>
      </w:r>
      <w:r>
        <w:rPr>
          <w:lang w:val="it-IT"/>
        </w:rPr>
        <w:t xml:space="preserve">, </w:t>
      </w:r>
      <w:r w:rsidRPr="00F93365">
        <w:rPr>
          <w:lang w:val="it-IT"/>
        </w:rPr>
        <w:t>Giovanna Calia</w:t>
      </w:r>
      <w:r>
        <w:rPr>
          <w:lang w:val="it-IT"/>
        </w:rPr>
        <w:t>*</w:t>
      </w:r>
      <w:r w:rsidRPr="00F93365">
        <w:rPr>
          <w:lang w:val="it-IT"/>
        </w:rPr>
        <w:t xml:space="preserve">, Antonio Ledda </w:t>
      </w:r>
    </w:p>
    <w:p w14:paraId="3CA6000B" w14:textId="5E15E98D" w:rsidR="00001FA4" w:rsidRDefault="00001FA4" w:rsidP="00001FA4">
      <w:pPr>
        <w:pStyle w:val="Address"/>
        <w:jc w:val="center"/>
      </w:pPr>
      <w:r>
        <w:t xml:space="preserve">Andrea De Montis, Department of Agricultural Sciences, University of Sassari, Sassari, Italy, </w:t>
      </w:r>
      <w:hyperlink r:id="rId8" w:history="1">
        <w:r w:rsidRPr="00E52EBF">
          <w:rPr>
            <w:rStyle w:val="Collegamentoipertestuale"/>
          </w:rPr>
          <w:t>andreadm@uniss.it</w:t>
        </w:r>
      </w:hyperlink>
    </w:p>
    <w:p w14:paraId="2C83A1E3" w14:textId="0CBDA30F" w:rsidR="00001FA4" w:rsidRPr="00527184" w:rsidRDefault="00001FA4" w:rsidP="00001FA4">
      <w:pPr>
        <w:pStyle w:val="Author"/>
        <w:jc w:val="center"/>
        <w:rPr>
          <w:b w:val="0"/>
          <w:sz w:val="22"/>
        </w:rPr>
      </w:pPr>
      <w:r w:rsidRPr="00527184">
        <w:rPr>
          <w:b w:val="0"/>
          <w:sz w:val="22"/>
        </w:rPr>
        <w:t xml:space="preserve">Antonio Ledda, Department of Agricultural Sciences, University of Sassari, Sassari, Italy, </w:t>
      </w:r>
      <w:hyperlink r:id="rId9" w:history="1">
        <w:r w:rsidR="007743FE" w:rsidRPr="00527184">
          <w:rPr>
            <w:b w:val="0"/>
            <w:sz w:val="22"/>
          </w:rPr>
          <w:t>antonioledda@uniss.it</w:t>
        </w:r>
      </w:hyperlink>
    </w:p>
    <w:p w14:paraId="31C2F8A0" w14:textId="663BC43C" w:rsidR="00434EB6" w:rsidRDefault="007743FE" w:rsidP="00527184">
      <w:pPr>
        <w:jc w:val="center"/>
      </w:pPr>
      <w:r>
        <w:t xml:space="preserve">Giovanna Calia, Department of Civil and Environmental Engineering and Architecture, University of Cagliari, Cagliari, Italy, </w:t>
      </w:r>
      <w:hyperlink r:id="rId10" w:history="1">
        <w:r w:rsidR="00053679" w:rsidRPr="00FF310D">
          <w:rPr>
            <w:rStyle w:val="Collegamentoipertestuale"/>
          </w:rPr>
          <w:t>giovannacalia@live.it</w:t>
        </w:r>
      </w:hyperlink>
      <w:r w:rsidR="00053679">
        <w:t>, corresponding author</w:t>
      </w:r>
    </w:p>
    <w:p w14:paraId="1FC8EAC4" w14:textId="77777777" w:rsidR="00434EB6" w:rsidRDefault="00434EB6"/>
    <w:p w14:paraId="79E33678" w14:textId="4501D3CB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"</w:t>
      </w:r>
      <w:proofErr w:type="gramStart"/>
      <w:r w:rsidR="007743FE">
        <w:t>green</w:t>
      </w:r>
      <w:proofErr w:type="gramEnd"/>
      <w:r w:rsidR="007743FE">
        <w:t xml:space="preserve"> infrastructures”, “wine landscape</w:t>
      </w:r>
      <w:r w:rsidR="008F5C92">
        <w:t xml:space="preserve"> protection</w:t>
      </w:r>
      <w:r w:rsidR="007743FE">
        <w:t>”, “ecosystem services”</w:t>
      </w:r>
      <w:r w:rsidR="008F5C92">
        <w:t>.</w:t>
      </w:r>
    </w:p>
    <w:p w14:paraId="5CA9C0F7" w14:textId="3F77CEDC" w:rsidR="008F5C92" w:rsidRPr="00F93365" w:rsidRDefault="00434EB6" w:rsidP="00F93365">
      <w:pPr>
        <w:pStyle w:val="Abstract"/>
        <w:jc w:val="both"/>
        <w:rPr>
          <w:lang w:val="it-IT"/>
        </w:rPr>
      </w:pPr>
      <w:r w:rsidRPr="00F93365">
        <w:rPr>
          <w:b/>
          <w:i w:val="0"/>
          <w:lang w:val="it-IT"/>
        </w:rPr>
        <w:t>Abstract.</w:t>
      </w:r>
      <w:r w:rsidRPr="00F93365">
        <w:rPr>
          <w:rFonts w:cs="Arial"/>
          <w:iCs/>
          <w:lang w:val="it-IT"/>
        </w:rPr>
        <w:t xml:space="preserve"> </w:t>
      </w:r>
    </w:p>
    <w:p w14:paraId="61606002" w14:textId="2A10114C" w:rsidR="00F93365" w:rsidRPr="00E907FF" w:rsidRDefault="00F93365" w:rsidP="008F5C92">
      <w:pPr>
        <w:rPr>
          <w:lang w:val="en-GB"/>
        </w:rPr>
      </w:pPr>
      <w:r>
        <w:rPr>
          <w:lang w:val="en-GB"/>
        </w:rPr>
        <w:t>I</w:t>
      </w:r>
      <w:r w:rsidRPr="00473511">
        <w:rPr>
          <w:lang w:val="en-GB"/>
        </w:rPr>
        <w:t xml:space="preserve">n the last </w:t>
      </w:r>
      <w:r>
        <w:rPr>
          <w:lang w:val="en-GB"/>
        </w:rPr>
        <w:t>fifty</w:t>
      </w:r>
      <w:r w:rsidRPr="00473511">
        <w:rPr>
          <w:lang w:val="en-GB"/>
        </w:rPr>
        <w:t xml:space="preserve"> years</w:t>
      </w:r>
      <w:r>
        <w:rPr>
          <w:lang w:val="en-GB"/>
        </w:rPr>
        <w:t xml:space="preserve">, an </w:t>
      </w:r>
      <w:r w:rsidR="002669FC" w:rsidRPr="00E907FF">
        <w:rPr>
          <w:lang w:val="en-GB"/>
        </w:rPr>
        <w:t xml:space="preserve">excessive </w:t>
      </w:r>
      <w:r>
        <w:rPr>
          <w:lang w:val="en-GB"/>
        </w:rPr>
        <w:t xml:space="preserve">land </w:t>
      </w:r>
      <w:r w:rsidR="002669FC" w:rsidRPr="00E907FF">
        <w:rPr>
          <w:lang w:val="en-GB"/>
        </w:rPr>
        <w:t xml:space="preserve">use </w:t>
      </w:r>
      <w:r>
        <w:rPr>
          <w:lang w:val="en-GB"/>
        </w:rPr>
        <w:t xml:space="preserve">based on </w:t>
      </w:r>
      <w:r w:rsidR="002669FC" w:rsidRPr="00E907FF">
        <w:rPr>
          <w:lang w:val="en-GB"/>
        </w:rPr>
        <w:t xml:space="preserve">uncontrolled urbanization </w:t>
      </w:r>
      <w:r>
        <w:rPr>
          <w:lang w:val="en-GB"/>
        </w:rPr>
        <w:t>affected</w:t>
      </w:r>
      <w:r w:rsidR="002669FC" w:rsidRPr="00E907FF">
        <w:rPr>
          <w:lang w:val="en-GB"/>
        </w:rPr>
        <w:t xml:space="preserve"> landscape</w:t>
      </w:r>
      <w:r>
        <w:rPr>
          <w:lang w:val="en-GB"/>
        </w:rPr>
        <w:t>s</w:t>
      </w:r>
      <w:r w:rsidR="002669FC" w:rsidRPr="00E907FF">
        <w:rPr>
          <w:lang w:val="en-GB"/>
        </w:rPr>
        <w:t xml:space="preserve"> </w:t>
      </w:r>
      <w:r>
        <w:rPr>
          <w:lang w:val="en-GB"/>
        </w:rPr>
        <w:t>leading to</w:t>
      </w:r>
      <w:r w:rsidR="002669FC" w:rsidRPr="00E907FF">
        <w:rPr>
          <w:lang w:val="en-GB"/>
        </w:rPr>
        <w:t xml:space="preserve"> fragmentation and loss of biodiversity. </w:t>
      </w:r>
      <w:r>
        <w:rPr>
          <w:lang w:val="en-GB"/>
        </w:rPr>
        <w:t>Useful countermeasures consist of g</w:t>
      </w:r>
      <w:r w:rsidR="002669FC" w:rsidRPr="00E907FF">
        <w:rPr>
          <w:lang w:val="en-GB"/>
        </w:rPr>
        <w:t>reen infrastructures (GIs)</w:t>
      </w:r>
      <w:r>
        <w:rPr>
          <w:lang w:val="en-GB"/>
        </w:rPr>
        <w:t xml:space="preserve">, </w:t>
      </w:r>
      <w:r w:rsidR="002669FC" w:rsidRPr="00E907FF">
        <w:rPr>
          <w:lang w:val="en-GB"/>
        </w:rPr>
        <w:t>a network of natural and seminatural areas, connected by environmental elements of various shape, which provide many ecosystem services (E</w:t>
      </w:r>
      <w:r>
        <w:rPr>
          <w:lang w:val="en-GB"/>
        </w:rPr>
        <w:t>S</w:t>
      </w:r>
      <w:r w:rsidR="002669FC" w:rsidRPr="00E907FF">
        <w:rPr>
          <w:lang w:val="en-GB"/>
        </w:rPr>
        <w:t>s) or benefits to people</w:t>
      </w:r>
      <w:r>
        <w:rPr>
          <w:lang w:val="en-GB"/>
        </w:rPr>
        <w:t>’s</w:t>
      </w:r>
      <w:r w:rsidR="002669FC" w:rsidRPr="00E907FF">
        <w:rPr>
          <w:lang w:val="en-GB"/>
        </w:rPr>
        <w:t xml:space="preserve"> </w:t>
      </w:r>
      <w:r w:rsidRPr="00F93365">
        <w:rPr>
          <w:lang w:val="en-GB"/>
        </w:rPr>
        <w:t>wellbeing</w:t>
      </w:r>
      <w:r w:rsidR="002669FC" w:rsidRPr="00E907FF">
        <w:rPr>
          <w:lang w:val="en-GB"/>
        </w:rPr>
        <w:t xml:space="preserve">. GIs could be </w:t>
      </w:r>
      <w:r w:rsidR="00F90717" w:rsidRPr="00E907FF">
        <w:rPr>
          <w:lang w:val="en-GB"/>
        </w:rPr>
        <w:t xml:space="preserve">a </w:t>
      </w:r>
      <w:r w:rsidR="002669FC" w:rsidRPr="00E907FF">
        <w:rPr>
          <w:lang w:val="en-GB"/>
        </w:rPr>
        <w:t xml:space="preserve">strategic tool for enhancement and protection of </w:t>
      </w:r>
      <w:r w:rsidR="00F90717" w:rsidRPr="00E907FF">
        <w:rPr>
          <w:lang w:val="en-GB"/>
        </w:rPr>
        <w:t xml:space="preserve">important rural landscapes. </w:t>
      </w:r>
      <w:r>
        <w:rPr>
          <w:lang w:val="en-GB"/>
        </w:rPr>
        <w:t>In the case of</w:t>
      </w:r>
      <w:r w:rsidR="00F90717" w:rsidRPr="00E907FF">
        <w:rPr>
          <w:lang w:val="en-GB"/>
        </w:rPr>
        <w:t xml:space="preserve"> </w:t>
      </w:r>
      <w:r w:rsidR="002669FC" w:rsidRPr="00E907FF">
        <w:rPr>
          <w:lang w:val="en-GB"/>
        </w:rPr>
        <w:t>wine landscape</w:t>
      </w:r>
      <w:r>
        <w:rPr>
          <w:lang w:val="en-GB"/>
        </w:rPr>
        <w:t>s</w:t>
      </w:r>
      <w:r w:rsidR="002669FC" w:rsidRPr="00E907FF">
        <w:rPr>
          <w:lang w:val="en-GB"/>
        </w:rPr>
        <w:t xml:space="preserve">, </w:t>
      </w:r>
      <w:r w:rsidR="00F90717" w:rsidRPr="00E907FF">
        <w:rPr>
          <w:lang w:val="en-GB"/>
        </w:rPr>
        <w:t>GIs</w:t>
      </w:r>
      <w:r w:rsidR="002669FC" w:rsidRPr="00E907FF">
        <w:rPr>
          <w:lang w:val="en-GB"/>
        </w:rPr>
        <w:t xml:space="preserve"> could provide many E</w:t>
      </w:r>
      <w:r>
        <w:rPr>
          <w:lang w:val="en-GB"/>
        </w:rPr>
        <w:t>S</w:t>
      </w:r>
      <w:r w:rsidR="002669FC" w:rsidRPr="00E907FF">
        <w:rPr>
          <w:lang w:val="en-GB"/>
        </w:rPr>
        <w:t>s including</w:t>
      </w:r>
      <w:r>
        <w:rPr>
          <w:lang w:val="en-GB"/>
        </w:rPr>
        <w:t xml:space="preserve">: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>)</w:t>
      </w:r>
      <w:r w:rsidR="002669FC" w:rsidRPr="00E907FF">
        <w:rPr>
          <w:lang w:val="en-GB"/>
        </w:rPr>
        <w:t xml:space="preserve"> </w:t>
      </w:r>
      <w:r>
        <w:rPr>
          <w:lang w:val="en-GB"/>
        </w:rPr>
        <w:t xml:space="preserve">stopping </w:t>
      </w:r>
      <w:r w:rsidR="002669FC" w:rsidRPr="00E907FF">
        <w:rPr>
          <w:lang w:val="en-GB"/>
        </w:rPr>
        <w:t>biodiversity</w:t>
      </w:r>
      <w:r>
        <w:rPr>
          <w:lang w:val="en-GB"/>
        </w:rPr>
        <w:t xml:space="preserve"> decline</w:t>
      </w:r>
      <w:r w:rsidR="002669FC" w:rsidRPr="00E907FF">
        <w:rPr>
          <w:lang w:val="en-GB"/>
        </w:rPr>
        <w:t>,</w:t>
      </w:r>
      <w:r>
        <w:rPr>
          <w:lang w:val="en-GB"/>
        </w:rPr>
        <w:t xml:space="preserve"> ii) </w:t>
      </w:r>
      <w:r w:rsidR="002669FC" w:rsidRPr="00E907FF">
        <w:rPr>
          <w:lang w:val="en-GB"/>
        </w:rPr>
        <w:t>improv</w:t>
      </w:r>
      <w:r>
        <w:rPr>
          <w:lang w:val="en-GB"/>
        </w:rPr>
        <w:t>ing</w:t>
      </w:r>
      <w:r w:rsidR="002669FC" w:rsidRPr="00E907FF">
        <w:rPr>
          <w:lang w:val="en-GB"/>
        </w:rPr>
        <w:t xml:space="preserve"> soil physic</w:t>
      </w:r>
      <w:r>
        <w:rPr>
          <w:lang w:val="en-GB"/>
        </w:rPr>
        <w:t>al and</w:t>
      </w:r>
      <w:r w:rsidR="002669FC" w:rsidRPr="00E907FF">
        <w:rPr>
          <w:lang w:val="en-GB"/>
        </w:rPr>
        <w:t xml:space="preserve"> chemical characteristics, </w:t>
      </w:r>
      <w:r>
        <w:rPr>
          <w:lang w:val="en-GB"/>
        </w:rPr>
        <w:t xml:space="preserve">and iii) offering </w:t>
      </w:r>
      <w:r w:rsidR="002669FC" w:rsidRPr="00E907FF">
        <w:rPr>
          <w:lang w:val="en-GB"/>
        </w:rPr>
        <w:t>recreational and cultural services.</w:t>
      </w:r>
      <w:r w:rsidR="00F90717" w:rsidRPr="00E907FF">
        <w:rPr>
          <w:lang w:val="en-GB"/>
        </w:rPr>
        <w:t xml:space="preserve"> </w:t>
      </w:r>
    </w:p>
    <w:p w14:paraId="2B257800" w14:textId="579C5940" w:rsidR="008F5C92" w:rsidRDefault="00053679" w:rsidP="008F5C92">
      <w:r>
        <w:t>In t</w:t>
      </w:r>
      <w:r w:rsidR="008F5C92" w:rsidRPr="005E28B1">
        <w:t>his study</w:t>
      </w:r>
      <w:r w:rsidR="00F93365">
        <w:t>,</w:t>
      </w:r>
      <w:r w:rsidR="008F5C92" w:rsidRPr="005E28B1">
        <w:t xml:space="preserve"> </w:t>
      </w:r>
      <w:r>
        <w:t>we focus</w:t>
      </w:r>
      <w:r w:rsidR="008F5C92" w:rsidRPr="005E28B1">
        <w:t xml:space="preserve"> on the wine-growing areas of Bordeaux, Nouvelle Aquitaine, France, </w:t>
      </w:r>
      <w:r>
        <w:t xml:space="preserve">as </w:t>
      </w:r>
      <w:r w:rsidR="008F5C92" w:rsidRPr="005E28B1">
        <w:t xml:space="preserve">they are </w:t>
      </w:r>
      <w:r>
        <w:t xml:space="preserve">a vivid </w:t>
      </w:r>
      <w:r w:rsidR="008F5C92" w:rsidRPr="005E28B1">
        <w:t>symbol of the cultural heritage of the city.</w:t>
      </w:r>
      <w:r w:rsidR="008F5C92">
        <w:t xml:space="preserve"> </w:t>
      </w:r>
      <w:r>
        <w:t>In many cases, t</w:t>
      </w:r>
      <w:r w:rsidR="008F5C92" w:rsidRPr="00BC4840">
        <w:t xml:space="preserve">hese agricultural areas </w:t>
      </w:r>
      <w:r>
        <w:t>have been incapsulated in the metropolitan area</w:t>
      </w:r>
      <w:r w:rsidR="00234529">
        <w:t xml:space="preserve"> of </w:t>
      </w:r>
      <w:r w:rsidR="00234529" w:rsidRPr="00BC4840">
        <w:t>Bordeaux</w:t>
      </w:r>
      <w:r w:rsidR="00234529">
        <w:t xml:space="preserve"> and are very </w:t>
      </w:r>
      <w:r w:rsidR="00234529" w:rsidRPr="00BC4840">
        <w:t>vulnerable</w:t>
      </w:r>
      <w:r w:rsidR="00234529">
        <w:t xml:space="preserve">, with respect to </w:t>
      </w:r>
      <w:r w:rsidR="00E907FF">
        <w:t>recent</w:t>
      </w:r>
      <w:r w:rsidR="00234529">
        <w:t xml:space="preserve"> </w:t>
      </w:r>
      <w:r w:rsidR="008F5C92" w:rsidRPr="00BC4840">
        <w:t xml:space="preserve">urbanization </w:t>
      </w:r>
      <w:r w:rsidR="00234529">
        <w:t>processes</w:t>
      </w:r>
      <w:r w:rsidR="008F5C92" w:rsidRPr="00BC4840">
        <w:t>.</w:t>
      </w:r>
      <w:r w:rsidR="008F5C92">
        <w:t xml:space="preserve"> </w:t>
      </w:r>
      <w:r w:rsidR="00234529">
        <w:t xml:space="preserve">In this situation, </w:t>
      </w:r>
      <w:r w:rsidR="008F5C92" w:rsidRPr="007D20EC">
        <w:t>landscape</w:t>
      </w:r>
      <w:r w:rsidR="00234529">
        <w:t>s</w:t>
      </w:r>
      <w:r w:rsidR="008F5C92" w:rsidRPr="007D20EC">
        <w:t xml:space="preserve"> </w:t>
      </w:r>
      <w:r w:rsidR="00234529" w:rsidRPr="007D20EC">
        <w:t>need</w:t>
      </w:r>
      <w:r w:rsidR="008F5C92" w:rsidRPr="007D20EC">
        <w:t xml:space="preserve"> protection from the continuous development of </w:t>
      </w:r>
      <w:r w:rsidR="00234529">
        <w:t xml:space="preserve">the </w:t>
      </w:r>
      <w:r w:rsidR="008F5C92" w:rsidRPr="007D20EC">
        <w:t>city</w:t>
      </w:r>
      <w:r w:rsidR="00234529">
        <w:t xml:space="preserve">. In addition, the vineyards </w:t>
      </w:r>
      <w:r w:rsidR="008F5C92" w:rsidRPr="004241DD">
        <w:t>are characterized by intensive, conventional</w:t>
      </w:r>
      <w:r w:rsidR="00234529">
        <w:t>,</w:t>
      </w:r>
      <w:r w:rsidR="008F5C92" w:rsidRPr="004241DD">
        <w:t xml:space="preserve"> and mechanized viticulture, </w:t>
      </w:r>
      <w:r w:rsidR="00234529">
        <w:t xml:space="preserve">thus are questioned by many </w:t>
      </w:r>
      <w:r w:rsidR="00E907FF">
        <w:t>residents</w:t>
      </w:r>
      <w:r w:rsidR="00234529">
        <w:t xml:space="preserve">, who are worried </w:t>
      </w:r>
      <w:r w:rsidR="00CA0E53">
        <w:t xml:space="preserve">for health issues related </w:t>
      </w:r>
      <w:r w:rsidR="008F5C92" w:rsidRPr="004241DD">
        <w:t>to the intensive use of pesticides.</w:t>
      </w:r>
    </w:p>
    <w:p w14:paraId="00EA008A" w14:textId="6C5917EF" w:rsidR="00877D63" w:rsidRDefault="008F5C92" w:rsidP="00877D63">
      <w:r w:rsidRPr="00AF1EAF">
        <w:t xml:space="preserve">We </w:t>
      </w:r>
      <w:r w:rsidR="00A83141">
        <w:t xml:space="preserve">propose a </w:t>
      </w:r>
      <w:r w:rsidRPr="00AF1EAF">
        <w:t>G</w:t>
      </w:r>
      <w:r w:rsidR="00535E94">
        <w:t xml:space="preserve">reen </w:t>
      </w:r>
      <w:r w:rsidRPr="00AF1EAF">
        <w:t>I</w:t>
      </w:r>
      <w:r w:rsidR="00535E94">
        <w:t>nfrastructure</w:t>
      </w:r>
      <w:r w:rsidR="00DC54CA">
        <w:t xml:space="preserve"> (GI)</w:t>
      </w:r>
      <w:r w:rsidRPr="00AF1EAF">
        <w:t xml:space="preserve"> </w:t>
      </w:r>
      <w:r w:rsidR="00A83141">
        <w:t xml:space="preserve">able to </w:t>
      </w:r>
      <w:r w:rsidRPr="00AF1EAF">
        <w:t xml:space="preserve">protect </w:t>
      </w:r>
      <w:r w:rsidR="00A83141">
        <w:t>and relaunch the ecological patches through their inclusion i</w:t>
      </w:r>
      <w:r w:rsidRPr="00AF1EAF">
        <w:t xml:space="preserve">n </w:t>
      </w:r>
      <w:r w:rsidR="00A83141">
        <w:t>a</w:t>
      </w:r>
      <w:r w:rsidR="00A83141" w:rsidRPr="00AF1EAF">
        <w:t xml:space="preserve"> </w:t>
      </w:r>
      <w:r w:rsidR="00A83141">
        <w:t xml:space="preserve">complex </w:t>
      </w:r>
      <w:r w:rsidRPr="00AF1EAF">
        <w:t>network</w:t>
      </w:r>
      <w:r w:rsidR="00A83141">
        <w:t xml:space="preserve"> </w:t>
      </w:r>
      <w:r w:rsidRPr="00AF1EAF">
        <w:t>providing</w:t>
      </w:r>
      <w:r w:rsidR="00A83141">
        <w:t xml:space="preserve"> the community with relevant </w:t>
      </w:r>
      <w:r w:rsidR="00704A7F">
        <w:t xml:space="preserve">direct and indirect </w:t>
      </w:r>
      <w:r>
        <w:t>E</w:t>
      </w:r>
      <w:r w:rsidR="00DC54CA">
        <w:t>cosystem Services</w:t>
      </w:r>
      <w:r w:rsidR="00877D63">
        <w:t xml:space="preserve"> (E</w:t>
      </w:r>
      <w:r w:rsidR="00A83141">
        <w:t>S</w:t>
      </w:r>
      <w:r w:rsidR="00877D63">
        <w:t>s)</w:t>
      </w:r>
      <w:r w:rsidRPr="00AF1EAF">
        <w:t xml:space="preserve">, </w:t>
      </w:r>
      <w:r w:rsidR="00A83141">
        <w:t xml:space="preserve">including ecological connectivity and tourist facilities. </w:t>
      </w:r>
      <w:r w:rsidRPr="00AF1EAF">
        <w:t>from those ecologic to touristic services.</w:t>
      </w:r>
      <w:r>
        <w:t xml:space="preserve"> </w:t>
      </w:r>
      <w:r w:rsidR="00A83141">
        <w:t>This</w:t>
      </w:r>
      <w:r w:rsidRPr="00F53AB5">
        <w:t xml:space="preserve"> </w:t>
      </w:r>
      <w:r w:rsidR="00FF3C9D">
        <w:t xml:space="preserve">GI </w:t>
      </w:r>
      <w:r w:rsidR="00A83141">
        <w:t xml:space="preserve">is designed for </w:t>
      </w:r>
      <w:r w:rsidRPr="00F53AB5">
        <w:t>the protection of urban vineyards located in Pessac, in the metropolitan area of Bordeaux.</w:t>
      </w:r>
      <w:r w:rsidR="00877D63" w:rsidRPr="00877D63">
        <w:t xml:space="preserve"> </w:t>
      </w:r>
    </w:p>
    <w:p w14:paraId="2297A541" w14:textId="5AE000D0" w:rsidR="00434EB6" w:rsidRDefault="002B55BD" w:rsidP="00A63FB7">
      <w:pPr>
        <w:rPr>
          <w:rFonts w:cs="Arial"/>
          <w:iCs/>
        </w:rPr>
      </w:pPr>
      <w:r>
        <w:t xml:space="preserve">We start from the identification of </w:t>
      </w:r>
      <w:r w:rsidR="00BF0DFE">
        <w:t xml:space="preserve">already </w:t>
      </w:r>
      <w:r w:rsidR="00BF0DFE" w:rsidRPr="00245EDB">
        <w:t>existing</w:t>
      </w:r>
      <w:r w:rsidR="00BF0DFE" w:rsidDel="002B55BD">
        <w:t xml:space="preserve"> </w:t>
      </w:r>
      <w:r w:rsidR="00BF0DFE" w:rsidRPr="00245EDB">
        <w:t>GIs</w:t>
      </w:r>
      <w:r w:rsidR="00BF0DFE" w:rsidDel="002B55BD">
        <w:t xml:space="preserve"> </w:t>
      </w:r>
      <w:r w:rsidR="00BF0DFE">
        <w:t xml:space="preserve">and proceed by detecting </w:t>
      </w:r>
      <w:r w:rsidR="00BF0DFE" w:rsidRPr="00245EDB">
        <w:t xml:space="preserve">natural and seminatural </w:t>
      </w:r>
      <w:r w:rsidR="00BF0DFE">
        <w:t xml:space="preserve">candidate green areas to be included, according to the set of ESs selected. </w:t>
      </w:r>
      <w:r w:rsidR="00B4129F">
        <w:t xml:space="preserve">We </w:t>
      </w:r>
      <w:r w:rsidR="00F53209">
        <w:t>obtain</w:t>
      </w:r>
      <w:r w:rsidR="00B4129F">
        <w:t xml:space="preserve"> interesting results and present some preliminary discussions. </w:t>
      </w:r>
    </w:p>
    <w:sectPr w:rsidR="00434EB6">
      <w:headerReference w:type="default" r:id="rId11"/>
      <w:pgSz w:w="612pt" w:h="792pt" w:code="1"/>
      <w:pgMar w:top="85.05pt" w:right="85.05pt" w:bottom="85.05pt" w:left="85.05pt" w:header="36pt" w:footer="36pt" w:gutter="0pt"/>
      <w:pgNumType w:start="2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1C6D7FC" w14:textId="77777777" w:rsidR="00E42439" w:rsidRDefault="00E42439">
      <w:r>
        <w:separator/>
      </w:r>
    </w:p>
  </w:endnote>
  <w:endnote w:type="continuationSeparator" w:id="0">
    <w:p w14:paraId="5A982048" w14:textId="77777777" w:rsidR="00E42439" w:rsidRDefault="00E4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3928A84" w14:textId="77777777" w:rsidR="00E42439" w:rsidRDefault="00E42439">
      <w:r>
        <w:separator/>
      </w:r>
    </w:p>
  </w:footnote>
  <w:footnote w:type="continuationSeparator" w:id="0">
    <w:p w14:paraId="11F03384" w14:textId="77777777" w:rsidR="00E42439" w:rsidRDefault="00E4243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Style w:val="Grigliatabella"/>
      <w:tblW w:w="462.75pt" w:type="dxa"/>
      <w:tblBorders>
        <w:top w:val="none" w:sz="0" w:space="0" w:color="auto"/>
        <w:start w:val="none" w:sz="0" w:space="0" w:color="auto"/>
        <w:bottom w:val="none" w:sz="0" w:space="0" w:color="auto"/>
        <w:end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926"/>
      <w:gridCol w:w="617"/>
      <w:gridCol w:w="7712"/>
    </w:tblGrid>
    <w:tr w:rsidR="00DA1D82" w14:paraId="36EAB810" w14:textId="77777777" w:rsidTr="00181530">
      <w:trPr>
        <w:cantSplit/>
        <w:trHeight w:hRule="exact" w:val="911"/>
      </w:trPr>
      <w:tc>
        <w:tcPr>
          <w:tcW w:w="46.30pt" w:type="dxa"/>
          <w:vAlign w:val="center"/>
        </w:tcPr>
        <w:p w14:paraId="2ACC9E1C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16818F0B" wp14:editId="03595FE2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0%</wp14:pctWidth>
                </wp14:sizeRelH>
                <wp14:sizeRelV relativeFrom="margin">
                  <wp14:pctHeight>0%</wp14:pctHeight>
                </wp14:sizeRelV>
              </wp:anchor>
            </w:drawing>
          </w:r>
        </w:p>
      </w:tc>
      <w:tc>
        <w:tcPr>
          <w:tcW w:w="30.85pt" w:type="dxa"/>
        </w:tcPr>
        <w:p w14:paraId="06DA66A0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385.60pt" w:type="dxa"/>
          <w:vAlign w:val="center"/>
        </w:tcPr>
        <w:p w14:paraId="039FC26C" w14:textId="77777777" w:rsidR="00DA1D82" w:rsidRDefault="00DA1D82" w:rsidP="00181530">
          <w:pPr>
            <w:pStyle w:val="Intestazione"/>
            <w:spacing w:before="0pt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, </w:t>
          </w:r>
          <w:proofErr w:type="gramStart"/>
          <w:r>
            <w:rPr>
              <w:i/>
              <w:sz w:val="20"/>
              <w:lang w:val="en-GB"/>
            </w:rPr>
            <w:t>20</w:t>
          </w:r>
          <w:r w:rsidR="005A41BF">
            <w:rPr>
              <w:i/>
              <w:sz w:val="20"/>
              <w:lang w:val="en-GB"/>
            </w:rPr>
            <w:t>22</w:t>
          </w:r>
          <w:proofErr w:type="gramEnd"/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22F268DA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48AD2ED7" w14:textId="77777777" w:rsidR="00DA1D82" w:rsidRDefault="00181530" w:rsidP="00181530">
          <w:pPr>
            <w:pStyle w:val="Intestazione"/>
            <w:spacing w:before="0pt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 xml:space="preserve">Improving the resilience of agriculture, </w:t>
          </w:r>
          <w:proofErr w:type="gramStart"/>
          <w:r w:rsidRPr="00181530">
            <w:rPr>
              <w:i/>
              <w:sz w:val="20"/>
              <w:lang w:val="en-GB"/>
            </w:rPr>
            <w:t>forestry</w:t>
          </w:r>
          <w:proofErr w:type="gramEnd"/>
          <w:r w:rsidRPr="00181530">
            <w:rPr>
              <w:i/>
              <w:sz w:val="20"/>
              <w:lang w:val="en-GB"/>
            </w:rPr>
            <w:t xml:space="preserve"> and food systems in the post-Covid era</w:t>
          </w:r>
        </w:p>
      </w:tc>
    </w:tr>
  </w:tbl>
  <w:p w14:paraId="65A3FC00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start"/>
      <w:pPr>
        <w:tabs>
          <w:tab w:val="num" w:pos="21.60pt"/>
        </w:tabs>
        <w:ind w:start="21.60pt" w:hanging="21.60pt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090019" w:tentative="1">
      <w:start w:val="1"/>
      <w:numFmt w:val="lowerLetter"/>
      <w:lvlText w:val="%2)"/>
      <w:lvlJc w:val="start"/>
      <w:pPr>
        <w:tabs>
          <w:tab w:val="num" w:pos="42pt"/>
        </w:tabs>
        <w:ind w:start="42pt" w:hanging="21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9" w:tentative="1">
      <w:start w:val="1"/>
      <w:numFmt w:val="lowerLetter"/>
      <w:lvlText w:val="%5)"/>
      <w:lvlJc w:val="start"/>
      <w:pPr>
        <w:tabs>
          <w:tab w:val="num" w:pos="105pt"/>
        </w:tabs>
        <w:ind w:start="105pt" w:hanging="21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9" w:tentative="1">
      <w:start w:val="1"/>
      <w:numFmt w:val="lowerLetter"/>
      <w:lvlText w:val="%8)"/>
      <w:lvlJc w:val="start"/>
      <w:pPr>
        <w:tabs>
          <w:tab w:val="num" w:pos="168pt"/>
        </w:tabs>
        <w:ind w:start="168pt" w:hanging="21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189pt"/>
        </w:tabs>
        <w:ind w:start="189pt" w:hanging="21pt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attachedTemplate r:id="rId1"/>
  <w:trackRevisions/>
  <w:defaultTabStop w:val="36pt"/>
  <w:hyphenationZone w:val="14.15pt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7C"/>
    <w:rsid w:val="00001FA4"/>
    <w:rsid w:val="00003E7A"/>
    <w:rsid w:val="00053679"/>
    <w:rsid w:val="000F6FF4"/>
    <w:rsid w:val="00164ED1"/>
    <w:rsid w:val="00181530"/>
    <w:rsid w:val="00234529"/>
    <w:rsid w:val="002669FC"/>
    <w:rsid w:val="002A0C08"/>
    <w:rsid w:val="002B55BD"/>
    <w:rsid w:val="00360DFD"/>
    <w:rsid w:val="00387BD9"/>
    <w:rsid w:val="003931B4"/>
    <w:rsid w:val="00422C7A"/>
    <w:rsid w:val="00434EB6"/>
    <w:rsid w:val="004407EE"/>
    <w:rsid w:val="00462D23"/>
    <w:rsid w:val="004B052E"/>
    <w:rsid w:val="004E7D7A"/>
    <w:rsid w:val="00515CB2"/>
    <w:rsid w:val="00527184"/>
    <w:rsid w:val="00535E94"/>
    <w:rsid w:val="0054762E"/>
    <w:rsid w:val="0058471E"/>
    <w:rsid w:val="005A41BF"/>
    <w:rsid w:val="005D3192"/>
    <w:rsid w:val="006C2472"/>
    <w:rsid w:val="00704A7F"/>
    <w:rsid w:val="007348F9"/>
    <w:rsid w:val="007743FE"/>
    <w:rsid w:val="00780197"/>
    <w:rsid w:val="00782C7C"/>
    <w:rsid w:val="007D1BEF"/>
    <w:rsid w:val="00805205"/>
    <w:rsid w:val="00835209"/>
    <w:rsid w:val="00877D63"/>
    <w:rsid w:val="008A4029"/>
    <w:rsid w:val="008F5C92"/>
    <w:rsid w:val="008F7CDD"/>
    <w:rsid w:val="009862FA"/>
    <w:rsid w:val="009F6B84"/>
    <w:rsid w:val="00A0719D"/>
    <w:rsid w:val="00A63FB7"/>
    <w:rsid w:val="00A83141"/>
    <w:rsid w:val="00B4129F"/>
    <w:rsid w:val="00B430D3"/>
    <w:rsid w:val="00B670D7"/>
    <w:rsid w:val="00BB3CC0"/>
    <w:rsid w:val="00BC4CDC"/>
    <w:rsid w:val="00BD0F7F"/>
    <w:rsid w:val="00BF0DFE"/>
    <w:rsid w:val="00C01CE1"/>
    <w:rsid w:val="00C04627"/>
    <w:rsid w:val="00C3300B"/>
    <w:rsid w:val="00CA0E53"/>
    <w:rsid w:val="00D50D2C"/>
    <w:rsid w:val="00D76187"/>
    <w:rsid w:val="00D91BC2"/>
    <w:rsid w:val="00DA1D82"/>
    <w:rsid w:val="00DA6057"/>
    <w:rsid w:val="00DC54CA"/>
    <w:rsid w:val="00DF66FD"/>
    <w:rsid w:val="00E42439"/>
    <w:rsid w:val="00E907FF"/>
    <w:rsid w:val="00F53209"/>
    <w:rsid w:val="00F90717"/>
    <w:rsid w:val="00F93365"/>
    <w:rsid w:val="00F960F8"/>
    <w:rsid w:val="00FF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0EB0E8F"/>
  <w15:docId w15:val="{870F4C03-50D3-432A-9C8D-C8D3F7FFDCC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6pt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12pt" w:after="3pt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12pt" w:after="3pt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12pt" w:after="3pt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18pt" w:after="18pt"/>
      <w:ind w:start="36pt" w:end="36pt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start="36pt" w:hanging="36pt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3pt"/>
      <w:ind w:start="36pt"/>
    </w:pPr>
  </w:style>
  <w:style w:type="paragraph" w:customStyle="1" w:styleId="ConfName">
    <w:name w:val="ConfName"/>
    <w:basedOn w:val="Normale"/>
    <w:next w:val="ConfLocation"/>
    <w:pPr>
      <w:spacing w:before="12pt"/>
      <w:ind w:start="36pt" w:end="36pt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pt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12pt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3pt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3pt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3pt"/>
      <w:ind w:start="36pt" w:hanging="36pt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end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12pt"/>
      <w:ind w:start="36pt" w:end="36pt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3pt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3pt" w:after="3pt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216pt"/>
        <w:tab w:val="end" w:pos="432pt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216pt"/>
        <w:tab w:val="end" w:pos="432pt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3pt" w:after="3pt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18pt"/>
      </w:tabs>
      <w:spacing w:before="3pt" w:after="3pt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3pt" w:after="3pt"/>
    </w:pPr>
    <w:rPr>
      <w:kern w:val="28"/>
    </w:rPr>
  </w:style>
  <w:style w:type="paragraph" w:styleId="Corpotesto">
    <w:name w:val="Body Text"/>
    <w:basedOn w:val="Normale"/>
    <w:semiHidden/>
    <w:pPr>
      <w:spacing w:before="0pt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pt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12pt"/>
      <w:ind w:start="0pt" w:end="0pt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12pt"/>
      <w:ind w:start="0pt" w:end="0pt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uiPriority w:val="20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pt"/>
      <w:ind w:end="11.30pt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pt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9F6B84"/>
    <w:rPr>
      <w:rFonts w:ascii="Arial" w:hAnsi="Arial"/>
      <w:sz w:val="22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704A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04A7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04A7F"/>
    <w:rPr>
      <w:rFonts w:ascii="Arial" w:hAnsi="Arial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04A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04A7F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ndreadm@uniss.it" TargetMode="External"/><Relationship Id="rId13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1.xml"/><Relationship Id="rId5" Type="http://purl.oclc.org/ooxml/officeDocument/relationships/webSettings" Target="webSettings.xml"/><Relationship Id="rId10" Type="http://purl.oclc.org/ooxml/officeDocument/relationships/hyperlink" Target="mailto:giovannacalia@live.it" TargetMode="External"/><Relationship Id="rId4" Type="http://purl.oclc.org/ooxml/officeDocument/relationships/settings" Target="settings.xml"/><Relationship Id="rId9" Type="http://purl.oclc.org/ooxml/officeDocument/relationships/hyperlink" Target="mailto:antonioledda@uniss.it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38601ED-EFA8-45E3-8580-3E01D1D5F90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asae-tp</Template>
  <TotalTime>1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2768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GIOVANNA CALIA</cp:lastModifiedBy>
  <cp:revision>2</cp:revision>
  <cp:lastPrinted>2003-12-04T08:59:00Z</cp:lastPrinted>
  <dcterms:created xsi:type="dcterms:W3CDTF">2022-02-24T11:53:00Z</dcterms:created>
  <dcterms:modified xsi:type="dcterms:W3CDTF">2022-02-24T11:53:00Z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