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B08B" w14:textId="4A8009BA" w:rsidR="00434EB6" w:rsidRPr="00FC25AB" w:rsidRDefault="00022D35">
      <w:pPr>
        <w:pStyle w:val="Titolo"/>
        <w:ind w:left="0" w:right="49"/>
        <w:rPr>
          <w:szCs w:val="32"/>
        </w:rPr>
      </w:pPr>
      <w:r w:rsidRPr="00FC25AB">
        <w:rPr>
          <w:szCs w:val="32"/>
        </w:rPr>
        <w:t xml:space="preserve">Evaluation of The </w:t>
      </w:r>
      <w:r w:rsidR="004B517F" w:rsidRPr="00FC25AB">
        <w:rPr>
          <w:szCs w:val="32"/>
        </w:rPr>
        <w:t>Overall Heat Transfer Coefficient</w:t>
      </w:r>
      <w:r w:rsidR="00434EB6" w:rsidRPr="00FC25AB">
        <w:rPr>
          <w:szCs w:val="32"/>
        </w:rPr>
        <w:t xml:space="preserve"> </w:t>
      </w:r>
      <w:r w:rsidR="004B517F" w:rsidRPr="00FC25AB">
        <w:rPr>
          <w:szCs w:val="32"/>
        </w:rPr>
        <w:t>o</w:t>
      </w:r>
      <w:r w:rsidRPr="00FC25AB">
        <w:rPr>
          <w:szCs w:val="32"/>
        </w:rPr>
        <w:t xml:space="preserve">n </w:t>
      </w:r>
      <w:r w:rsidR="004B517F" w:rsidRPr="00FC25AB">
        <w:rPr>
          <w:szCs w:val="32"/>
        </w:rPr>
        <w:t>Industrial Malaxers</w:t>
      </w:r>
      <w:r w:rsidRPr="00FC25AB">
        <w:rPr>
          <w:szCs w:val="32"/>
        </w:rPr>
        <w:t xml:space="preserve"> Using a Simple </w:t>
      </w:r>
      <w:r w:rsidR="004107E9">
        <w:rPr>
          <w:szCs w:val="32"/>
        </w:rPr>
        <w:t>Approach</w:t>
      </w:r>
    </w:p>
    <w:p w14:paraId="6BB55B5D" w14:textId="5169C72A" w:rsidR="00266A5E" w:rsidRPr="00FC25AB" w:rsidRDefault="00266A5E" w:rsidP="00266A5E">
      <w:pPr>
        <w:pStyle w:val="Author"/>
        <w:jc w:val="center"/>
        <w:rPr>
          <w:lang w:val="it-IT"/>
        </w:rPr>
      </w:pPr>
      <w:r w:rsidRPr="00FC25AB">
        <w:rPr>
          <w:lang w:val="it-IT"/>
        </w:rPr>
        <w:t xml:space="preserve">Ferdinando Corti </w:t>
      </w:r>
      <w:r w:rsidRPr="00FC25AB">
        <w:rPr>
          <w:vertAlign w:val="superscript"/>
          <w:lang w:val="it-IT"/>
        </w:rPr>
        <w:t>a, *</w:t>
      </w:r>
      <w:r w:rsidRPr="00FC25AB">
        <w:rPr>
          <w:lang w:val="it-IT"/>
        </w:rPr>
        <w:t xml:space="preserve">, Alessandro Parenti </w:t>
      </w:r>
      <w:r w:rsidRPr="00FC25AB">
        <w:rPr>
          <w:vertAlign w:val="superscript"/>
          <w:lang w:val="it-IT"/>
        </w:rPr>
        <w:t>a</w:t>
      </w:r>
      <w:r w:rsidRPr="00FC25AB">
        <w:rPr>
          <w:lang w:val="it-IT"/>
        </w:rPr>
        <w:t xml:space="preserve">, Piernicola Masella </w:t>
      </w:r>
      <w:r w:rsidRPr="00FC25AB">
        <w:rPr>
          <w:vertAlign w:val="superscript"/>
          <w:lang w:val="it-IT"/>
        </w:rPr>
        <w:t>a</w:t>
      </w:r>
      <w:r w:rsidRPr="00FC25AB">
        <w:rPr>
          <w:lang w:val="it-IT"/>
        </w:rPr>
        <w:t xml:space="preserve">, Giulia Angeloni </w:t>
      </w:r>
      <w:r w:rsidRPr="00FC25AB">
        <w:rPr>
          <w:vertAlign w:val="superscript"/>
          <w:lang w:val="it-IT"/>
        </w:rPr>
        <w:t>a</w:t>
      </w:r>
      <w:r w:rsidRPr="00FC25AB">
        <w:rPr>
          <w:lang w:val="it-IT"/>
        </w:rPr>
        <w:t xml:space="preserve">, Agnese Spadi </w:t>
      </w:r>
      <w:r w:rsidRPr="00FC25AB">
        <w:rPr>
          <w:vertAlign w:val="superscript"/>
          <w:lang w:val="it-IT"/>
        </w:rPr>
        <w:t>a</w:t>
      </w:r>
      <w:r w:rsidRPr="00FC25AB">
        <w:rPr>
          <w:lang w:val="it-IT"/>
        </w:rPr>
        <w:t xml:space="preserve">, Bruno Zanoni </w:t>
      </w:r>
      <w:r w:rsidRPr="00FC25AB">
        <w:rPr>
          <w:vertAlign w:val="superscript"/>
          <w:lang w:val="it-IT"/>
        </w:rPr>
        <w:t>a</w:t>
      </w:r>
      <w:r w:rsidRPr="00FC25AB">
        <w:rPr>
          <w:lang w:val="it-IT"/>
        </w:rPr>
        <w:t xml:space="preserve">, Lorenzo Guerrini </w:t>
      </w:r>
      <w:r w:rsidRPr="00FC25AB">
        <w:rPr>
          <w:vertAlign w:val="superscript"/>
          <w:lang w:val="it-IT"/>
        </w:rPr>
        <w:t>b</w:t>
      </w:r>
    </w:p>
    <w:p w14:paraId="053675BA" w14:textId="277EDC5F" w:rsidR="00434EB6" w:rsidRPr="00FC25AB" w:rsidRDefault="00434EB6">
      <w:pPr>
        <w:pStyle w:val="Author"/>
        <w:jc w:val="center"/>
        <w:rPr>
          <w:lang w:val="it-IT"/>
        </w:rPr>
      </w:pPr>
    </w:p>
    <w:p w14:paraId="3F4D4CD2" w14:textId="00E869F8" w:rsidR="00266A5E" w:rsidRPr="00FC25AB" w:rsidRDefault="00266A5E" w:rsidP="00FC25AB">
      <w:pPr>
        <w:pStyle w:val="Address"/>
        <w:jc w:val="center"/>
        <w:rPr>
          <w:vertAlign w:val="superscript"/>
          <w:lang w:val="it-IT"/>
        </w:rPr>
      </w:pPr>
      <w:r w:rsidRPr="00FC25AB">
        <w:rPr>
          <w:vertAlign w:val="superscript"/>
          <w:lang w:val="it-IT"/>
        </w:rPr>
        <w:t>a</w:t>
      </w:r>
      <w:r w:rsidRPr="00FC25AB">
        <w:rPr>
          <w:lang w:val="it-IT"/>
        </w:rPr>
        <w:t xml:space="preserve"> DAGRI </w:t>
      </w:r>
      <w:r w:rsidR="00B27CF7">
        <w:rPr>
          <w:lang w:val="it-IT"/>
        </w:rPr>
        <w:t>Unifi</w:t>
      </w:r>
      <w:r w:rsidRPr="00FC25AB">
        <w:rPr>
          <w:lang w:val="it-IT"/>
        </w:rPr>
        <w:t>, Piazzale delle Cascine 15, 50144 F</w:t>
      </w:r>
      <w:r w:rsidR="0019086B">
        <w:rPr>
          <w:lang w:val="it-IT"/>
        </w:rPr>
        <w:t>irenze</w:t>
      </w:r>
      <w:r w:rsidRPr="00FC25AB">
        <w:rPr>
          <w:lang w:val="it-IT"/>
        </w:rPr>
        <w:t>, Ita</w:t>
      </w:r>
      <w:r w:rsidR="004F1227">
        <w:rPr>
          <w:lang w:val="it-IT"/>
        </w:rPr>
        <w:t>lia</w:t>
      </w:r>
    </w:p>
    <w:p w14:paraId="091764E6" w14:textId="08F7D6BD" w:rsidR="00266A5E" w:rsidRPr="00FC25AB" w:rsidRDefault="00266A5E" w:rsidP="00FC25AB">
      <w:pPr>
        <w:pStyle w:val="Address"/>
        <w:jc w:val="center"/>
        <w:rPr>
          <w:rFonts w:ascii="Times New Roman" w:eastAsiaTheme="minorHAnsi" w:hAnsi="Times New Roman"/>
          <w:szCs w:val="22"/>
          <w:lang w:val="it-IT"/>
        </w:rPr>
      </w:pPr>
      <w:r w:rsidRPr="00FC25AB">
        <w:rPr>
          <w:vertAlign w:val="superscript"/>
          <w:lang w:val="it-IT"/>
        </w:rPr>
        <w:t>b</w:t>
      </w:r>
      <w:r w:rsidRPr="00FC25AB">
        <w:rPr>
          <w:lang w:val="it-IT"/>
        </w:rPr>
        <w:t xml:space="preserve"> TESAF </w:t>
      </w:r>
      <w:r w:rsidR="00B27CF7">
        <w:rPr>
          <w:lang w:val="it-IT"/>
        </w:rPr>
        <w:t>Unipd</w:t>
      </w:r>
      <w:r w:rsidRPr="00FC25AB">
        <w:rPr>
          <w:lang w:val="it-IT"/>
        </w:rPr>
        <w:t>, Via dell'Università 16</w:t>
      </w:r>
      <w:r w:rsidR="0012422D">
        <w:rPr>
          <w:lang w:val="it-IT"/>
        </w:rPr>
        <w:t>,</w:t>
      </w:r>
      <w:r w:rsidRPr="00FC25AB">
        <w:rPr>
          <w:lang w:val="it-IT"/>
        </w:rPr>
        <w:t xml:space="preserve"> 35020 Legnaro</w:t>
      </w:r>
      <w:r w:rsidR="00FC25AB">
        <w:rPr>
          <w:lang w:val="it-IT"/>
        </w:rPr>
        <w:t xml:space="preserve"> </w:t>
      </w:r>
      <w:r w:rsidRPr="00FC25AB">
        <w:rPr>
          <w:lang w:val="it-IT"/>
        </w:rPr>
        <w:t>(P</w:t>
      </w:r>
      <w:r w:rsidR="0019086B">
        <w:rPr>
          <w:lang w:val="it-IT"/>
        </w:rPr>
        <w:t>D</w:t>
      </w:r>
      <w:r w:rsidRPr="00FC25AB">
        <w:rPr>
          <w:lang w:val="it-IT"/>
        </w:rPr>
        <w:t>), Ital</w:t>
      </w:r>
      <w:r w:rsidR="004F1227">
        <w:rPr>
          <w:lang w:val="it-IT"/>
        </w:rPr>
        <w:t>ia</w:t>
      </w:r>
    </w:p>
    <w:p w14:paraId="6E42DF3B" w14:textId="7CCCC987" w:rsidR="00266A5E" w:rsidRPr="00FC25AB" w:rsidRDefault="00266A5E" w:rsidP="00FC25AB">
      <w:pPr>
        <w:pStyle w:val="Address"/>
        <w:jc w:val="center"/>
      </w:pPr>
      <w:r w:rsidRPr="00FC25AB">
        <w:t xml:space="preserve">* Correspondence: E-mail: </w:t>
      </w:r>
      <w:hyperlink r:id="rId8" w:history="1">
        <w:r w:rsidRPr="00FC25AB">
          <w:rPr>
            <w:rStyle w:val="Collegamentoipertestuale"/>
          </w:rPr>
          <w:t>ferdinando.corti@unifi.it</w:t>
        </w:r>
      </w:hyperlink>
      <w:r w:rsidRPr="00FC25AB">
        <w:t>; Phone: + 39 055 2755930</w:t>
      </w:r>
    </w:p>
    <w:p w14:paraId="17B22BA9" w14:textId="77777777" w:rsidR="00434EB6" w:rsidRPr="00FC25AB" w:rsidRDefault="00434EB6"/>
    <w:p w14:paraId="1E323E7E" w14:textId="089422F8" w:rsidR="00BB28E5" w:rsidRPr="00BB28E5" w:rsidRDefault="00434EB6" w:rsidP="00BB28E5">
      <w:pPr>
        <w:pStyle w:val="Keywords"/>
        <w:jc w:val="both"/>
      </w:pPr>
      <w:r w:rsidRPr="00FC25AB">
        <w:rPr>
          <w:b/>
        </w:rPr>
        <w:t>Keywords.</w:t>
      </w:r>
      <w:r w:rsidRPr="00FC25AB">
        <w:t xml:space="preserve"> </w:t>
      </w:r>
      <w:r w:rsidR="00A12433" w:rsidRPr="00FC25AB">
        <w:t>Heat transfer coefficient, malax</w:t>
      </w:r>
      <w:r w:rsidR="001D4425" w:rsidRPr="00FC25AB">
        <w:t xml:space="preserve">ation, </w:t>
      </w:r>
      <w:r w:rsidR="00A12433" w:rsidRPr="00FC25AB">
        <w:t>extra virgin olive oil processing</w:t>
      </w:r>
    </w:p>
    <w:p w14:paraId="110D23B6" w14:textId="363E2995" w:rsidR="00C524EA" w:rsidRPr="00453A29" w:rsidRDefault="00434EB6" w:rsidP="00453A29">
      <w:pPr>
        <w:pStyle w:val="Keywords"/>
        <w:spacing w:before="0"/>
        <w:jc w:val="both"/>
        <w:rPr>
          <w:rFonts w:cs="Arial"/>
          <w:bCs/>
          <w:lang w:val="en"/>
        </w:rPr>
      </w:pPr>
      <w:r w:rsidRPr="00FC25AB">
        <w:rPr>
          <w:b/>
          <w:i/>
          <w:iCs/>
        </w:rPr>
        <w:t>Abstract.</w:t>
      </w:r>
      <w:r w:rsidR="00BF5B2B" w:rsidRPr="00FC25AB">
        <w:rPr>
          <w:b/>
        </w:rPr>
        <w:t xml:space="preserve"> </w:t>
      </w:r>
      <w:r w:rsidR="001173AD" w:rsidRPr="00FC25AB">
        <w:rPr>
          <w:rFonts w:cs="Arial"/>
          <w:bCs/>
          <w:lang w:val="en-GB"/>
        </w:rPr>
        <w:t>In the extra virgin olive oil processing, m</w:t>
      </w:r>
      <w:r w:rsidR="001173AD" w:rsidRPr="00FC25AB">
        <w:rPr>
          <w:rFonts w:cs="Arial"/>
          <w:bCs/>
          <w:lang w:val="en"/>
        </w:rPr>
        <w:t xml:space="preserve">alaxation </w:t>
      </w:r>
      <w:r w:rsidR="00897FC8" w:rsidRPr="00FC25AB">
        <w:rPr>
          <w:rFonts w:cs="Arial"/>
          <w:bCs/>
          <w:lang w:val="en"/>
        </w:rPr>
        <w:t>is</w:t>
      </w:r>
      <w:r w:rsidR="001173AD" w:rsidRPr="00FC25AB">
        <w:rPr>
          <w:rFonts w:cs="Arial"/>
          <w:bCs/>
          <w:lang w:val="en"/>
        </w:rPr>
        <w:t xml:space="preserve"> a</w:t>
      </w:r>
      <w:r w:rsidR="00333170" w:rsidRPr="00FC25AB">
        <w:rPr>
          <w:rFonts w:cs="Arial"/>
          <w:bCs/>
          <w:lang w:val="en"/>
        </w:rPr>
        <w:t xml:space="preserve"> </w:t>
      </w:r>
      <w:r w:rsidR="001173AD" w:rsidRPr="00FC25AB">
        <w:rPr>
          <w:rFonts w:cs="Arial"/>
          <w:bCs/>
          <w:lang w:val="en"/>
        </w:rPr>
        <w:t>key</w:t>
      </w:r>
      <w:r w:rsidR="007227BE">
        <w:rPr>
          <w:rFonts w:cs="Arial"/>
          <w:bCs/>
          <w:lang w:val="en"/>
        </w:rPr>
        <w:t>-</w:t>
      </w:r>
      <w:r w:rsidR="001173AD" w:rsidRPr="00FC25AB">
        <w:rPr>
          <w:rFonts w:cs="Arial"/>
          <w:bCs/>
          <w:lang w:val="en"/>
        </w:rPr>
        <w:t>operation</w:t>
      </w:r>
      <w:r w:rsidR="00247934" w:rsidRPr="00FC25AB">
        <w:rPr>
          <w:rFonts w:cs="Arial"/>
          <w:bCs/>
          <w:lang w:val="en"/>
        </w:rPr>
        <w:t xml:space="preserve">, during which </w:t>
      </w:r>
      <w:r w:rsidR="001173AD" w:rsidRPr="00FC25AB">
        <w:rPr>
          <w:rFonts w:cs="Arial"/>
          <w:bCs/>
        </w:rPr>
        <w:t>the operative parameters</w:t>
      </w:r>
      <w:r w:rsidR="00897FC8" w:rsidRPr="00FC25AB">
        <w:rPr>
          <w:rFonts w:cs="Arial"/>
          <w:bCs/>
        </w:rPr>
        <w:t xml:space="preserve"> </w:t>
      </w:r>
      <w:r w:rsidR="001173AD" w:rsidRPr="00FC25AB">
        <w:rPr>
          <w:rFonts w:cs="Arial"/>
          <w:bCs/>
        </w:rPr>
        <w:t>should be strictly controlled</w:t>
      </w:r>
      <w:r w:rsidR="001173AD" w:rsidRPr="00FC25AB">
        <w:rPr>
          <w:rFonts w:cs="Arial"/>
          <w:bCs/>
          <w:lang w:val="en"/>
        </w:rPr>
        <w:t xml:space="preserve"> both to maximize </w:t>
      </w:r>
      <w:r w:rsidR="00897FC8" w:rsidRPr="00FC25AB">
        <w:rPr>
          <w:rFonts w:cs="Arial"/>
          <w:bCs/>
          <w:lang w:val="en"/>
        </w:rPr>
        <w:t>the</w:t>
      </w:r>
      <w:r w:rsidR="00A47496">
        <w:rPr>
          <w:rFonts w:cs="Arial"/>
          <w:bCs/>
          <w:lang w:val="en"/>
        </w:rPr>
        <w:t xml:space="preserve"> oil</w:t>
      </w:r>
      <w:r w:rsidR="001173AD" w:rsidRPr="00FC25AB">
        <w:rPr>
          <w:rFonts w:cs="Arial"/>
          <w:bCs/>
          <w:lang w:val="en"/>
        </w:rPr>
        <w:t xml:space="preserve"> </w:t>
      </w:r>
      <w:r w:rsidR="00C4481C">
        <w:rPr>
          <w:rFonts w:cs="Arial"/>
          <w:bCs/>
          <w:lang w:val="en"/>
        </w:rPr>
        <w:t>extraction</w:t>
      </w:r>
      <w:r w:rsidR="001173AD" w:rsidRPr="00FC25AB">
        <w:rPr>
          <w:rFonts w:cs="Arial"/>
          <w:bCs/>
          <w:lang w:val="en"/>
        </w:rPr>
        <w:t xml:space="preserve"> and </w:t>
      </w:r>
      <w:r w:rsidR="007227BE">
        <w:rPr>
          <w:rFonts w:cs="Arial"/>
          <w:bCs/>
          <w:lang w:val="en"/>
        </w:rPr>
        <w:t xml:space="preserve">to </w:t>
      </w:r>
      <w:r w:rsidR="00A32401">
        <w:rPr>
          <w:rFonts w:cs="Arial"/>
          <w:bCs/>
          <w:lang w:val="en"/>
        </w:rPr>
        <w:t>modulate the quality profile. H</w:t>
      </w:r>
      <w:r w:rsidR="00C4481C">
        <w:rPr>
          <w:rFonts w:cs="Arial"/>
          <w:bCs/>
        </w:rPr>
        <w:t xml:space="preserve">owever, the </w:t>
      </w:r>
      <w:r w:rsidR="007301C9" w:rsidRPr="00FC25AB">
        <w:rPr>
          <w:rFonts w:cs="Arial"/>
          <w:bCs/>
          <w:lang w:val="en"/>
        </w:rPr>
        <w:t>malaxer</w:t>
      </w:r>
      <w:r w:rsidR="00735B24" w:rsidRPr="00FC25AB">
        <w:rPr>
          <w:rFonts w:cs="Arial"/>
          <w:bCs/>
          <w:lang w:val="en"/>
        </w:rPr>
        <w:t xml:space="preserve"> </w:t>
      </w:r>
      <w:r w:rsidR="00A32401">
        <w:rPr>
          <w:rFonts w:cs="Arial"/>
          <w:bCs/>
          <w:lang w:val="en"/>
        </w:rPr>
        <w:t xml:space="preserve">temperature control </w:t>
      </w:r>
      <w:r w:rsidR="00C4481C">
        <w:rPr>
          <w:rFonts w:cs="Arial"/>
          <w:bCs/>
          <w:lang w:val="en"/>
        </w:rPr>
        <w:t>is</w:t>
      </w:r>
      <w:r w:rsidR="00A32401">
        <w:rPr>
          <w:rFonts w:cs="Arial"/>
          <w:bCs/>
          <w:lang w:val="en"/>
        </w:rPr>
        <w:t xml:space="preserve"> not efficient due </w:t>
      </w:r>
      <w:r w:rsidR="00897FC8" w:rsidRPr="00FC25AB">
        <w:rPr>
          <w:rFonts w:cs="Arial"/>
          <w:bCs/>
          <w:lang w:val="en"/>
        </w:rPr>
        <w:t xml:space="preserve">to </w:t>
      </w:r>
      <w:r w:rsidR="008C55A6" w:rsidRPr="00FC25AB">
        <w:rPr>
          <w:rFonts w:cs="Arial"/>
          <w:bCs/>
          <w:lang w:val="en"/>
        </w:rPr>
        <w:t xml:space="preserve">the </w:t>
      </w:r>
      <w:r w:rsidR="00A6052A">
        <w:rPr>
          <w:rFonts w:cs="Arial"/>
          <w:bCs/>
          <w:lang w:val="en"/>
        </w:rPr>
        <w:t>low</w:t>
      </w:r>
      <w:r w:rsidR="008C55A6" w:rsidRPr="00FC25AB">
        <w:rPr>
          <w:rFonts w:cs="Arial"/>
          <w:bCs/>
          <w:lang w:val="en"/>
        </w:rPr>
        <w:t xml:space="preserve"> ratio between heat </w:t>
      </w:r>
      <w:r w:rsidR="005C6690" w:rsidRPr="00FC25AB">
        <w:rPr>
          <w:rFonts w:cs="Arial"/>
          <w:bCs/>
          <w:lang w:val="en"/>
        </w:rPr>
        <w:t>transfer</w:t>
      </w:r>
      <w:r w:rsidR="008C55A6" w:rsidRPr="00FC25AB">
        <w:rPr>
          <w:rFonts w:cs="Arial"/>
          <w:bCs/>
          <w:lang w:val="en"/>
        </w:rPr>
        <w:t xml:space="preserve"> surface</w:t>
      </w:r>
      <w:r w:rsidR="000130B1" w:rsidRPr="00FC25AB">
        <w:rPr>
          <w:rFonts w:cs="Arial"/>
          <w:bCs/>
          <w:lang w:val="en"/>
        </w:rPr>
        <w:t xml:space="preserve"> and</w:t>
      </w:r>
      <w:r w:rsidR="008C55A6" w:rsidRPr="00FC25AB">
        <w:rPr>
          <w:rFonts w:cs="Arial"/>
          <w:bCs/>
          <w:lang w:val="en"/>
        </w:rPr>
        <w:t xml:space="preserve"> olive paste volume and</w:t>
      </w:r>
      <w:r w:rsidR="000130B1" w:rsidRPr="00FC25AB">
        <w:rPr>
          <w:rFonts w:cs="Arial"/>
          <w:bCs/>
          <w:lang w:val="en"/>
        </w:rPr>
        <w:t xml:space="preserve"> </w:t>
      </w:r>
      <w:r w:rsidR="00792D7B">
        <w:rPr>
          <w:rFonts w:cs="Arial"/>
          <w:bCs/>
          <w:lang w:val="en"/>
        </w:rPr>
        <w:t>a</w:t>
      </w:r>
      <w:r w:rsidR="000130B1" w:rsidRPr="00FC25AB">
        <w:rPr>
          <w:rFonts w:cs="Arial"/>
          <w:bCs/>
          <w:lang w:val="en"/>
        </w:rPr>
        <w:t xml:space="preserve"> </w:t>
      </w:r>
      <w:r w:rsidR="00BB28E5">
        <w:rPr>
          <w:rFonts w:cs="Arial"/>
          <w:bCs/>
          <w:lang w:val="en"/>
        </w:rPr>
        <w:t>the high</w:t>
      </w:r>
      <w:r w:rsidR="00A6052A">
        <w:rPr>
          <w:rFonts w:cs="Arial"/>
          <w:bCs/>
          <w:lang w:val="en"/>
        </w:rPr>
        <w:t xml:space="preserve"> </w:t>
      </w:r>
      <w:r w:rsidR="000130B1" w:rsidRPr="00FC25AB">
        <w:rPr>
          <w:rFonts w:cs="Arial"/>
          <w:bCs/>
          <w:lang w:val="en"/>
        </w:rPr>
        <w:t>visco</w:t>
      </w:r>
      <w:r w:rsidR="00BB28E5">
        <w:rPr>
          <w:rFonts w:cs="Arial"/>
          <w:bCs/>
          <w:lang w:val="en"/>
        </w:rPr>
        <w:t>sity of the</w:t>
      </w:r>
      <w:r w:rsidR="000130B1" w:rsidRPr="00FC25AB">
        <w:rPr>
          <w:rFonts w:cs="Arial"/>
          <w:bCs/>
          <w:lang w:val="en"/>
        </w:rPr>
        <w:t xml:space="preserve"> matrix</w:t>
      </w:r>
      <w:r w:rsidR="00BB28E5">
        <w:rPr>
          <w:rFonts w:cs="Arial"/>
          <w:bCs/>
          <w:lang w:val="en"/>
        </w:rPr>
        <w:t>.</w:t>
      </w:r>
      <w:r w:rsidR="006352AA">
        <w:rPr>
          <w:rFonts w:cs="Arial"/>
          <w:bCs/>
          <w:lang w:val="en"/>
        </w:rPr>
        <w:t xml:space="preserve"> </w:t>
      </w:r>
      <w:r w:rsidR="008C4EC5" w:rsidRPr="00FC25AB">
        <w:rPr>
          <w:rFonts w:cs="Arial"/>
          <w:bCs/>
          <w:lang w:val="en"/>
        </w:rPr>
        <w:t>In</w:t>
      </w:r>
      <w:r w:rsidR="00B056ED" w:rsidRPr="00FC25AB">
        <w:rPr>
          <w:rFonts w:cs="Arial"/>
          <w:bCs/>
        </w:rPr>
        <w:t xml:space="preserve"> th</w:t>
      </w:r>
      <w:r w:rsidR="00B27CF7">
        <w:rPr>
          <w:rFonts w:cs="Arial"/>
          <w:bCs/>
        </w:rPr>
        <w:t xml:space="preserve">is </w:t>
      </w:r>
      <w:r w:rsidR="00B056ED" w:rsidRPr="00FC25AB">
        <w:rPr>
          <w:rFonts w:cs="Arial"/>
          <w:bCs/>
          <w:lang w:val="en"/>
        </w:rPr>
        <w:t>study</w:t>
      </w:r>
      <w:r w:rsidR="00B27CF7">
        <w:rPr>
          <w:rFonts w:cs="Arial"/>
          <w:bCs/>
          <w:lang w:val="en"/>
        </w:rPr>
        <w:t>,</w:t>
      </w:r>
      <w:r w:rsidR="00B056ED" w:rsidRPr="00FC25AB">
        <w:rPr>
          <w:rFonts w:cs="Arial"/>
          <w:bCs/>
          <w:lang w:val="en"/>
        </w:rPr>
        <w:t xml:space="preserve"> the overall heat transfer coefficient</w:t>
      </w:r>
      <w:r w:rsidR="008C4EC5" w:rsidRPr="00FC25AB">
        <w:rPr>
          <w:rFonts w:cs="Arial"/>
          <w:bCs/>
          <w:lang w:val="en"/>
        </w:rPr>
        <w:t xml:space="preserve"> </w:t>
      </w:r>
      <w:r w:rsidR="001B762F" w:rsidRPr="00FC25AB">
        <w:rPr>
          <w:rFonts w:cs="Arial"/>
          <w:bCs/>
          <w:lang w:val="en"/>
        </w:rPr>
        <w:t xml:space="preserve">U, </w:t>
      </w:r>
      <w:r w:rsidR="00B056ED" w:rsidRPr="00FC25AB">
        <w:rPr>
          <w:rFonts w:cs="Arial"/>
          <w:bCs/>
          <w:lang w:val="en"/>
        </w:rPr>
        <w:t>was</w:t>
      </w:r>
      <w:r w:rsidR="008C4EC5" w:rsidRPr="00FC25AB">
        <w:rPr>
          <w:rFonts w:cs="Arial"/>
          <w:bCs/>
          <w:lang w:val="en"/>
        </w:rPr>
        <w:t xml:space="preserve"> </w:t>
      </w:r>
      <w:r w:rsidR="00897FC8" w:rsidRPr="00FC25AB">
        <w:rPr>
          <w:rFonts w:cs="Arial"/>
          <w:bCs/>
          <w:lang w:val="en"/>
        </w:rPr>
        <w:t>measured</w:t>
      </w:r>
      <w:r w:rsidR="00B056ED" w:rsidRPr="00FC25AB">
        <w:rPr>
          <w:rFonts w:cs="Arial"/>
          <w:bCs/>
          <w:lang w:val="en"/>
        </w:rPr>
        <w:t xml:space="preserve"> on </w:t>
      </w:r>
      <w:r w:rsidR="007652CB" w:rsidRPr="00FC25AB">
        <w:rPr>
          <w:rFonts w:cs="Arial"/>
          <w:bCs/>
          <w:lang w:val="en"/>
        </w:rPr>
        <w:t xml:space="preserve">3 </w:t>
      </w:r>
      <w:r w:rsidR="007227BE">
        <w:rPr>
          <w:rFonts w:cs="Arial"/>
          <w:bCs/>
          <w:lang w:val="en"/>
        </w:rPr>
        <w:t>type of</w:t>
      </w:r>
      <w:r w:rsidR="006352AA">
        <w:rPr>
          <w:rFonts w:cs="Arial"/>
          <w:bCs/>
          <w:lang w:val="en"/>
        </w:rPr>
        <w:t xml:space="preserve"> </w:t>
      </w:r>
      <w:r w:rsidR="00B056ED" w:rsidRPr="00FC25AB">
        <w:rPr>
          <w:rFonts w:cs="Arial"/>
          <w:bCs/>
          <w:lang w:val="en"/>
        </w:rPr>
        <w:t>malaxer</w:t>
      </w:r>
      <w:r w:rsidR="006352AA">
        <w:rPr>
          <w:rFonts w:cs="Arial"/>
          <w:bCs/>
          <w:lang w:val="en"/>
        </w:rPr>
        <w:t xml:space="preserve">s, </w:t>
      </w:r>
      <w:r w:rsidR="00A32401">
        <w:rPr>
          <w:rFonts w:cs="Arial"/>
          <w:bCs/>
          <w:lang w:val="en"/>
        </w:rPr>
        <w:t>applyin</w:t>
      </w:r>
      <w:r w:rsidR="006352AA">
        <w:rPr>
          <w:rFonts w:cs="Arial"/>
          <w:bCs/>
          <w:lang w:val="en"/>
        </w:rPr>
        <w:t>g t</w:t>
      </w:r>
      <w:r w:rsidR="00572E16" w:rsidRPr="00FC25AB">
        <w:rPr>
          <w:rFonts w:cs="Arial"/>
          <w:bCs/>
          <w:lang w:val="en"/>
        </w:rPr>
        <w:t xml:space="preserve">he </w:t>
      </w:r>
      <w:r w:rsidR="007652CB" w:rsidRPr="00FC25AB">
        <w:rPr>
          <w:rFonts w:cs="Arial"/>
          <w:bCs/>
          <w:lang w:val="en"/>
        </w:rPr>
        <w:t xml:space="preserve">double-pipe heat exchanger </w:t>
      </w:r>
      <w:r w:rsidR="00A32401">
        <w:rPr>
          <w:rFonts w:cs="Arial"/>
          <w:bCs/>
          <w:lang w:val="en"/>
        </w:rPr>
        <w:t xml:space="preserve">model to </w:t>
      </w:r>
      <w:r w:rsidR="008C4EC5" w:rsidRPr="00FC25AB">
        <w:rPr>
          <w:rFonts w:cs="Arial"/>
          <w:bCs/>
          <w:lang w:val="en"/>
        </w:rPr>
        <w:t xml:space="preserve">unsteady-state </w:t>
      </w:r>
      <w:r w:rsidR="00C75599" w:rsidRPr="00FC25AB">
        <w:rPr>
          <w:rFonts w:cs="Arial"/>
          <w:bCs/>
          <w:lang w:val="en"/>
        </w:rPr>
        <w:t>conditions</w:t>
      </w:r>
      <w:r w:rsidR="00B27CF7">
        <w:rPr>
          <w:rFonts w:cs="Arial"/>
          <w:bCs/>
          <w:lang w:val="en"/>
        </w:rPr>
        <w:t>,</w:t>
      </w:r>
      <w:r w:rsidR="00572E16" w:rsidRPr="00FC25AB">
        <w:rPr>
          <w:rFonts w:cs="Arial"/>
          <w:bCs/>
          <w:lang w:val="en"/>
        </w:rPr>
        <w:t xml:space="preserve"> </w:t>
      </w:r>
      <w:r w:rsidR="007652CB" w:rsidRPr="00FC25AB">
        <w:rPr>
          <w:rFonts w:cs="Arial"/>
          <w:bCs/>
        </w:rPr>
        <w:t xml:space="preserve">according to </w:t>
      </w:r>
      <w:r w:rsidR="007652CB" w:rsidRPr="00FC25AB">
        <w:rPr>
          <w:rFonts w:cs="Arial"/>
          <w:bCs/>
          <w:lang w:val="en"/>
        </w:rPr>
        <w:t>Leone et a</w:t>
      </w:r>
      <w:r w:rsidR="0086706A">
        <w:rPr>
          <w:rFonts w:cs="Arial"/>
          <w:bCs/>
          <w:lang w:val="en"/>
        </w:rPr>
        <w:t>l. (2015)</w:t>
      </w:r>
      <w:r w:rsidR="007652CB" w:rsidRPr="00FC25AB">
        <w:rPr>
          <w:rFonts w:cs="Arial"/>
          <w:bCs/>
          <w:lang w:val="en"/>
        </w:rPr>
        <w:t>.</w:t>
      </w:r>
      <w:r w:rsidR="00247934" w:rsidRPr="00FC25AB">
        <w:rPr>
          <w:rFonts w:cs="Arial"/>
          <w:bCs/>
          <w:lang w:val="en"/>
        </w:rPr>
        <w:t xml:space="preserve"> </w:t>
      </w:r>
      <w:r w:rsidR="005B0BB6" w:rsidRPr="00FC25AB">
        <w:rPr>
          <w:rFonts w:cs="Arial"/>
          <w:bCs/>
        </w:rPr>
        <w:t xml:space="preserve">The processing </w:t>
      </w:r>
      <w:r w:rsidR="001B762F" w:rsidRPr="00FC25AB">
        <w:rPr>
          <w:rFonts w:cs="Arial"/>
          <w:bCs/>
        </w:rPr>
        <w:t>temperature</w:t>
      </w:r>
      <w:r w:rsidR="004107E9">
        <w:rPr>
          <w:rFonts w:cs="Arial"/>
          <w:bCs/>
        </w:rPr>
        <w:t xml:space="preserve"> of fluids</w:t>
      </w:r>
      <w:r w:rsidR="00B27CF7">
        <w:rPr>
          <w:rFonts w:cs="Arial"/>
          <w:bCs/>
        </w:rPr>
        <w:t xml:space="preserve"> and olive paste specific heat </w:t>
      </w:r>
      <w:r w:rsidR="005B0BB6" w:rsidRPr="00FC25AB">
        <w:rPr>
          <w:rFonts w:cs="Arial"/>
          <w:bCs/>
        </w:rPr>
        <w:t xml:space="preserve">were collected </w:t>
      </w:r>
      <w:r w:rsidR="007652CB" w:rsidRPr="00FC25AB">
        <w:rPr>
          <w:rFonts w:cs="Arial"/>
          <w:bCs/>
        </w:rPr>
        <w:t>during the</w:t>
      </w:r>
      <w:r w:rsidR="005B0BB6" w:rsidRPr="00FC25AB">
        <w:rPr>
          <w:rFonts w:cs="Arial"/>
          <w:bCs/>
        </w:rPr>
        <w:t xml:space="preserve"> experimental trial</w:t>
      </w:r>
      <w:r w:rsidR="00F938EF" w:rsidRPr="00FC25AB">
        <w:rPr>
          <w:rFonts w:cs="Arial"/>
          <w:bCs/>
        </w:rPr>
        <w:t>s</w:t>
      </w:r>
      <w:r w:rsidR="001B762F" w:rsidRPr="00FC25AB">
        <w:rPr>
          <w:rFonts w:cs="Arial"/>
          <w:bCs/>
        </w:rPr>
        <w:t xml:space="preserve"> </w:t>
      </w:r>
      <w:r w:rsidR="00B27CF7">
        <w:rPr>
          <w:rFonts w:cs="Arial"/>
          <w:bCs/>
        </w:rPr>
        <w:t>in order to de</w:t>
      </w:r>
      <w:r w:rsidR="00BB28E5">
        <w:rPr>
          <w:rFonts w:cs="Arial"/>
          <w:bCs/>
        </w:rPr>
        <w:t>termine</w:t>
      </w:r>
      <w:r w:rsidR="000D3D82" w:rsidRPr="00FC25AB">
        <w:t xml:space="preserve"> </w:t>
      </w:r>
      <w:r w:rsidR="00C524EA">
        <w:t>U</w:t>
      </w:r>
      <w:r w:rsidR="00373446">
        <w:t xml:space="preserve"> values, </w:t>
      </w:r>
      <w:r w:rsidR="00D81574" w:rsidRPr="00FC25AB">
        <w:t>shown in Table 1.</w:t>
      </w:r>
      <w:r w:rsidR="006352AA">
        <w:rPr>
          <w:rFonts w:cs="Arial"/>
          <w:bCs/>
          <w:lang w:val="en"/>
        </w:rPr>
        <w:t xml:space="preserve"> </w:t>
      </w:r>
      <w:r w:rsidR="00F938EF" w:rsidRPr="00FC25AB">
        <w:rPr>
          <w:rFonts w:cs="Arial"/>
          <w:bCs/>
          <w:lang w:val="en"/>
        </w:rPr>
        <w:t>T</w:t>
      </w:r>
      <w:r w:rsidR="00015858">
        <w:rPr>
          <w:rFonts w:cs="Arial"/>
          <w:bCs/>
          <w:lang w:val="en"/>
        </w:rPr>
        <w:t>h</w:t>
      </w:r>
      <w:r w:rsidR="00373446">
        <w:rPr>
          <w:rFonts w:cs="Arial"/>
          <w:bCs/>
          <w:lang w:val="en"/>
        </w:rPr>
        <w:t xml:space="preserve">ese represent a </w:t>
      </w:r>
      <w:r w:rsidR="00015858">
        <w:rPr>
          <w:rFonts w:cs="Arial"/>
          <w:bCs/>
          <w:lang w:val="en"/>
        </w:rPr>
        <w:t>preliminary</w:t>
      </w:r>
      <w:r w:rsidR="00373446">
        <w:rPr>
          <w:rFonts w:cs="Arial"/>
          <w:bCs/>
          <w:lang w:val="en"/>
        </w:rPr>
        <w:t xml:space="preserve"> result</w:t>
      </w:r>
      <w:r w:rsidR="00015858">
        <w:rPr>
          <w:rFonts w:cs="Arial"/>
          <w:bCs/>
          <w:lang w:val="en"/>
        </w:rPr>
        <w:t xml:space="preserve"> </w:t>
      </w:r>
      <w:r w:rsidR="00F938EF" w:rsidRPr="00FC25AB">
        <w:rPr>
          <w:rFonts w:cs="Arial"/>
          <w:bCs/>
          <w:lang w:val="en"/>
        </w:rPr>
        <w:t>on comparing the heat transfer</w:t>
      </w:r>
      <w:r w:rsidR="00015858">
        <w:rPr>
          <w:rFonts w:cs="Arial"/>
          <w:bCs/>
          <w:lang w:val="en"/>
        </w:rPr>
        <w:t xml:space="preserve"> coefficient</w:t>
      </w:r>
      <w:r w:rsidR="00F938EF" w:rsidRPr="00FC25AB">
        <w:rPr>
          <w:rFonts w:cs="Arial"/>
          <w:bCs/>
          <w:lang w:val="en"/>
        </w:rPr>
        <w:t xml:space="preserve"> of</w:t>
      </w:r>
      <w:r w:rsidR="00015858">
        <w:rPr>
          <w:rFonts w:cs="Arial"/>
          <w:bCs/>
          <w:lang w:val="en"/>
        </w:rPr>
        <w:t xml:space="preserve"> different</w:t>
      </w:r>
      <w:r w:rsidR="00F938EF" w:rsidRPr="00FC25AB">
        <w:rPr>
          <w:rFonts w:cs="Arial"/>
          <w:bCs/>
          <w:lang w:val="en"/>
        </w:rPr>
        <w:t xml:space="preserve"> malaxers in a relative way.</w:t>
      </w:r>
      <w:r w:rsidR="00A32401" w:rsidRPr="00A32401">
        <w:rPr>
          <w:rFonts w:cs="Arial"/>
          <w:bCs/>
          <w:lang w:val="en"/>
        </w:rPr>
        <w:t xml:space="preserve"> </w:t>
      </w:r>
      <w:r w:rsidR="00A32401">
        <w:rPr>
          <w:rFonts w:cs="Arial"/>
          <w:bCs/>
          <w:lang w:val="en"/>
        </w:rPr>
        <w:t xml:space="preserve">The </w:t>
      </w:r>
      <w:r w:rsidR="00373446">
        <w:rPr>
          <w:rFonts w:cs="Arial"/>
          <w:bCs/>
          <w:lang w:val="en"/>
        </w:rPr>
        <w:t>optimization</w:t>
      </w:r>
      <w:r w:rsidR="00A32401">
        <w:rPr>
          <w:rFonts w:cs="Arial"/>
          <w:bCs/>
          <w:lang w:val="en"/>
        </w:rPr>
        <w:t xml:space="preserve"> of a </w:t>
      </w:r>
      <w:r w:rsidR="001E4EE7">
        <w:rPr>
          <w:rFonts w:cs="Arial"/>
          <w:bCs/>
          <w:lang w:val="en"/>
        </w:rPr>
        <w:t xml:space="preserve">simple </w:t>
      </w:r>
      <w:r w:rsidR="004107E9">
        <w:rPr>
          <w:rFonts w:cs="Arial"/>
          <w:bCs/>
          <w:lang w:val="en"/>
        </w:rPr>
        <w:t>method</w:t>
      </w:r>
      <w:r w:rsidR="00A32401" w:rsidRPr="00FC25AB">
        <w:rPr>
          <w:rFonts w:cs="Arial"/>
          <w:bCs/>
          <w:lang w:val="en"/>
        </w:rPr>
        <w:t xml:space="preserve"> could be a useful tool for producers </w:t>
      </w:r>
      <w:r w:rsidR="00015858">
        <w:rPr>
          <w:rFonts w:cs="Arial"/>
          <w:bCs/>
          <w:lang w:val="en"/>
        </w:rPr>
        <w:t xml:space="preserve">in order </w:t>
      </w:r>
      <w:r w:rsidR="00A32401" w:rsidRPr="00FC25AB">
        <w:rPr>
          <w:rFonts w:cs="Arial"/>
          <w:bCs/>
          <w:lang w:val="en"/>
        </w:rPr>
        <w:t xml:space="preserve">to </w:t>
      </w:r>
      <w:r w:rsidR="00A32401">
        <w:rPr>
          <w:rFonts w:cs="Arial"/>
          <w:bCs/>
          <w:lang w:val="en"/>
        </w:rPr>
        <w:t>assess</w:t>
      </w:r>
      <w:r w:rsidR="00A32401" w:rsidRPr="00FC25AB">
        <w:rPr>
          <w:rFonts w:cs="Arial"/>
          <w:bCs/>
          <w:lang w:val="en"/>
        </w:rPr>
        <w:t xml:space="preserve"> </w:t>
      </w:r>
      <w:r w:rsidR="00015858" w:rsidRPr="00FC25AB">
        <w:rPr>
          <w:rFonts w:cs="Arial"/>
          <w:bCs/>
          <w:lang w:val="en"/>
        </w:rPr>
        <w:t>with small effort</w:t>
      </w:r>
      <w:r w:rsidR="00015858">
        <w:rPr>
          <w:rFonts w:cs="Arial"/>
          <w:bCs/>
          <w:lang w:val="en"/>
        </w:rPr>
        <w:t xml:space="preserve"> </w:t>
      </w:r>
      <w:r w:rsidR="00A32401" w:rsidRPr="00FC25AB">
        <w:rPr>
          <w:rFonts w:cs="Arial"/>
          <w:bCs/>
          <w:lang w:val="en"/>
        </w:rPr>
        <w:t>the</w:t>
      </w:r>
      <w:r w:rsidR="00A32401">
        <w:rPr>
          <w:rFonts w:cs="Arial"/>
          <w:bCs/>
          <w:lang w:val="en"/>
        </w:rPr>
        <w:t xml:space="preserve"> machine</w:t>
      </w:r>
      <w:r w:rsidR="00A32401" w:rsidRPr="00FC25AB">
        <w:rPr>
          <w:rFonts w:cs="Arial"/>
          <w:bCs/>
          <w:lang w:val="en"/>
        </w:rPr>
        <w:t xml:space="preserve"> performance</w:t>
      </w:r>
      <w:r w:rsidR="00A32401">
        <w:rPr>
          <w:rFonts w:cs="Arial"/>
          <w:bCs/>
          <w:lang w:val="en"/>
        </w:rPr>
        <w:t xml:space="preserve">s </w:t>
      </w:r>
      <w:r w:rsidR="00015858">
        <w:rPr>
          <w:rFonts w:cs="Arial"/>
          <w:bCs/>
          <w:lang w:val="en"/>
        </w:rPr>
        <w:t>on an industrial scale.</w:t>
      </w:r>
    </w:p>
    <w:tbl>
      <w:tblPr>
        <w:tblStyle w:val="Grigliatabella"/>
        <w:tblpPr w:leftFromText="141" w:rightFromText="141" w:vertAnchor="text" w:horzAnchor="margin" w:tblpY="144"/>
        <w:tblW w:w="8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143"/>
        <w:gridCol w:w="2353"/>
        <w:gridCol w:w="2248"/>
      </w:tblGrid>
      <w:tr w:rsidR="00A32401" w:rsidRPr="00FC25AB" w14:paraId="17A76709" w14:textId="77777777" w:rsidTr="00A32401">
        <w:trPr>
          <w:trHeight w:val="232"/>
        </w:trPr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8B9048" w14:textId="77777777" w:rsidR="00A32401" w:rsidRPr="00FC25AB" w:rsidRDefault="00A32401" w:rsidP="00A32401">
            <w:pPr>
              <w:spacing w:before="0"/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bookmarkStart w:id="0" w:name="_Hlk96909064"/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32B1BC8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C25AB">
              <w:rPr>
                <w:rFonts w:cs="Arial"/>
                <w:b/>
                <w:bCs/>
                <w:color w:val="000000"/>
                <w:sz w:val="16"/>
                <w:szCs w:val="16"/>
                <w:lang w:val="it-IT" w:eastAsia="it-IT"/>
              </w:rPr>
              <w:t>Vertical Malaxer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7D5AACA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C25AB">
              <w:rPr>
                <w:rFonts w:cs="Arial"/>
                <w:b/>
                <w:bCs/>
                <w:color w:val="000000"/>
                <w:sz w:val="16"/>
                <w:szCs w:val="16"/>
                <w:lang w:val="it-IT" w:eastAsia="it-IT"/>
              </w:rPr>
              <w:t>Horizontal Malaxer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05C6C6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C25AB">
              <w:rPr>
                <w:rFonts w:cs="Arial"/>
                <w:b/>
                <w:bCs/>
                <w:color w:val="000000"/>
                <w:sz w:val="16"/>
                <w:szCs w:val="16"/>
                <w:lang w:val="it-IT" w:eastAsia="it-IT"/>
              </w:rPr>
              <w:t>Prototype Malaxer</w:t>
            </w:r>
          </w:p>
        </w:tc>
      </w:tr>
      <w:tr w:rsidR="00A32401" w:rsidRPr="00FC25AB" w14:paraId="5D64604A" w14:textId="77777777" w:rsidTr="00A32401">
        <w:trPr>
          <w:trHeight w:val="232"/>
        </w:trPr>
        <w:tc>
          <w:tcPr>
            <w:tcW w:w="210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C28743A" w14:textId="77777777" w:rsidR="00A32401" w:rsidRPr="0035741E" w:rsidRDefault="00A32401" w:rsidP="00A32401">
            <w:pPr>
              <w:spacing w:before="0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  <w:r w:rsidRPr="0035741E">
              <w:rPr>
                <w:rFonts w:cs="Arial"/>
                <w:color w:val="000000"/>
                <w:sz w:val="16"/>
                <w:szCs w:val="16"/>
                <w:lang w:eastAsia="it-IT"/>
              </w:rPr>
              <w:t>Malaxing units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6FF9224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59623FB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BEF10CD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5</w:t>
            </w:r>
          </w:p>
        </w:tc>
      </w:tr>
      <w:tr w:rsidR="00A32401" w:rsidRPr="00FC25AB" w14:paraId="67A17E5F" w14:textId="77777777" w:rsidTr="00A32401">
        <w:trPr>
          <w:trHeight w:val="232"/>
        </w:trPr>
        <w:tc>
          <w:tcPr>
            <w:tcW w:w="2105" w:type="dxa"/>
            <w:noWrap/>
            <w:vAlign w:val="center"/>
            <w:hideMark/>
          </w:tcPr>
          <w:p w14:paraId="6ECECC39" w14:textId="77777777" w:rsidR="00A32401" w:rsidRPr="00050C44" w:rsidRDefault="00A32401" w:rsidP="00A32401">
            <w:pPr>
              <w:spacing w:before="0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cs="Arial"/>
                <w:color w:val="000000"/>
                <w:sz w:val="16"/>
                <w:szCs w:val="16"/>
                <w:lang w:eastAsia="it-IT"/>
              </w:rPr>
              <w:t>Total</w:t>
            </w:r>
            <w:r w:rsidRPr="00050C44">
              <w:rPr>
                <w:rFonts w:cs="Arial"/>
                <w:color w:val="000000"/>
                <w:sz w:val="16"/>
                <w:szCs w:val="16"/>
                <w:lang w:eastAsia="it-IT"/>
              </w:rPr>
              <w:t xml:space="preserve"> capacity</w:t>
            </w:r>
          </w:p>
        </w:tc>
        <w:tc>
          <w:tcPr>
            <w:tcW w:w="2143" w:type="dxa"/>
            <w:noWrap/>
            <w:vAlign w:val="center"/>
            <w:hideMark/>
          </w:tcPr>
          <w:p w14:paraId="0E7DA2A4" w14:textId="77777777" w:rsidR="00A32401" w:rsidRPr="00FC25AB" w:rsidRDefault="00A32401" w:rsidP="00A32401">
            <w:pPr>
              <w:spacing w:before="0"/>
              <w:ind w:firstLineChars="100" w:firstLine="16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500 kg</w:t>
            </w:r>
          </w:p>
        </w:tc>
        <w:tc>
          <w:tcPr>
            <w:tcW w:w="2353" w:type="dxa"/>
            <w:noWrap/>
            <w:vAlign w:val="center"/>
            <w:hideMark/>
          </w:tcPr>
          <w:p w14:paraId="04D531D7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400 kg</w:t>
            </w:r>
          </w:p>
        </w:tc>
        <w:tc>
          <w:tcPr>
            <w:tcW w:w="2248" w:type="dxa"/>
            <w:noWrap/>
            <w:vAlign w:val="center"/>
            <w:hideMark/>
          </w:tcPr>
          <w:p w14:paraId="01E5CACB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350 kg</w:t>
            </w:r>
          </w:p>
        </w:tc>
      </w:tr>
      <w:tr w:rsidR="00A32401" w:rsidRPr="00FC25AB" w14:paraId="6BDAB294" w14:textId="77777777" w:rsidTr="00A32401">
        <w:trPr>
          <w:trHeight w:val="232"/>
        </w:trPr>
        <w:tc>
          <w:tcPr>
            <w:tcW w:w="2105" w:type="dxa"/>
            <w:noWrap/>
            <w:vAlign w:val="center"/>
            <w:hideMark/>
          </w:tcPr>
          <w:p w14:paraId="3979FE4C" w14:textId="77777777" w:rsidR="00A32401" w:rsidRPr="00050C44" w:rsidRDefault="00A32401" w:rsidP="00A32401">
            <w:pPr>
              <w:spacing w:before="0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Tank shape</w:t>
            </w:r>
          </w:p>
        </w:tc>
        <w:tc>
          <w:tcPr>
            <w:tcW w:w="2143" w:type="dxa"/>
            <w:noWrap/>
            <w:vAlign w:val="center"/>
            <w:hideMark/>
          </w:tcPr>
          <w:p w14:paraId="181D76CA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Craddle</w:t>
            </w:r>
          </w:p>
        </w:tc>
        <w:tc>
          <w:tcPr>
            <w:tcW w:w="2353" w:type="dxa"/>
            <w:noWrap/>
            <w:vAlign w:val="center"/>
            <w:hideMark/>
          </w:tcPr>
          <w:p w14:paraId="3D62DA4E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Cylindrical</w:t>
            </w:r>
          </w:p>
        </w:tc>
        <w:tc>
          <w:tcPr>
            <w:tcW w:w="2248" w:type="dxa"/>
            <w:noWrap/>
            <w:vAlign w:val="center"/>
            <w:hideMark/>
          </w:tcPr>
          <w:p w14:paraId="145DC1A6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Cylindrical</w:t>
            </w:r>
          </w:p>
        </w:tc>
      </w:tr>
      <w:tr w:rsidR="00A32401" w:rsidRPr="00FC25AB" w14:paraId="10C36453" w14:textId="77777777" w:rsidTr="00A32401">
        <w:trPr>
          <w:trHeight w:val="232"/>
        </w:trPr>
        <w:tc>
          <w:tcPr>
            <w:tcW w:w="2105" w:type="dxa"/>
            <w:noWrap/>
            <w:vAlign w:val="center"/>
          </w:tcPr>
          <w:p w14:paraId="4001B739" w14:textId="4B6CF69E" w:rsidR="00A32401" w:rsidRDefault="00A32401" w:rsidP="00A32401">
            <w:pPr>
              <w:spacing w:before="0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Size (</w:t>
            </w:r>
            <w:r w:rsidR="00646362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 xml:space="preserve">for </w:t>
            </w:r>
            <w:r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single unit)</w:t>
            </w:r>
          </w:p>
        </w:tc>
        <w:tc>
          <w:tcPr>
            <w:tcW w:w="2143" w:type="dxa"/>
            <w:noWrap/>
            <w:vAlign w:val="center"/>
          </w:tcPr>
          <w:p w14:paraId="1CDEEF6F" w14:textId="77777777" w:rsidR="00A32401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 w:rsidRPr="005A58ED">
              <w:rPr>
                <w:rFonts w:cs="Arial"/>
                <w:bCs/>
                <w:color w:val="000000"/>
                <w:sz w:val="16"/>
                <w:szCs w:val="16"/>
                <w:lang w:eastAsia="it-IT"/>
              </w:rPr>
              <w:t>80 cm ID, 120 cm H</w:t>
            </w:r>
          </w:p>
        </w:tc>
        <w:tc>
          <w:tcPr>
            <w:tcW w:w="2353" w:type="dxa"/>
            <w:noWrap/>
            <w:vAlign w:val="center"/>
          </w:tcPr>
          <w:p w14:paraId="2F94341E" w14:textId="77777777" w:rsidR="00A32401" w:rsidRPr="005A58ED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  <w:r w:rsidRPr="002C3947">
              <w:rPr>
                <w:rFonts w:cs="Arial"/>
                <w:bCs/>
                <w:sz w:val="16"/>
                <w:szCs w:val="16"/>
              </w:rPr>
              <w:t>150 cm L, 70 cm H, 60 cm W</w:t>
            </w:r>
          </w:p>
        </w:tc>
        <w:tc>
          <w:tcPr>
            <w:tcW w:w="2248" w:type="dxa"/>
            <w:noWrap/>
            <w:vAlign w:val="center"/>
          </w:tcPr>
          <w:p w14:paraId="63A01E9D" w14:textId="77777777" w:rsidR="00A32401" w:rsidRPr="005A58ED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  <w:r w:rsidRPr="005A58ED">
              <w:rPr>
                <w:rFonts w:cs="Arial"/>
                <w:bCs/>
                <w:color w:val="000000"/>
                <w:sz w:val="16"/>
                <w:szCs w:val="16"/>
                <w:lang w:eastAsia="it-IT"/>
              </w:rPr>
              <w:t>30 cm ID,140 cm H</w:t>
            </w:r>
          </w:p>
        </w:tc>
      </w:tr>
      <w:tr w:rsidR="00A32401" w:rsidRPr="00FC25AB" w14:paraId="7B6DC89C" w14:textId="77777777" w:rsidTr="00A32401">
        <w:trPr>
          <w:trHeight w:val="264"/>
        </w:trPr>
        <w:tc>
          <w:tcPr>
            <w:tcW w:w="210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EC7E39" w14:textId="2A5C5D1B" w:rsidR="00A32401" w:rsidRPr="00BB28E5" w:rsidRDefault="00A32401" w:rsidP="00A32401">
            <w:pPr>
              <w:spacing w:before="0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  <w:r w:rsidRPr="00BB28E5">
              <w:rPr>
                <w:rFonts w:cs="Arial"/>
                <w:color w:val="000000"/>
                <w:sz w:val="16"/>
                <w:szCs w:val="16"/>
                <w:lang w:eastAsia="it-IT"/>
              </w:rPr>
              <w:t xml:space="preserve">Heat transfer surface </w:t>
            </w:r>
            <w:r w:rsidR="007227BE">
              <w:rPr>
                <w:rFonts w:cs="Arial"/>
                <w:color w:val="000000"/>
                <w:sz w:val="16"/>
                <w:szCs w:val="16"/>
                <w:lang w:eastAsia="it-IT"/>
              </w:rPr>
              <w:t xml:space="preserve">or </w:t>
            </w:r>
            <w:r>
              <w:rPr>
                <w:rFonts w:cs="Arial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5B321C8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 w:rsidRPr="00FC25AB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3.0</w:t>
            </w:r>
            <w:r>
              <w:rPr>
                <w:rFonts w:cs="Arial"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 w:rsidRPr="00BB28E5">
              <w:rPr>
                <w:rFonts w:cs="Arial"/>
                <w:color w:val="000000"/>
                <w:sz w:val="16"/>
                <w:szCs w:val="16"/>
                <w:lang w:eastAsia="it-IT"/>
              </w:rPr>
              <w:t xml:space="preserve"> m</w:t>
            </w:r>
            <w:r w:rsidRPr="00BB28E5">
              <w:rPr>
                <w:rFonts w:cs="Arial"/>
                <w:color w:val="000000"/>
                <w:sz w:val="16"/>
                <w:szCs w:val="16"/>
                <w:vertAlign w:val="superscript"/>
                <w:lang w:eastAsia="it-IT"/>
              </w:rPr>
              <w:t>2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423BDAA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 w:rsidRPr="00FC25AB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2.1</w:t>
            </w:r>
            <w:r>
              <w:rPr>
                <w:rFonts w:cs="Arial"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 w:rsidRPr="00BB28E5">
              <w:rPr>
                <w:rFonts w:cs="Arial"/>
                <w:color w:val="000000"/>
                <w:sz w:val="16"/>
                <w:szCs w:val="16"/>
                <w:lang w:eastAsia="it-IT"/>
              </w:rPr>
              <w:t xml:space="preserve"> m</w:t>
            </w:r>
            <w:r w:rsidRPr="00BB28E5">
              <w:rPr>
                <w:rFonts w:cs="Arial"/>
                <w:color w:val="000000"/>
                <w:sz w:val="16"/>
                <w:szCs w:val="16"/>
                <w:vertAlign w:val="superscript"/>
                <w:lang w:eastAsia="it-IT"/>
              </w:rPr>
              <w:t>2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2FEB96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 w:rsidRPr="00FC25AB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5.8</w:t>
            </w:r>
            <w:r>
              <w:rPr>
                <w:rFonts w:cs="Arial"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 w:rsidRPr="00BB28E5">
              <w:rPr>
                <w:rFonts w:cs="Arial"/>
                <w:color w:val="000000"/>
                <w:sz w:val="16"/>
                <w:szCs w:val="16"/>
                <w:lang w:eastAsia="it-IT"/>
              </w:rPr>
              <w:t xml:space="preserve"> m</w:t>
            </w:r>
            <w:r w:rsidRPr="00BB28E5">
              <w:rPr>
                <w:rFonts w:cs="Arial"/>
                <w:color w:val="000000"/>
                <w:sz w:val="16"/>
                <w:szCs w:val="16"/>
                <w:vertAlign w:val="superscript"/>
                <w:lang w:eastAsia="it-IT"/>
              </w:rPr>
              <w:t>2</w:t>
            </w:r>
          </w:p>
        </w:tc>
      </w:tr>
      <w:tr w:rsidR="00A32401" w:rsidRPr="00FC25AB" w14:paraId="026E4089" w14:textId="77777777" w:rsidTr="00453A29">
        <w:trPr>
          <w:trHeight w:val="264"/>
        </w:trPr>
        <w:tc>
          <w:tcPr>
            <w:tcW w:w="210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DB5F0D3" w14:textId="77777777" w:rsidR="00A32401" w:rsidRPr="00FC25AB" w:rsidRDefault="00A32401" w:rsidP="00A32401">
            <w:pPr>
              <w:spacing w:before="0"/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25AB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U (W m</w:t>
            </w:r>
            <w:r w:rsidRPr="00FC25AB"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  <w:lang w:eastAsia="it-IT"/>
              </w:rPr>
              <w:t>-2</w:t>
            </w:r>
            <w:r w:rsidRPr="00FC25AB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°C</w:t>
            </w:r>
            <w:r w:rsidRPr="00FC25AB"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  <w:lang w:eastAsia="it-IT"/>
              </w:rPr>
              <w:t>-1</w:t>
            </w:r>
            <w:r w:rsidRPr="00FC25AB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7E494B7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 w:rsidRPr="00FC25AB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73.8</w:t>
            </w:r>
            <w:r w:rsidRPr="00FC25AB">
              <w:rPr>
                <w:sz w:val="16"/>
                <w:szCs w:val="16"/>
              </w:rPr>
              <w:t xml:space="preserve"> </w:t>
            </w:r>
            <w:r w:rsidRPr="00FC25AB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± 7.5</w:t>
            </w:r>
          </w:p>
        </w:tc>
        <w:tc>
          <w:tcPr>
            <w:tcW w:w="235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729DD96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 w:rsidRPr="00FC25AB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101.3</w:t>
            </w:r>
            <w:r w:rsidRPr="00FC25AB">
              <w:rPr>
                <w:sz w:val="16"/>
                <w:szCs w:val="16"/>
              </w:rPr>
              <w:t xml:space="preserve"> </w:t>
            </w:r>
            <w:r w:rsidRPr="00FC25AB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± 0.9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C26AAAB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 w:rsidRPr="00FC25AB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185.5</w:t>
            </w:r>
            <w:r w:rsidRPr="00FC25AB">
              <w:rPr>
                <w:sz w:val="16"/>
                <w:szCs w:val="16"/>
              </w:rPr>
              <w:t xml:space="preserve"> </w:t>
            </w:r>
            <w:r w:rsidRPr="00FC25AB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± 3.2</w:t>
            </w:r>
          </w:p>
        </w:tc>
      </w:tr>
      <w:tr w:rsidR="00015858" w:rsidRPr="00FC25AB" w14:paraId="47750D79" w14:textId="77777777" w:rsidTr="00453A29">
        <w:trPr>
          <w:trHeight w:val="264"/>
        </w:trPr>
        <w:tc>
          <w:tcPr>
            <w:tcW w:w="210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AE7626" w14:textId="77777777" w:rsidR="00A32401" w:rsidRPr="00FC25AB" w:rsidRDefault="00A32401" w:rsidP="00A32401">
            <w:pPr>
              <w:spacing w:before="0"/>
              <w:rPr>
                <w:rFonts w:cs="Arial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C25AB">
              <w:rPr>
                <w:rFonts w:cs="Arial"/>
                <w:b/>
                <w:bCs/>
                <w:color w:val="000000"/>
                <w:sz w:val="16"/>
                <w:szCs w:val="16"/>
                <w:lang w:val="it-IT" w:eastAsia="it-IT"/>
              </w:rPr>
              <w:t>UA product (W °C</w:t>
            </w:r>
            <w:r w:rsidRPr="00FC25AB"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-1</w:t>
            </w:r>
            <w:r w:rsidRPr="00FC25AB">
              <w:rPr>
                <w:rFonts w:cs="Arial"/>
                <w:b/>
                <w:bCs/>
                <w:color w:val="000000"/>
                <w:sz w:val="16"/>
                <w:szCs w:val="16"/>
                <w:lang w:val="it-IT" w:eastAsia="it-IT"/>
              </w:rPr>
              <w:t>)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1F77A5A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 w:rsidRPr="00FC25AB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222.2</w:t>
            </w:r>
            <w:r w:rsidRPr="00FC25AB">
              <w:rPr>
                <w:sz w:val="16"/>
                <w:szCs w:val="16"/>
              </w:rPr>
              <w:t xml:space="preserve"> </w:t>
            </w:r>
            <w:r w:rsidRPr="00FC25AB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± 22.5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E1DCAC7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 w:rsidRPr="00FC25AB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212.6</w:t>
            </w:r>
            <w:r w:rsidRPr="00FC25AB">
              <w:rPr>
                <w:sz w:val="16"/>
                <w:szCs w:val="16"/>
              </w:rPr>
              <w:t xml:space="preserve"> </w:t>
            </w:r>
            <w:r w:rsidRPr="00FC25AB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± 1.8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7F90658" w14:textId="77777777" w:rsidR="00A32401" w:rsidRPr="00FC25AB" w:rsidRDefault="00A32401" w:rsidP="00A32401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  <w:lang w:val="it-IT" w:eastAsia="it-IT"/>
              </w:rPr>
            </w:pPr>
            <w:r w:rsidRPr="00FC25AB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1077.7</w:t>
            </w:r>
            <w:r w:rsidRPr="00FC25AB">
              <w:rPr>
                <w:sz w:val="16"/>
                <w:szCs w:val="16"/>
              </w:rPr>
              <w:t xml:space="preserve"> </w:t>
            </w:r>
            <w:r w:rsidRPr="00FC25AB">
              <w:rPr>
                <w:rFonts w:cs="Arial"/>
                <w:color w:val="000000"/>
                <w:sz w:val="16"/>
                <w:szCs w:val="16"/>
                <w:lang w:val="it-IT" w:eastAsia="it-IT"/>
              </w:rPr>
              <w:t>± 18.6</w:t>
            </w:r>
          </w:p>
        </w:tc>
      </w:tr>
      <w:tr w:rsidR="00015858" w:rsidRPr="00FC25AB" w14:paraId="61A18F2C" w14:textId="77777777" w:rsidTr="00453A29">
        <w:trPr>
          <w:trHeight w:val="264"/>
        </w:trPr>
        <w:tc>
          <w:tcPr>
            <w:tcW w:w="8849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C6AB2B" w14:textId="0326C3D5" w:rsidR="00015858" w:rsidRPr="007872C4" w:rsidRDefault="00015858" w:rsidP="00453A29">
            <w:pPr>
              <w:spacing w:before="0"/>
              <w:jc w:val="right"/>
              <w:rPr>
                <w:rFonts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872C4">
              <w:rPr>
                <w:rFonts w:cs="Arial"/>
                <w:i/>
                <w:iCs/>
                <w:color w:val="000000"/>
                <w:sz w:val="16"/>
                <w:szCs w:val="16"/>
                <w:lang w:eastAsia="it-IT"/>
              </w:rPr>
              <w:t xml:space="preserve">ID=Internal </w:t>
            </w:r>
            <w:r w:rsidR="007872C4">
              <w:rPr>
                <w:rFonts w:cs="Arial"/>
                <w:i/>
                <w:iCs/>
                <w:color w:val="000000"/>
                <w:sz w:val="16"/>
                <w:szCs w:val="16"/>
                <w:lang w:eastAsia="it-IT"/>
              </w:rPr>
              <w:t>D</w:t>
            </w:r>
            <w:r w:rsidRPr="007872C4">
              <w:rPr>
                <w:rFonts w:cs="Arial"/>
                <w:i/>
                <w:iCs/>
                <w:color w:val="000000"/>
                <w:sz w:val="16"/>
                <w:szCs w:val="16"/>
                <w:lang w:eastAsia="it-IT"/>
              </w:rPr>
              <w:t xml:space="preserve">iameter, H=Height, </w:t>
            </w:r>
            <w:r w:rsidR="00373446" w:rsidRPr="007872C4">
              <w:rPr>
                <w:rFonts w:cs="Arial"/>
                <w:i/>
                <w:iCs/>
                <w:color w:val="000000"/>
                <w:sz w:val="16"/>
                <w:szCs w:val="16"/>
                <w:lang w:eastAsia="it-IT"/>
              </w:rPr>
              <w:t>L=Length, W=Width</w:t>
            </w:r>
          </w:p>
        </w:tc>
      </w:tr>
    </w:tbl>
    <w:bookmarkEnd w:id="0"/>
    <w:p w14:paraId="411E4B84" w14:textId="3642408A" w:rsidR="00C524EA" w:rsidRPr="00C524EA" w:rsidRDefault="00BB28E5" w:rsidP="00C524EA">
      <w:pPr>
        <w:pStyle w:val="Keywords"/>
        <w:spacing w:before="0" w:after="0"/>
        <w:jc w:val="both"/>
        <w:rPr>
          <w:i/>
          <w:iCs/>
          <w:szCs w:val="22"/>
        </w:rPr>
      </w:pPr>
      <w:r w:rsidRPr="00BB28E5">
        <w:rPr>
          <w:b/>
          <w:bCs/>
          <w:i/>
          <w:iCs/>
          <w:szCs w:val="22"/>
        </w:rPr>
        <w:t>T</w:t>
      </w:r>
      <w:r w:rsidR="000170C8" w:rsidRPr="00BB28E5">
        <w:rPr>
          <w:b/>
          <w:bCs/>
          <w:i/>
          <w:iCs/>
          <w:szCs w:val="22"/>
        </w:rPr>
        <w:t xml:space="preserve">able </w:t>
      </w:r>
      <w:r w:rsidR="000170C8" w:rsidRPr="00BB28E5">
        <w:rPr>
          <w:b/>
          <w:bCs/>
          <w:i/>
          <w:iCs/>
          <w:szCs w:val="22"/>
        </w:rPr>
        <w:fldChar w:fldCharType="begin"/>
      </w:r>
      <w:r w:rsidR="000170C8" w:rsidRPr="00BB28E5">
        <w:rPr>
          <w:b/>
          <w:bCs/>
          <w:i/>
          <w:iCs/>
          <w:szCs w:val="22"/>
        </w:rPr>
        <w:instrText xml:space="preserve"> SEQ Tabella \* ARABIC </w:instrText>
      </w:r>
      <w:r w:rsidR="000170C8" w:rsidRPr="00BB28E5">
        <w:rPr>
          <w:b/>
          <w:bCs/>
          <w:i/>
          <w:iCs/>
          <w:szCs w:val="22"/>
        </w:rPr>
        <w:fldChar w:fldCharType="separate"/>
      </w:r>
      <w:r w:rsidR="000170C8" w:rsidRPr="00BB28E5">
        <w:rPr>
          <w:b/>
          <w:bCs/>
          <w:i/>
          <w:iCs/>
          <w:noProof/>
          <w:szCs w:val="22"/>
        </w:rPr>
        <w:t>1</w:t>
      </w:r>
      <w:r w:rsidR="000170C8" w:rsidRPr="00BB28E5">
        <w:rPr>
          <w:b/>
          <w:bCs/>
          <w:i/>
          <w:iCs/>
          <w:szCs w:val="22"/>
        </w:rPr>
        <w:fldChar w:fldCharType="end"/>
      </w:r>
      <w:r w:rsidR="000170C8" w:rsidRPr="00BB28E5">
        <w:rPr>
          <w:b/>
          <w:bCs/>
          <w:i/>
          <w:iCs/>
          <w:szCs w:val="22"/>
        </w:rPr>
        <w:t>.</w:t>
      </w:r>
      <w:r w:rsidR="000170C8" w:rsidRPr="00BB28E5">
        <w:rPr>
          <w:i/>
          <w:iCs/>
          <w:szCs w:val="22"/>
        </w:rPr>
        <w:t xml:space="preserve"> </w:t>
      </w:r>
      <w:r w:rsidR="005A58ED">
        <w:rPr>
          <w:i/>
          <w:iCs/>
          <w:szCs w:val="22"/>
        </w:rPr>
        <w:t>Malaxer characteristics and</w:t>
      </w:r>
      <w:r w:rsidR="0035741E">
        <w:rPr>
          <w:i/>
          <w:iCs/>
          <w:szCs w:val="22"/>
        </w:rPr>
        <w:t xml:space="preserve"> coefficient</w:t>
      </w:r>
      <w:r w:rsidR="005A58ED">
        <w:rPr>
          <w:i/>
          <w:iCs/>
          <w:szCs w:val="22"/>
        </w:rPr>
        <w:t xml:space="preserve"> results</w:t>
      </w:r>
      <w:r w:rsidR="005A58ED" w:rsidRPr="005A58ED">
        <w:rPr>
          <w:i/>
          <w:iCs/>
          <w:szCs w:val="22"/>
        </w:rPr>
        <w:t xml:space="preserve"> </w:t>
      </w:r>
      <w:r w:rsidR="005A58ED">
        <w:rPr>
          <w:i/>
          <w:iCs/>
          <w:szCs w:val="22"/>
        </w:rPr>
        <w:t>(</w:t>
      </w:r>
      <w:r w:rsidR="000170C8" w:rsidRPr="00BB28E5">
        <w:rPr>
          <w:i/>
          <w:iCs/>
          <w:szCs w:val="22"/>
        </w:rPr>
        <w:t xml:space="preserve">mean </w:t>
      </w:r>
      <w:r w:rsidR="000170C8" w:rsidRPr="00BB28E5">
        <w:rPr>
          <w:rFonts w:cs="Arial"/>
          <w:i/>
          <w:iCs/>
          <w:color w:val="000000"/>
          <w:lang w:eastAsia="it-IT"/>
        </w:rPr>
        <w:t>±</w:t>
      </w:r>
      <w:r w:rsidR="000170C8" w:rsidRPr="00BB28E5">
        <w:rPr>
          <w:i/>
          <w:iCs/>
          <w:szCs w:val="22"/>
        </w:rPr>
        <w:t xml:space="preserve"> standard deviation</w:t>
      </w:r>
      <w:r w:rsidR="005A58ED">
        <w:rPr>
          <w:i/>
          <w:iCs/>
          <w:szCs w:val="22"/>
        </w:rPr>
        <w:t>, n=</w:t>
      </w:r>
      <w:r w:rsidR="000170C8" w:rsidRPr="00BB28E5">
        <w:rPr>
          <w:i/>
          <w:iCs/>
          <w:szCs w:val="22"/>
        </w:rPr>
        <w:t>3</w:t>
      </w:r>
      <w:r w:rsidR="005A58ED">
        <w:rPr>
          <w:i/>
          <w:iCs/>
          <w:szCs w:val="22"/>
        </w:rPr>
        <w:t>)</w:t>
      </w:r>
      <w:r w:rsidR="0035741E">
        <w:rPr>
          <w:i/>
          <w:iCs/>
          <w:szCs w:val="22"/>
        </w:rPr>
        <w:t>.</w:t>
      </w:r>
    </w:p>
    <w:p w14:paraId="58C790DB" w14:textId="21948021" w:rsidR="00434EB6" w:rsidRPr="00E84F11" w:rsidRDefault="00002847" w:rsidP="00453A29">
      <w:pPr>
        <w:pStyle w:val="Keywords"/>
        <w:spacing w:before="240" w:after="0"/>
        <w:jc w:val="both"/>
        <w:rPr>
          <w:rFonts w:cs="Arial"/>
          <w:b/>
          <w:i/>
          <w:lang w:val="en"/>
        </w:rPr>
      </w:pPr>
      <w:r w:rsidRPr="00FC25AB">
        <w:rPr>
          <w:rFonts w:cs="Arial"/>
          <w:b/>
          <w:iCs/>
          <w:lang w:val="en"/>
        </w:rPr>
        <w:t>References</w:t>
      </w:r>
      <w:r w:rsidR="00A47496">
        <w:rPr>
          <w:rFonts w:cs="Arial"/>
          <w:noProof/>
          <w:kern w:val="0"/>
          <w:szCs w:val="24"/>
        </w:rPr>
        <w:t>.</w:t>
      </w:r>
      <w:r w:rsidR="0035741E">
        <w:rPr>
          <w:rFonts w:cs="Arial"/>
          <w:noProof/>
          <w:kern w:val="0"/>
          <w:szCs w:val="24"/>
        </w:rPr>
        <w:t xml:space="preserve"> </w:t>
      </w:r>
      <w:r w:rsidR="0035741E" w:rsidRPr="0035741E">
        <w:rPr>
          <w:rFonts w:cs="Arial"/>
          <w:bCs/>
          <w:iCs/>
        </w:rPr>
        <w:t>A. Leone, A. Tamborrino, R. Zagaria, E. Sabella, R. Romaniello, Plant innovation in the olive oil extraction process : A comparison of efficiency and energy consumption between microwave treatment and traditional malaxation of olive pastes, J. Food Eng. 146 (2015) 44–52.</w:t>
      </w:r>
    </w:p>
    <w:sectPr w:rsidR="00434EB6" w:rsidRPr="00E84F11" w:rsidSect="00893468">
      <w:headerReference w:type="default" r:id="rId9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123A" w14:textId="77777777" w:rsidR="005449FE" w:rsidRDefault="005449FE">
      <w:r>
        <w:separator/>
      </w:r>
    </w:p>
  </w:endnote>
  <w:endnote w:type="continuationSeparator" w:id="0">
    <w:p w14:paraId="6FF31E84" w14:textId="77777777" w:rsidR="005449FE" w:rsidRDefault="0054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0041" w14:textId="77777777" w:rsidR="005449FE" w:rsidRDefault="005449FE">
      <w:r>
        <w:separator/>
      </w:r>
    </w:p>
  </w:footnote>
  <w:footnote w:type="continuationSeparator" w:id="0">
    <w:p w14:paraId="4DD50DC7" w14:textId="77777777" w:rsidR="005449FE" w:rsidRDefault="0054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0B51E9DB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A97F350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010A4008" wp14:editId="01471BAC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425E1549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2E636777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368500D2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77D41CC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6085399E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2847"/>
    <w:rsid w:val="00003E7A"/>
    <w:rsid w:val="00005FB0"/>
    <w:rsid w:val="000130B1"/>
    <w:rsid w:val="00015858"/>
    <w:rsid w:val="000170C8"/>
    <w:rsid w:val="00022D35"/>
    <w:rsid w:val="00030549"/>
    <w:rsid w:val="00050C44"/>
    <w:rsid w:val="00050C9D"/>
    <w:rsid w:val="000566BC"/>
    <w:rsid w:val="000634FB"/>
    <w:rsid w:val="000960FA"/>
    <w:rsid w:val="000D3D82"/>
    <w:rsid w:val="000F6FF4"/>
    <w:rsid w:val="001173AD"/>
    <w:rsid w:val="0012422D"/>
    <w:rsid w:val="00174DD3"/>
    <w:rsid w:val="00180658"/>
    <w:rsid w:val="00181530"/>
    <w:rsid w:val="00181AD2"/>
    <w:rsid w:val="0019086B"/>
    <w:rsid w:val="001B762F"/>
    <w:rsid w:val="001D4425"/>
    <w:rsid w:val="001E1E01"/>
    <w:rsid w:val="001E4EE7"/>
    <w:rsid w:val="001F4C61"/>
    <w:rsid w:val="002312A0"/>
    <w:rsid w:val="00241098"/>
    <w:rsid w:val="00247934"/>
    <w:rsid w:val="00266A5E"/>
    <w:rsid w:val="002C3277"/>
    <w:rsid w:val="002C3947"/>
    <w:rsid w:val="002F50DD"/>
    <w:rsid w:val="00323F73"/>
    <w:rsid w:val="00333170"/>
    <w:rsid w:val="00345B51"/>
    <w:rsid w:val="0035741E"/>
    <w:rsid w:val="00373446"/>
    <w:rsid w:val="00387BD9"/>
    <w:rsid w:val="003931B4"/>
    <w:rsid w:val="003B0559"/>
    <w:rsid w:val="003C539E"/>
    <w:rsid w:val="003D3C0E"/>
    <w:rsid w:val="003E4D9A"/>
    <w:rsid w:val="003F4298"/>
    <w:rsid w:val="004027FA"/>
    <w:rsid w:val="004107E9"/>
    <w:rsid w:val="00422DFA"/>
    <w:rsid w:val="00434EB6"/>
    <w:rsid w:val="00441857"/>
    <w:rsid w:val="00453A29"/>
    <w:rsid w:val="00476BAA"/>
    <w:rsid w:val="004B517F"/>
    <w:rsid w:val="004F1227"/>
    <w:rsid w:val="00524E3E"/>
    <w:rsid w:val="005449FE"/>
    <w:rsid w:val="00572E16"/>
    <w:rsid w:val="0058471E"/>
    <w:rsid w:val="005A41BF"/>
    <w:rsid w:val="005A58ED"/>
    <w:rsid w:val="005B09C4"/>
    <w:rsid w:val="005B0BB6"/>
    <w:rsid w:val="005C6690"/>
    <w:rsid w:val="005D3192"/>
    <w:rsid w:val="005E15C5"/>
    <w:rsid w:val="006000DF"/>
    <w:rsid w:val="006352AA"/>
    <w:rsid w:val="00646362"/>
    <w:rsid w:val="006C2472"/>
    <w:rsid w:val="006D290C"/>
    <w:rsid w:val="006D486B"/>
    <w:rsid w:val="006E68AD"/>
    <w:rsid w:val="00717BF6"/>
    <w:rsid w:val="007227BE"/>
    <w:rsid w:val="007301C9"/>
    <w:rsid w:val="007348F9"/>
    <w:rsid w:val="00735B24"/>
    <w:rsid w:val="00751815"/>
    <w:rsid w:val="007652CB"/>
    <w:rsid w:val="00782C7C"/>
    <w:rsid w:val="007872C4"/>
    <w:rsid w:val="00792D7B"/>
    <w:rsid w:val="007B1112"/>
    <w:rsid w:val="007E39CA"/>
    <w:rsid w:val="0082305B"/>
    <w:rsid w:val="008374A2"/>
    <w:rsid w:val="00852990"/>
    <w:rsid w:val="00852D67"/>
    <w:rsid w:val="0086706A"/>
    <w:rsid w:val="008873AE"/>
    <w:rsid w:val="00893468"/>
    <w:rsid w:val="00897FC8"/>
    <w:rsid w:val="008A3245"/>
    <w:rsid w:val="008C4EC5"/>
    <w:rsid w:val="008C55A6"/>
    <w:rsid w:val="008D38CF"/>
    <w:rsid w:val="008F5B65"/>
    <w:rsid w:val="008F63AC"/>
    <w:rsid w:val="008F7CDD"/>
    <w:rsid w:val="00901A18"/>
    <w:rsid w:val="009444DF"/>
    <w:rsid w:val="00962FF5"/>
    <w:rsid w:val="00977CB0"/>
    <w:rsid w:val="009862FA"/>
    <w:rsid w:val="0099702A"/>
    <w:rsid w:val="00A12433"/>
    <w:rsid w:val="00A32401"/>
    <w:rsid w:val="00A47496"/>
    <w:rsid w:val="00A50601"/>
    <w:rsid w:val="00A6052A"/>
    <w:rsid w:val="00AC0B93"/>
    <w:rsid w:val="00AD3F06"/>
    <w:rsid w:val="00AD64D9"/>
    <w:rsid w:val="00AF6352"/>
    <w:rsid w:val="00B0053E"/>
    <w:rsid w:val="00B056ED"/>
    <w:rsid w:val="00B1728C"/>
    <w:rsid w:val="00B27CF7"/>
    <w:rsid w:val="00B430D3"/>
    <w:rsid w:val="00B51304"/>
    <w:rsid w:val="00B73E94"/>
    <w:rsid w:val="00BB28E5"/>
    <w:rsid w:val="00BC4CDC"/>
    <w:rsid w:val="00BF5B2B"/>
    <w:rsid w:val="00C4481C"/>
    <w:rsid w:val="00C524EA"/>
    <w:rsid w:val="00C6386F"/>
    <w:rsid w:val="00C75599"/>
    <w:rsid w:val="00CB33F3"/>
    <w:rsid w:val="00CD0312"/>
    <w:rsid w:val="00CF70EB"/>
    <w:rsid w:val="00D05245"/>
    <w:rsid w:val="00D33735"/>
    <w:rsid w:val="00D50D2C"/>
    <w:rsid w:val="00D5127C"/>
    <w:rsid w:val="00D57A0D"/>
    <w:rsid w:val="00D76187"/>
    <w:rsid w:val="00D81574"/>
    <w:rsid w:val="00D829F0"/>
    <w:rsid w:val="00D864E3"/>
    <w:rsid w:val="00D91BC2"/>
    <w:rsid w:val="00DA1D82"/>
    <w:rsid w:val="00DC0EE3"/>
    <w:rsid w:val="00DF66FD"/>
    <w:rsid w:val="00E061D0"/>
    <w:rsid w:val="00E84F11"/>
    <w:rsid w:val="00E9754E"/>
    <w:rsid w:val="00EC7D75"/>
    <w:rsid w:val="00EF06E4"/>
    <w:rsid w:val="00EF21DE"/>
    <w:rsid w:val="00F0222F"/>
    <w:rsid w:val="00F05FE5"/>
    <w:rsid w:val="00F13A44"/>
    <w:rsid w:val="00F34F9B"/>
    <w:rsid w:val="00F46069"/>
    <w:rsid w:val="00F91B20"/>
    <w:rsid w:val="00F938EF"/>
    <w:rsid w:val="00FB2441"/>
    <w:rsid w:val="00FC25AB"/>
    <w:rsid w:val="00FC68D8"/>
    <w:rsid w:val="00FE3E1E"/>
    <w:rsid w:val="00FE6BDD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0EEF4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E1E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1E0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1E01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1E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1E01"/>
    <w:rPr>
      <w:rFonts w:ascii="Arial" w:hAnsi="Arial"/>
      <w:b/>
      <w:bCs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FF12CD"/>
    <w:pPr>
      <w:spacing w:before="0"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dinando.corti@unif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BE56-D42D-4A09-999B-EC6ACCC2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2476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Ferdinando Corti</cp:lastModifiedBy>
  <cp:revision>87</cp:revision>
  <cp:lastPrinted>2003-12-04T08:59:00Z</cp:lastPrinted>
  <dcterms:created xsi:type="dcterms:W3CDTF">2022-01-19T15:55:00Z</dcterms:created>
  <dcterms:modified xsi:type="dcterms:W3CDTF">2022-02-28T15:35:00Z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  <property fmtid="{D5CDD505-2E9C-101B-9397-08002B2CF9AE}" pid="4" name="Mendeley Recent Style Id 0_1">
    <vt:lpwstr>http://www.zotero.org/styles/apa</vt:lpwstr>
  </property>
  <property fmtid="{D5CDD505-2E9C-101B-9397-08002B2CF9AE}" pid="5" name="Mendeley Recent Style Name 0_1">
    <vt:lpwstr>American Psychological Association 7th edition</vt:lpwstr>
  </property>
  <property fmtid="{D5CDD505-2E9C-101B-9397-08002B2CF9AE}" pid="6" name="Mendeley Recent Style Id 1_1">
    <vt:lpwstr>http://www.zotero.org/styles/australian-journal-of-grape-and-wine-research</vt:lpwstr>
  </property>
  <property fmtid="{D5CDD505-2E9C-101B-9397-08002B2CF9AE}" pid="7" name="Mendeley Recent Style Name 1_1">
    <vt:lpwstr>Australian Journal of Grape and Wine Research</vt:lpwstr>
  </property>
  <property fmtid="{D5CDD505-2E9C-101B-9397-08002B2CF9AE}" pid="8" name="Mendeley Recent Style Id 2_1">
    <vt:lpwstr>http://www.zotero.org/styles/harvard-cite-them-right</vt:lpwstr>
  </property>
  <property fmtid="{D5CDD505-2E9C-101B-9397-08002B2CF9AE}" pid="9" name="Mendeley Recent Style Name 2_1">
    <vt:lpwstr>Cite Them Right 10th edition - Harvard</vt:lpwstr>
  </property>
  <property fmtid="{D5CDD505-2E9C-101B-9397-08002B2CF9AE}" pid="10" name="Mendeley Recent Style Id 3_1">
    <vt:lpwstr>http://www.zotero.org/styles/elsevier-with-titles</vt:lpwstr>
  </property>
  <property fmtid="{D5CDD505-2E9C-101B-9397-08002B2CF9AE}" pid="11" name="Mendeley Recent Style Name 3_1">
    <vt:lpwstr>Elsevier (numeric, with titles)</vt:lpwstr>
  </property>
  <property fmtid="{D5CDD505-2E9C-101B-9397-08002B2CF9AE}" pid="12" name="Mendeley Recent Style Id 4_1">
    <vt:lpwstr>http://www.zotero.org/styles/indian-journal-of-physics</vt:lpwstr>
  </property>
  <property fmtid="{D5CDD505-2E9C-101B-9397-08002B2CF9AE}" pid="13" name="Mendeley Recent Style Name 4_1">
    <vt:lpwstr>Indian Journal of Physics</vt:lpwstr>
  </property>
  <property fmtid="{D5CDD505-2E9C-101B-9397-08002B2CF9AE}" pid="14" name="Mendeley Recent Style Id 5_1">
    <vt:lpwstr>http://www.zotero.org/styles/journal-of-chemistry-and-chemical-engineering</vt:lpwstr>
  </property>
  <property fmtid="{D5CDD505-2E9C-101B-9397-08002B2CF9AE}" pid="15" name="Mendeley Recent Style Name 5_1">
    <vt:lpwstr>Journal of Chemistry and Chemical Engineering</vt:lpwstr>
  </property>
  <property fmtid="{D5CDD505-2E9C-101B-9397-08002B2CF9AE}" pid="16" name="Mendeley Recent Style Id 6_1">
    <vt:lpwstr>http://www.zotero.org/styles/journal-of-food-engineering</vt:lpwstr>
  </property>
  <property fmtid="{D5CDD505-2E9C-101B-9397-08002B2CF9AE}" pid="17" name="Mendeley Recent Style Name 6_1">
    <vt:lpwstr>Journal of Food Engineering</vt:lpwstr>
  </property>
  <property fmtid="{D5CDD505-2E9C-101B-9397-08002B2CF9AE}" pid="18" name="Mendeley Recent Style Id 7_1">
    <vt:lpwstr>http://www.zotero.org/styles/la-rivista-italiana-della-medicina-di-laboratorio-italian-journal-of-laboratory-medicine</vt:lpwstr>
  </property>
  <property fmtid="{D5CDD505-2E9C-101B-9397-08002B2CF9AE}" pid="19" name="Mendeley Recent Style Name 7_1">
    <vt:lpwstr>La Rivista Italiana della Medicina di Laboratorio - Italian Journal of Laboratory Medicine (Italian)</vt:lpwstr>
  </property>
  <property fmtid="{D5CDD505-2E9C-101B-9397-08002B2CF9AE}" pid="20" name="Mendeley Recent Style Id 8_1">
    <vt:lpwstr>http://www.zotero.org/styles/national-library-of-medicine</vt:lpwstr>
  </property>
  <property fmtid="{D5CDD505-2E9C-101B-9397-08002B2CF9AE}" pid="21" name="Mendeley Recent Style Name 8_1">
    <vt:lpwstr>National Library of Medicine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0dc4b95d-8ac2-3ae9-a448-930ecdd70e45</vt:lpwstr>
  </property>
  <property fmtid="{D5CDD505-2E9C-101B-9397-08002B2CF9AE}" pid="26" name="Mendeley Citation Style_1">
    <vt:lpwstr>http://www.zotero.org/styles/elsevier-with-titles</vt:lpwstr>
  </property>
</Properties>
</file>