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C0717" w14:textId="68A4B713" w:rsidR="00F56D6B" w:rsidRPr="001F02D6" w:rsidRDefault="00F56D6B" w:rsidP="00963579">
      <w:pPr>
        <w:pStyle w:val="Author"/>
        <w:ind w:left="0" w:firstLine="0"/>
        <w:jc w:val="center"/>
        <w:rPr>
          <w:bCs/>
          <w:kern w:val="28"/>
          <w:sz w:val="32"/>
          <w:lang w:val="en-GB"/>
        </w:rPr>
      </w:pPr>
      <w:r w:rsidRPr="001F02D6">
        <w:rPr>
          <w:bCs/>
          <w:kern w:val="28"/>
          <w:sz w:val="32"/>
          <w:lang w:val="en-GB"/>
        </w:rPr>
        <w:t>Environmental and economic impact asse</w:t>
      </w:r>
      <w:r w:rsidR="00963579" w:rsidRPr="001F02D6">
        <w:rPr>
          <w:bCs/>
          <w:kern w:val="28"/>
          <w:sz w:val="32"/>
          <w:lang w:val="en-GB"/>
        </w:rPr>
        <w:t xml:space="preserve">ssment </w:t>
      </w:r>
      <w:r w:rsidRPr="001F02D6">
        <w:rPr>
          <w:bCs/>
          <w:kern w:val="28"/>
          <w:sz w:val="32"/>
          <w:lang w:val="en-GB"/>
        </w:rPr>
        <w:t>of</w:t>
      </w:r>
      <w:r w:rsidR="00963579" w:rsidRPr="001F02D6">
        <w:rPr>
          <w:bCs/>
          <w:kern w:val="28"/>
          <w:sz w:val="32"/>
          <w:lang w:val="en-GB"/>
        </w:rPr>
        <w:t xml:space="preserve"> different </w:t>
      </w:r>
      <w:r w:rsidR="008758BF" w:rsidRPr="001F02D6">
        <w:rPr>
          <w:bCs/>
          <w:kern w:val="28"/>
          <w:sz w:val="32"/>
          <w:lang w:val="en-GB"/>
        </w:rPr>
        <w:t xml:space="preserve">water and nitrogen </w:t>
      </w:r>
      <w:r w:rsidRPr="001F02D6">
        <w:rPr>
          <w:bCs/>
          <w:kern w:val="28"/>
          <w:sz w:val="32"/>
          <w:lang w:val="en-GB"/>
        </w:rPr>
        <w:t xml:space="preserve">management systems </w:t>
      </w:r>
      <w:r w:rsidR="001F02D6" w:rsidRPr="001F02D6">
        <w:rPr>
          <w:bCs/>
          <w:kern w:val="28"/>
          <w:sz w:val="32"/>
          <w:lang w:val="en-GB"/>
        </w:rPr>
        <w:t>in vineyard</w:t>
      </w:r>
    </w:p>
    <w:p w14:paraId="0611FC6E" w14:textId="6A39D729" w:rsidR="002A2D1A" w:rsidRPr="001F02D6" w:rsidRDefault="002A2D1A" w:rsidP="008C5BF5">
      <w:pPr>
        <w:pStyle w:val="Address"/>
        <w:ind w:left="0"/>
        <w:jc w:val="center"/>
        <w:rPr>
          <w:b/>
          <w:sz w:val="24"/>
          <w:lang w:val="it-IT"/>
        </w:rPr>
      </w:pPr>
      <w:r w:rsidRPr="001F02D6">
        <w:rPr>
          <w:b/>
          <w:bCs/>
          <w:sz w:val="24"/>
          <w:lang w:val="it-IT"/>
        </w:rPr>
        <w:t>Casson</w:t>
      </w:r>
      <w:r w:rsidR="006F0B50" w:rsidRPr="001F02D6">
        <w:rPr>
          <w:b/>
          <w:bCs/>
          <w:sz w:val="24"/>
          <w:lang w:val="it-IT"/>
        </w:rPr>
        <w:t xml:space="preserve"> </w:t>
      </w:r>
      <w:r w:rsidR="006F05BC">
        <w:rPr>
          <w:b/>
          <w:bCs/>
          <w:sz w:val="24"/>
          <w:lang w:val="it-IT"/>
        </w:rPr>
        <w:t>Andrea</w:t>
      </w:r>
      <w:r w:rsidR="006F0B50" w:rsidRPr="001F02D6">
        <w:rPr>
          <w:b/>
          <w:bCs/>
          <w:sz w:val="24"/>
          <w:lang w:val="it-IT"/>
        </w:rPr>
        <w:t>*</w:t>
      </w:r>
      <w:r w:rsidRPr="001F02D6">
        <w:rPr>
          <w:b/>
          <w:bCs/>
          <w:sz w:val="24"/>
          <w:lang w:val="it-IT"/>
        </w:rPr>
        <w:t>, Ortuani</w:t>
      </w:r>
      <w:r w:rsidR="008C5BF5" w:rsidRPr="001F02D6">
        <w:rPr>
          <w:b/>
          <w:bCs/>
          <w:sz w:val="24"/>
          <w:lang w:val="it-IT"/>
        </w:rPr>
        <w:t xml:space="preserve"> B</w:t>
      </w:r>
      <w:r w:rsidR="006F05BC">
        <w:rPr>
          <w:b/>
          <w:bCs/>
          <w:sz w:val="24"/>
          <w:lang w:val="it-IT"/>
        </w:rPr>
        <w:t>ianca</w:t>
      </w:r>
      <w:r w:rsidRPr="001F02D6">
        <w:rPr>
          <w:b/>
          <w:bCs/>
          <w:sz w:val="24"/>
          <w:lang w:val="it-IT"/>
        </w:rPr>
        <w:t>, Giovenzana</w:t>
      </w:r>
      <w:r w:rsidR="008C5BF5" w:rsidRPr="001F02D6">
        <w:rPr>
          <w:b/>
          <w:bCs/>
          <w:sz w:val="24"/>
          <w:lang w:val="it-IT"/>
        </w:rPr>
        <w:t xml:space="preserve"> V</w:t>
      </w:r>
      <w:r w:rsidR="006F05BC">
        <w:rPr>
          <w:b/>
          <w:bCs/>
          <w:sz w:val="24"/>
          <w:lang w:val="it-IT"/>
        </w:rPr>
        <w:t>alentina</w:t>
      </w:r>
      <w:r w:rsidRPr="001F02D6">
        <w:rPr>
          <w:b/>
          <w:bCs/>
          <w:sz w:val="24"/>
          <w:lang w:val="it-IT"/>
        </w:rPr>
        <w:t>, Brancadoro</w:t>
      </w:r>
      <w:r w:rsidR="008C5BF5" w:rsidRPr="001F02D6">
        <w:rPr>
          <w:b/>
          <w:bCs/>
          <w:sz w:val="24"/>
          <w:lang w:val="it-IT"/>
        </w:rPr>
        <w:t xml:space="preserve"> L</w:t>
      </w:r>
      <w:r w:rsidR="006F05BC">
        <w:rPr>
          <w:b/>
          <w:bCs/>
          <w:sz w:val="24"/>
          <w:lang w:val="it-IT"/>
        </w:rPr>
        <w:t>ucio</w:t>
      </w:r>
      <w:r w:rsidRPr="001F02D6">
        <w:rPr>
          <w:b/>
          <w:bCs/>
          <w:sz w:val="24"/>
          <w:lang w:val="it-IT"/>
        </w:rPr>
        <w:t>, Corsi</w:t>
      </w:r>
      <w:r w:rsidR="008C5BF5" w:rsidRPr="001F02D6">
        <w:rPr>
          <w:b/>
          <w:bCs/>
          <w:sz w:val="24"/>
          <w:lang w:val="it-IT"/>
        </w:rPr>
        <w:t xml:space="preserve"> S</w:t>
      </w:r>
      <w:r w:rsidR="006F05BC">
        <w:rPr>
          <w:b/>
          <w:bCs/>
          <w:sz w:val="24"/>
          <w:lang w:val="it-IT"/>
        </w:rPr>
        <w:t>tefano</w:t>
      </w:r>
      <w:r w:rsidRPr="001F02D6">
        <w:rPr>
          <w:b/>
          <w:bCs/>
          <w:sz w:val="24"/>
          <w:lang w:val="it-IT"/>
        </w:rPr>
        <w:t>, Gharsallah</w:t>
      </w:r>
      <w:r w:rsidR="008C5BF5" w:rsidRPr="001F02D6">
        <w:rPr>
          <w:b/>
          <w:bCs/>
          <w:sz w:val="24"/>
          <w:lang w:val="it-IT"/>
        </w:rPr>
        <w:t xml:space="preserve"> O</w:t>
      </w:r>
      <w:r w:rsidR="006F05BC">
        <w:rPr>
          <w:b/>
          <w:bCs/>
          <w:sz w:val="24"/>
          <w:lang w:val="it-IT"/>
        </w:rPr>
        <w:t>lfa</w:t>
      </w:r>
      <w:r w:rsidRPr="001F02D6">
        <w:rPr>
          <w:b/>
          <w:bCs/>
          <w:sz w:val="24"/>
          <w:lang w:val="it-IT"/>
        </w:rPr>
        <w:t>, Guidetti</w:t>
      </w:r>
      <w:r w:rsidR="008C5BF5" w:rsidRPr="001F02D6">
        <w:rPr>
          <w:b/>
          <w:bCs/>
          <w:sz w:val="24"/>
          <w:lang w:val="it-IT"/>
        </w:rPr>
        <w:t xml:space="preserve"> R</w:t>
      </w:r>
      <w:r w:rsidR="006F05BC">
        <w:rPr>
          <w:b/>
          <w:bCs/>
          <w:sz w:val="24"/>
          <w:lang w:val="it-IT"/>
        </w:rPr>
        <w:t>iccardo</w:t>
      </w:r>
      <w:r w:rsidRPr="001F02D6">
        <w:rPr>
          <w:b/>
          <w:bCs/>
          <w:sz w:val="24"/>
          <w:lang w:val="it-IT"/>
        </w:rPr>
        <w:t>, Facchi</w:t>
      </w:r>
      <w:r w:rsidR="008C5BF5" w:rsidRPr="001F02D6">
        <w:rPr>
          <w:b/>
          <w:bCs/>
          <w:sz w:val="24"/>
          <w:lang w:val="it-IT"/>
        </w:rPr>
        <w:t xml:space="preserve"> A</w:t>
      </w:r>
      <w:r w:rsidR="006F05BC">
        <w:rPr>
          <w:b/>
          <w:bCs/>
          <w:sz w:val="24"/>
          <w:lang w:val="it-IT"/>
        </w:rPr>
        <w:t>rianna</w:t>
      </w:r>
    </w:p>
    <w:p w14:paraId="0DFACA1E" w14:textId="77777777" w:rsidR="006F0B50" w:rsidRPr="001F02D6" w:rsidRDefault="006F0B50" w:rsidP="005777CC">
      <w:pPr>
        <w:jc w:val="both"/>
        <w:rPr>
          <w:lang w:val="en-GB"/>
        </w:rPr>
      </w:pPr>
      <w:r w:rsidRPr="001F02D6">
        <w:rPr>
          <w:lang w:val="en-GB"/>
        </w:rPr>
        <w:t>Department of Agricultural and Environmental Sciences - Production, Landscape, Agroenergy, Università degli Studi di Milano, via Celoria 2, 20133, Milano, Italy</w:t>
      </w:r>
    </w:p>
    <w:p w14:paraId="58D37261" w14:textId="04F868C5" w:rsidR="00434EB6" w:rsidRPr="001F02D6" w:rsidRDefault="00390AB5" w:rsidP="006F0B50">
      <w:pPr>
        <w:pStyle w:val="Address"/>
        <w:ind w:left="0"/>
        <w:rPr>
          <w:lang w:val="en-GB"/>
        </w:rPr>
      </w:pPr>
      <w:r w:rsidRPr="001F02D6">
        <w:rPr>
          <w:lang w:val="en-GB"/>
        </w:rPr>
        <w:t>*Corresponding Author</w:t>
      </w:r>
      <w:r w:rsidR="008559D7" w:rsidRPr="001F02D6">
        <w:rPr>
          <w:lang w:val="en-GB"/>
        </w:rPr>
        <w:t xml:space="preserve"> contacts</w:t>
      </w:r>
      <w:r w:rsidRPr="001F02D6">
        <w:rPr>
          <w:lang w:val="en-GB"/>
        </w:rPr>
        <w:t xml:space="preserve">: </w:t>
      </w:r>
      <w:hyperlink r:id="rId7" w:history="1">
        <w:r w:rsidRPr="001F02D6">
          <w:rPr>
            <w:rStyle w:val="Hyperlink"/>
            <w:lang w:val="en-GB"/>
          </w:rPr>
          <w:t>andrea.casson@unimi.it</w:t>
        </w:r>
      </w:hyperlink>
      <w:r w:rsidRPr="001F02D6">
        <w:rPr>
          <w:lang w:val="en-GB"/>
        </w:rPr>
        <w:t xml:space="preserve"> </w:t>
      </w:r>
      <w:r w:rsidR="005777CC" w:rsidRPr="001F02D6">
        <w:rPr>
          <w:lang w:val="en-GB"/>
        </w:rPr>
        <w:t xml:space="preserve">- </w:t>
      </w:r>
      <w:r w:rsidR="008B0CDA" w:rsidRPr="001F02D6">
        <w:rPr>
          <w:lang w:val="en-GB"/>
        </w:rPr>
        <w:t>te</w:t>
      </w:r>
      <w:r w:rsidR="001440BD" w:rsidRPr="001F02D6">
        <w:rPr>
          <w:lang w:val="en-GB"/>
        </w:rPr>
        <w:t xml:space="preserve">l. </w:t>
      </w:r>
      <w:r w:rsidR="001F3BCA" w:rsidRPr="001F02D6">
        <w:rPr>
          <w:lang w:val="en-GB"/>
        </w:rPr>
        <w:t>+39 02</w:t>
      </w:r>
      <w:r w:rsidR="00FA42EE" w:rsidRPr="001F02D6">
        <w:rPr>
          <w:rFonts w:ascii="Times New Roman" w:hAnsi="Times New Roman"/>
          <w:sz w:val="18"/>
          <w:szCs w:val="18"/>
          <w:lang w:val="en-GB"/>
        </w:rPr>
        <w:t xml:space="preserve"> </w:t>
      </w:r>
      <w:r w:rsidR="00FA42EE" w:rsidRPr="001F02D6">
        <w:rPr>
          <w:lang w:val="en-GB"/>
        </w:rPr>
        <w:t>50316873</w:t>
      </w:r>
    </w:p>
    <w:p w14:paraId="6DF43224" w14:textId="75DF556B" w:rsidR="00434EB6" w:rsidRPr="001F02D6" w:rsidRDefault="00434EB6">
      <w:pPr>
        <w:pStyle w:val="Keywords"/>
        <w:jc w:val="both"/>
      </w:pPr>
      <w:r w:rsidRPr="001F02D6">
        <w:rPr>
          <w:b/>
        </w:rPr>
        <w:t>Keywords.</w:t>
      </w:r>
      <w:r w:rsidRPr="001F02D6">
        <w:t xml:space="preserve"> </w:t>
      </w:r>
      <w:r w:rsidR="00C50E31" w:rsidRPr="001F02D6">
        <w:rPr>
          <w:lang w:val="en-GB"/>
        </w:rPr>
        <w:t>Precision viticulture, Irrigation, Fertilisation, LCA</w:t>
      </w:r>
      <w:r w:rsidR="00D4358D" w:rsidRPr="001F02D6">
        <w:rPr>
          <w:lang w:val="en-GB"/>
        </w:rPr>
        <w:t>,</w:t>
      </w:r>
      <w:r w:rsidR="00C50E31" w:rsidRPr="001F02D6">
        <w:rPr>
          <w:lang w:val="en-GB"/>
        </w:rPr>
        <w:t xml:space="preserve"> Gross margin</w:t>
      </w:r>
      <w:r w:rsidR="00D4358D" w:rsidRPr="001F02D6">
        <w:rPr>
          <w:lang w:val="en-GB"/>
        </w:rPr>
        <w:t>.</w:t>
      </w:r>
      <w:r w:rsidR="00C50E31" w:rsidRPr="001F02D6">
        <w:rPr>
          <w:lang w:val="en-GB"/>
        </w:rPr>
        <w:t xml:space="preserve"> </w:t>
      </w:r>
    </w:p>
    <w:p w14:paraId="3854D53C" w14:textId="77777777" w:rsidR="00117708" w:rsidRPr="001F02D6" w:rsidRDefault="00434EB6">
      <w:pPr>
        <w:pStyle w:val="Abstract"/>
        <w:jc w:val="both"/>
        <w:rPr>
          <w:rFonts w:cs="Arial"/>
          <w:i w:val="0"/>
          <w:iCs/>
        </w:rPr>
      </w:pPr>
      <w:r w:rsidRPr="001F02D6">
        <w:rPr>
          <w:b/>
        </w:rPr>
        <w:t>Abstract.</w:t>
      </w:r>
      <w:r w:rsidRPr="001F02D6">
        <w:rPr>
          <w:rFonts w:cs="Arial"/>
          <w:i w:val="0"/>
          <w:iCs/>
        </w:rPr>
        <w:t xml:space="preserve"> </w:t>
      </w:r>
    </w:p>
    <w:p w14:paraId="727E29F1" w14:textId="7BE4AED8" w:rsidR="002C26B4" w:rsidRPr="001F02D6" w:rsidRDefault="00113990" w:rsidP="008559D7">
      <w:pPr>
        <w:spacing w:before="0"/>
        <w:jc w:val="both"/>
        <w:rPr>
          <w:rFonts w:cs="Arial"/>
          <w:iCs/>
        </w:rPr>
      </w:pPr>
      <w:r w:rsidRPr="001F02D6">
        <w:rPr>
          <w:rFonts w:cs="Arial"/>
          <w:iCs/>
        </w:rPr>
        <w:t xml:space="preserve">Viticulture is slowly shifting to more sustainable production systems, and </w:t>
      </w:r>
      <w:r w:rsidR="00A52E85" w:rsidRPr="001F02D6">
        <w:rPr>
          <w:rFonts w:cs="Arial"/>
          <w:iCs/>
        </w:rPr>
        <w:t>several</w:t>
      </w:r>
      <w:r w:rsidRPr="001F02D6">
        <w:rPr>
          <w:rFonts w:cs="Arial"/>
          <w:iCs/>
        </w:rPr>
        <w:t xml:space="preserve"> studies are now using the Life Cycle Assessment </w:t>
      </w:r>
      <w:r w:rsidR="0090057F" w:rsidRPr="001F02D6">
        <w:rPr>
          <w:rFonts w:cs="Arial"/>
          <w:iCs/>
        </w:rPr>
        <w:t xml:space="preserve">(LCA) </w:t>
      </w:r>
      <w:r w:rsidRPr="001F02D6">
        <w:rPr>
          <w:rFonts w:cs="Arial"/>
          <w:iCs/>
        </w:rPr>
        <w:t xml:space="preserve">approach to examine the environmental </w:t>
      </w:r>
      <w:r w:rsidR="00090A10" w:rsidRPr="001F02D6">
        <w:rPr>
          <w:rFonts w:cs="Arial"/>
          <w:iCs/>
        </w:rPr>
        <w:t xml:space="preserve">impact </w:t>
      </w:r>
      <w:r w:rsidRPr="001F02D6">
        <w:rPr>
          <w:rFonts w:cs="Arial"/>
          <w:iCs/>
        </w:rPr>
        <w:t>of different technologies and practices used in wine production.</w:t>
      </w:r>
      <w:r w:rsidR="002C26B4" w:rsidRPr="001F02D6">
        <w:rPr>
          <w:rFonts w:cs="Arial"/>
          <w:iCs/>
        </w:rPr>
        <w:t xml:space="preserve"> </w:t>
      </w:r>
      <w:r w:rsidR="00A22856" w:rsidRPr="001F02D6">
        <w:rPr>
          <w:rFonts w:cs="Arial"/>
          <w:iCs/>
        </w:rPr>
        <w:t>Water, soil, and energy consumption, management of organic and inorganic solid waste streams, greenhouse gas emissions, and chemical</w:t>
      </w:r>
      <w:r w:rsidR="0090057F" w:rsidRPr="001F02D6">
        <w:rPr>
          <w:rFonts w:cs="Arial"/>
          <w:iCs/>
        </w:rPr>
        <w:t>s</w:t>
      </w:r>
      <w:r w:rsidR="00A22856" w:rsidRPr="001F02D6">
        <w:rPr>
          <w:rFonts w:cs="Arial"/>
          <w:iCs/>
        </w:rPr>
        <w:t xml:space="preserve"> use are the key environmental challenges mentioned</w:t>
      </w:r>
      <w:r w:rsidR="00063416" w:rsidRPr="001F02D6">
        <w:rPr>
          <w:rFonts w:cs="Arial"/>
          <w:iCs/>
        </w:rPr>
        <w:t xml:space="preserve"> in current literature</w:t>
      </w:r>
      <w:r w:rsidR="00A22856" w:rsidRPr="001F02D6">
        <w:rPr>
          <w:rFonts w:cs="Arial"/>
          <w:iCs/>
        </w:rPr>
        <w:t>.</w:t>
      </w:r>
      <w:r w:rsidR="001425FA" w:rsidRPr="001F02D6">
        <w:rPr>
          <w:rFonts w:cs="Arial"/>
          <w:iCs/>
        </w:rPr>
        <w:t xml:space="preserve"> </w:t>
      </w:r>
      <w:r w:rsidR="00E95FB7" w:rsidRPr="001F02D6">
        <w:rPr>
          <w:rFonts w:cs="Arial"/>
          <w:iCs/>
        </w:rPr>
        <w:t xml:space="preserve">Due to the site-specific application of </w:t>
      </w:r>
      <w:r w:rsidR="00090A10" w:rsidRPr="001F02D6">
        <w:rPr>
          <w:rFonts w:cs="Arial"/>
          <w:iCs/>
        </w:rPr>
        <w:t>water and fertilizers</w:t>
      </w:r>
      <w:r w:rsidR="00E95FB7" w:rsidRPr="001F02D6">
        <w:rPr>
          <w:rFonts w:cs="Arial"/>
          <w:iCs/>
        </w:rPr>
        <w:t xml:space="preserve">, precision viticulture techniques can play an essential role in the sustainable use of </w:t>
      </w:r>
      <w:r w:rsidR="00090A10" w:rsidRPr="001F02D6">
        <w:rPr>
          <w:rFonts w:cs="Arial"/>
          <w:iCs/>
        </w:rPr>
        <w:t>these inputs</w:t>
      </w:r>
      <w:r w:rsidR="00E95FB7" w:rsidRPr="001F02D6">
        <w:rPr>
          <w:rFonts w:cs="Arial"/>
          <w:iCs/>
        </w:rPr>
        <w:t xml:space="preserve"> in grape production</w:t>
      </w:r>
      <w:r w:rsidR="00063416" w:rsidRPr="001F02D6">
        <w:rPr>
          <w:rFonts w:cs="Arial"/>
          <w:iCs/>
        </w:rPr>
        <w:t xml:space="preserve"> processes</w:t>
      </w:r>
      <w:r w:rsidR="00E95FB7" w:rsidRPr="001F02D6">
        <w:rPr>
          <w:rFonts w:cs="Arial"/>
          <w:iCs/>
        </w:rPr>
        <w:t>, enhancing yield and quality of grapes while reducing negative environmental effects.</w:t>
      </w:r>
      <w:r w:rsidR="001425FA" w:rsidRPr="001F02D6">
        <w:rPr>
          <w:rFonts w:cs="Arial"/>
          <w:iCs/>
        </w:rPr>
        <w:t xml:space="preserve"> </w:t>
      </w:r>
      <w:r w:rsidR="009E06AC" w:rsidRPr="001F02D6">
        <w:rPr>
          <w:rFonts w:cs="Arial"/>
          <w:iCs/>
        </w:rPr>
        <w:t>Precision viticulture</w:t>
      </w:r>
      <w:r w:rsidR="00EE723F" w:rsidRPr="001F02D6">
        <w:rPr>
          <w:rFonts w:cs="Arial"/>
          <w:iCs/>
        </w:rPr>
        <w:t xml:space="preserve">, on the other hand, frequently involves investments and additional management costs. </w:t>
      </w:r>
    </w:p>
    <w:p w14:paraId="0103C6ED" w14:textId="595EDBF0" w:rsidR="0059200D" w:rsidRPr="001F02D6" w:rsidRDefault="00EE723F" w:rsidP="008559D7">
      <w:pPr>
        <w:spacing w:before="0"/>
        <w:jc w:val="both"/>
        <w:rPr>
          <w:rFonts w:cs="Arial"/>
          <w:iCs/>
        </w:rPr>
      </w:pPr>
      <w:r w:rsidRPr="001F02D6">
        <w:rPr>
          <w:rFonts w:cs="Arial"/>
          <w:iCs/>
        </w:rPr>
        <w:t>The purpose of this research</w:t>
      </w:r>
      <w:r w:rsidR="002C26B4" w:rsidRPr="001F02D6">
        <w:rPr>
          <w:rFonts w:cs="Arial"/>
          <w:iCs/>
        </w:rPr>
        <w:t xml:space="preserve"> </w:t>
      </w:r>
      <w:r w:rsidR="00A43657" w:rsidRPr="001F02D6">
        <w:rPr>
          <w:rFonts w:cs="Arial"/>
          <w:iCs/>
        </w:rPr>
        <w:t xml:space="preserve">is </w:t>
      </w:r>
      <w:r w:rsidRPr="001F02D6">
        <w:rPr>
          <w:rFonts w:cs="Arial"/>
          <w:iCs/>
        </w:rPr>
        <w:t xml:space="preserve">to evaluate multiple water and fertilizer management systems in vineyards, </w:t>
      </w:r>
      <w:r w:rsidR="0059200D" w:rsidRPr="001F02D6">
        <w:rPr>
          <w:rFonts w:cs="Arial"/>
          <w:bCs/>
          <w:iCs/>
          <w:lang w:val="en-GB"/>
        </w:rPr>
        <w:t xml:space="preserve">ranging from those conventionally used </w:t>
      </w:r>
      <w:r w:rsidR="0059200D" w:rsidRPr="001F02D6">
        <w:rPr>
          <w:rFonts w:cs="Arial"/>
          <w:iCs/>
          <w:lang w:val="en-GB"/>
        </w:rPr>
        <w:t xml:space="preserve">in the Colli Morenici region (South of Garda lake, Lombardy region, Northern Italy), to the </w:t>
      </w:r>
      <w:r w:rsidR="0059200D" w:rsidRPr="001F02D6">
        <w:rPr>
          <w:rFonts w:cs="Arial"/>
          <w:bCs/>
          <w:iCs/>
          <w:lang w:val="en-GB"/>
        </w:rPr>
        <w:t>most innovative ones</w:t>
      </w:r>
      <w:r w:rsidR="0059200D" w:rsidRPr="001F02D6">
        <w:rPr>
          <w:rFonts w:cs="Arial"/>
          <w:iCs/>
          <w:lang w:val="en-GB"/>
        </w:rPr>
        <w:t xml:space="preserve"> </w:t>
      </w:r>
      <w:r w:rsidR="0059200D" w:rsidRPr="001F02D6">
        <w:rPr>
          <w:rFonts w:cs="Arial"/>
          <w:bCs/>
          <w:iCs/>
          <w:lang w:val="en-GB"/>
        </w:rPr>
        <w:t xml:space="preserve">to date adopted in </w:t>
      </w:r>
      <w:r w:rsidR="00F56366" w:rsidRPr="001F02D6">
        <w:rPr>
          <w:rFonts w:cs="Arial"/>
          <w:bCs/>
          <w:iCs/>
          <w:lang w:val="en-GB"/>
        </w:rPr>
        <w:t>a pilot farm</w:t>
      </w:r>
      <w:r w:rsidR="0059200D" w:rsidRPr="001F02D6">
        <w:rPr>
          <w:rFonts w:cs="Arial"/>
          <w:bCs/>
          <w:iCs/>
          <w:lang w:val="en-GB"/>
        </w:rPr>
        <w:t xml:space="preserve"> of this geographical region.</w:t>
      </w:r>
      <w:r w:rsidR="0059200D" w:rsidRPr="001F02D6">
        <w:rPr>
          <w:rFonts w:cs="Arial"/>
          <w:iCs/>
          <w:lang w:val="en-GB"/>
        </w:rPr>
        <w:t xml:space="preserve"> Six scenarios have been explored, considering different irrigation water supply (private groundwater well </w:t>
      </w:r>
      <w:r w:rsidR="0059200D" w:rsidRPr="001F02D6">
        <w:rPr>
          <w:rFonts w:cs="Arial"/>
          <w:i/>
          <w:iCs/>
          <w:lang w:val="en-GB"/>
        </w:rPr>
        <w:t>versus</w:t>
      </w:r>
      <w:r w:rsidR="0059200D" w:rsidRPr="001F02D6">
        <w:rPr>
          <w:rFonts w:cs="Arial"/>
          <w:iCs/>
          <w:lang w:val="en-GB"/>
        </w:rPr>
        <w:t xml:space="preserve"> water provided by an Irrigation Consortium), different irrigation management (sprinkler through a hose reel, uniform-rate drip irrigation, variable-rate drip irrigation) and, finally, different nitrogen management (</w:t>
      </w:r>
      <w:r w:rsidR="0059200D" w:rsidRPr="001F02D6">
        <w:rPr>
          <w:rFonts w:cs="Arial"/>
          <w:bCs/>
          <w:iCs/>
          <w:lang w:val="en-GB"/>
        </w:rPr>
        <w:t>fertilizer spreader</w:t>
      </w:r>
      <w:r w:rsidR="0059200D" w:rsidRPr="001F02D6">
        <w:rPr>
          <w:rFonts w:cs="Arial"/>
          <w:iCs/>
          <w:lang w:val="en-GB"/>
        </w:rPr>
        <w:t xml:space="preserve"> </w:t>
      </w:r>
      <w:r w:rsidR="0059200D" w:rsidRPr="001F02D6">
        <w:rPr>
          <w:rFonts w:cs="Arial"/>
          <w:i/>
          <w:iCs/>
          <w:lang w:val="en-GB"/>
        </w:rPr>
        <w:t>v</w:t>
      </w:r>
      <w:r w:rsidR="0059200D" w:rsidRPr="001F02D6">
        <w:rPr>
          <w:rFonts w:cs="Arial"/>
          <w:bCs/>
          <w:i/>
          <w:iCs/>
          <w:lang w:val="en-GB"/>
        </w:rPr>
        <w:t>ersus</w:t>
      </w:r>
      <w:r w:rsidR="0059200D" w:rsidRPr="001F02D6">
        <w:rPr>
          <w:rFonts w:cs="Arial"/>
          <w:bCs/>
          <w:iCs/>
          <w:lang w:val="en-GB"/>
        </w:rPr>
        <w:t xml:space="preserve"> fertigation). LCA, </w:t>
      </w:r>
      <w:r w:rsidR="00090A10" w:rsidRPr="001F02D6">
        <w:rPr>
          <w:rFonts w:cs="Arial"/>
          <w:bCs/>
          <w:iCs/>
          <w:lang w:val="en-GB"/>
        </w:rPr>
        <w:t xml:space="preserve">gross margin analysis </w:t>
      </w:r>
      <w:r w:rsidR="0059200D" w:rsidRPr="001F02D6">
        <w:rPr>
          <w:rFonts w:cs="Arial"/>
          <w:bCs/>
          <w:iCs/>
          <w:lang w:val="en-GB"/>
        </w:rPr>
        <w:t>and multivariate analysis have been used as a multidisciplinary approach to assess the sustainability of the different scenarios</w:t>
      </w:r>
      <w:r w:rsidR="0059200D" w:rsidRPr="001F02D6">
        <w:rPr>
          <w:rFonts w:cs="Arial"/>
          <w:iCs/>
          <w:lang w:val="en-GB"/>
        </w:rPr>
        <w:t xml:space="preserve"> from </w:t>
      </w:r>
      <w:r w:rsidR="00090A10" w:rsidRPr="001F02D6">
        <w:rPr>
          <w:rFonts w:cs="Arial"/>
          <w:iCs/>
          <w:lang w:val="en-GB"/>
        </w:rPr>
        <w:t xml:space="preserve">both </w:t>
      </w:r>
      <w:r w:rsidR="0059200D" w:rsidRPr="001F02D6">
        <w:rPr>
          <w:rFonts w:cs="Arial"/>
          <w:iCs/>
          <w:lang w:val="en-GB"/>
        </w:rPr>
        <w:t>an economic and an environmental point of view</w:t>
      </w:r>
      <w:r w:rsidR="0059200D" w:rsidRPr="001F02D6">
        <w:rPr>
          <w:rFonts w:cs="Arial"/>
          <w:bCs/>
          <w:iCs/>
          <w:lang w:val="en-GB"/>
        </w:rPr>
        <w:t xml:space="preserve">. </w:t>
      </w:r>
    </w:p>
    <w:p w14:paraId="0200980A" w14:textId="35DC8511" w:rsidR="000B1FFF" w:rsidRPr="001F02D6" w:rsidRDefault="001425FA" w:rsidP="005B63D0">
      <w:pPr>
        <w:spacing w:before="0"/>
        <w:jc w:val="both"/>
        <w:rPr>
          <w:rFonts w:cs="Arial"/>
          <w:iCs/>
          <w:lang w:val="en-GB"/>
        </w:rPr>
      </w:pPr>
      <w:r w:rsidRPr="001F02D6">
        <w:rPr>
          <w:rFonts w:cs="Arial"/>
          <w:iCs/>
          <w:lang w:val="en-GB"/>
        </w:rPr>
        <w:t xml:space="preserve">Results </w:t>
      </w:r>
      <w:r w:rsidR="00726F7A" w:rsidRPr="001F02D6">
        <w:rPr>
          <w:rFonts w:cs="Arial"/>
          <w:iCs/>
          <w:lang w:val="en-GB"/>
        </w:rPr>
        <w:t>obtained demonstrated that v</w:t>
      </w:r>
      <w:r w:rsidRPr="001F02D6">
        <w:rPr>
          <w:rFonts w:cs="Arial"/>
          <w:iCs/>
          <w:lang w:val="en-GB"/>
        </w:rPr>
        <w:t>ariable</w:t>
      </w:r>
      <w:r w:rsidR="00F56366" w:rsidRPr="001F02D6">
        <w:rPr>
          <w:rFonts w:cs="Arial"/>
          <w:iCs/>
          <w:lang w:val="en-GB"/>
        </w:rPr>
        <w:t xml:space="preserve"> rate</w:t>
      </w:r>
      <w:r w:rsidRPr="001F02D6">
        <w:rPr>
          <w:rFonts w:cs="Arial"/>
          <w:iCs/>
          <w:lang w:val="en-GB"/>
        </w:rPr>
        <w:t xml:space="preserve"> drip irrigation </w:t>
      </w:r>
      <w:r w:rsidR="00090A10" w:rsidRPr="001F02D6">
        <w:rPr>
          <w:rFonts w:cs="Arial"/>
          <w:iCs/>
          <w:lang w:val="en-GB"/>
        </w:rPr>
        <w:t xml:space="preserve">(VDI) </w:t>
      </w:r>
      <w:r w:rsidRPr="001F02D6">
        <w:rPr>
          <w:rFonts w:cs="Arial"/>
          <w:iCs/>
          <w:lang w:val="en-GB"/>
        </w:rPr>
        <w:t xml:space="preserve">and fertigation scenarios </w:t>
      </w:r>
      <w:r w:rsidR="00F56366" w:rsidRPr="001F02D6">
        <w:rPr>
          <w:rFonts w:cs="Arial"/>
          <w:iCs/>
          <w:lang w:val="en-GB"/>
        </w:rPr>
        <w:t xml:space="preserve">achieved the higher </w:t>
      </w:r>
      <w:r w:rsidRPr="001F02D6">
        <w:rPr>
          <w:rFonts w:cs="Arial"/>
          <w:iCs/>
          <w:lang w:val="en-GB"/>
        </w:rPr>
        <w:t>environmental and economical sustainab</w:t>
      </w:r>
      <w:r w:rsidR="00F56366" w:rsidRPr="001F02D6">
        <w:rPr>
          <w:rFonts w:cs="Arial"/>
          <w:iCs/>
          <w:lang w:val="en-GB"/>
        </w:rPr>
        <w:t>ility</w:t>
      </w:r>
      <w:r w:rsidRPr="001F02D6">
        <w:rPr>
          <w:rFonts w:cs="Arial"/>
          <w:iCs/>
          <w:lang w:val="en-GB"/>
        </w:rPr>
        <w:t xml:space="preserve">. In terms of the environment, variable </w:t>
      </w:r>
      <w:r w:rsidR="00F56366" w:rsidRPr="001F02D6">
        <w:rPr>
          <w:rFonts w:cs="Arial"/>
          <w:iCs/>
          <w:lang w:val="en-GB"/>
        </w:rPr>
        <w:t xml:space="preserve">rate </w:t>
      </w:r>
      <w:r w:rsidRPr="001F02D6">
        <w:rPr>
          <w:rFonts w:cs="Arial"/>
          <w:iCs/>
          <w:lang w:val="en-GB"/>
        </w:rPr>
        <w:t>drip irrigation and fertigation can dramatically cut CO</w:t>
      </w:r>
      <w:r w:rsidR="001B32BB" w:rsidRPr="001F02D6">
        <w:rPr>
          <w:rFonts w:cs="Arial"/>
          <w:iCs/>
          <w:vertAlign w:val="subscript"/>
          <w:lang w:val="en-GB"/>
        </w:rPr>
        <w:t>2</w:t>
      </w:r>
      <w:r w:rsidRPr="001F02D6">
        <w:rPr>
          <w:rFonts w:cs="Arial"/>
          <w:iCs/>
          <w:lang w:val="en-GB"/>
        </w:rPr>
        <w:t xml:space="preserve"> equivalent emissions generated during grape production by more than 50% while increasing water use efficiency by more than 30%</w:t>
      </w:r>
      <w:r w:rsidR="00F56366" w:rsidRPr="001F02D6">
        <w:rPr>
          <w:rFonts w:cs="Arial"/>
          <w:iCs/>
          <w:lang w:val="en-GB"/>
        </w:rPr>
        <w:t xml:space="preserve"> compared to the most widespread methods in the area</w:t>
      </w:r>
      <w:r w:rsidRPr="001F02D6">
        <w:rPr>
          <w:rFonts w:cs="Arial"/>
          <w:iCs/>
          <w:lang w:val="en-GB"/>
        </w:rPr>
        <w:t xml:space="preserve">. In terms of economic outcomes, scenarios based on precision viticulture have the highest investment costs for introducing advanced technologies. However, these </w:t>
      </w:r>
      <w:r w:rsidR="0090057F" w:rsidRPr="001F02D6">
        <w:rPr>
          <w:rFonts w:cs="Arial"/>
          <w:iCs/>
          <w:lang w:val="en-GB"/>
        </w:rPr>
        <w:t>costs</w:t>
      </w:r>
      <w:r w:rsidRPr="001F02D6">
        <w:rPr>
          <w:rFonts w:cs="Arial"/>
          <w:iCs/>
          <w:lang w:val="en-GB"/>
        </w:rPr>
        <w:t xml:space="preserve"> are offset by </w:t>
      </w:r>
      <w:r w:rsidR="002C00F1" w:rsidRPr="001F02D6">
        <w:rPr>
          <w:rFonts w:cs="Arial"/>
          <w:iCs/>
          <w:lang w:val="en-GB"/>
        </w:rPr>
        <w:t xml:space="preserve">a </w:t>
      </w:r>
      <w:r w:rsidRPr="001F02D6">
        <w:rPr>
          <w:rFonts w:cs="Arial"/>
          <w:iCs/>
          <w:lang w:val="en-GB"/>
        </w:rPr>
        <w:t xml:space="preserve">higher </w:t>
      </w:r>
      <w:r w:rsidR="00341A3A" w:rsidRPr="001F02D6">
        <w:rPr>
          <w:rFonts w:cs="Arial"/>
          <w:iCs/>
          <w:lang w:val="en-GB"/>
        </w:rPr>
        <w:t>revenue</w:t>
      </w:r>
      <w:r w:rsidRPr="001F02D6">
        <w:rPr>
          <w:rFonts w:cs="Arial"/>
          <w:iCs/>
          <w:lang w:val="en-GB"/>
        </w:rPr>
        <w:t xml:space="preserve"> (+23%) resulting from increased and more stable grape </w:t>
      </w:r>
      <w:r w:rsidR="008758BF" w:rsidRPr="001F02D6">
        <w:rPr>
          <w:rFonts w:cs="Arial"/>
          <w:iCs/>
          <w:lang w:val="en-GB"/>
        </w:rPr>
        <w:t xml:space="preserve">yield </w:t>
      </w:r>
      <w:r w:rsidRPr="001F02D6">
        <w:rPr>
          <w:rFonts w:cs="Arial"/>
          <w:iCs/>
          <w:lang w:val="en-GB"/>
        </w:rPr>
        <w:t>and quality.</w:t>
      </w:r>
    </w:p>
    <w:p w14:paraId="75568858" w14:textId="15156FC3" w:rsidR="00117708" w:rsidRPr="005B63D0" w:rsidRDefault="008758BF" w:rsidP="00F80765">
      <w:pPr>
        <w:spacing w:before="0"/>
        <w:jc w:val="both"/>
        <w:rPr>
          <w:rFonts w:cs="Arial"/>
          <w:iCs/>
          <w:lang w:val="en-GB"/>
        </w:rPr>
      </w:pPr>
      <w:r w:rsidRPr="001F02D6">
        <w:rPr>
          <w:rFonts w:cs="Arial"/>
          <w:iCs/>
          <w:lang w:val="en-GB"/>
        </w:rPr>
        <w:t xml:space="preserve">However, </w:t>
      </w:r>
      <w:r w:rsidR="00090A10" w:rsidRPr="001F02D6">
        <w:rPr>
          <w:rFonts w:cs="Arial"/>
          <w:iCs/>
          <w:lang w:val="en-GB"/>
        </w:rPr>
        <w:t>VDI</w:t>
      </w:r>
      <w:r w:rsidR="00F80765" w:rsidRPr="001F02D6">
        <w:rPr>
          <w:rFonts w:cs="Arial"/>
          <w:iCs/>
          <w:lang w:val="en-GB"/>
        </w:rPr>
        <w:t xml:space="preserve"> requires that irrigation water </w:t>
      </w:r>
      <w:r w:rsidRPr="001F02D6">
        <w:rPr>
          <w:rFonts w:cs="Arial"/>
          <w:iCs/>
          <w:lang w:val="en-GB"/>
        </w:rPr>
        <w:t xml:space="preserve">could </w:t>
      </w:r>
      <w:r w:rsidR="00F80765" w:rsidRPr="001F02D6">
        <w:rPr>
          <w:rFonts w:cs="Arial"/>
          <w:iCs/>
          <w:lang w:val="en-GB"/>
        </w:rPr>
        <w:t xml:space="preserve">be available on-demand rather than </w:t>
      </w:r>
      <w:r w:rsidR="002C00F1" w:rsidRPr="001F02D6">
        <w:rPr>
          <w:rFonts w:cs="Arial"/>
          <w:iCs/>
          <w:lang w:val="en-GB"/>
        </w:rPr>
        <w:t xml:space="preserve">following </w:t>
      </w:r>
      <w:r w:rsidR="00F80765" w:rsidRPr="001F02D6">
        <w:rPr>
          <w:rFonts w:cs="Arial"/>
          <w:iCs/>
          <w:lang w:val="en-GB"/>
        </w:rPr>
        <w:t xml:space="preserve">a </w:t>
      </w:r>
      <w:r w:rsidRPr="001F02D6">
        <w:rPr>
          <w:rFonts w:cs="Arial"/>
          <w:iCs/>
          <w:lang w:val="en-GB"/>
        </w:rPr>
        <w:t xml:space="preserve">rigid </w:t>
      </w:r>
      <w:r w:rsidR="00F80765" w:rsidRPr="001F02D6">
        <w:rPr>
          <w:rFonts w:cs="Arial"/>
          <w:iCs/>
          <w:lang w:val="en-GB"/>
        </w:rPr>
        <w:t xml:space="preserve">irrigation </w:t>
      </w:r>
      <w:r w:rsidRPr="001F02D6">
        <w:rPr>
          <w:rFonts w:cs="Arial"/>
          <w:iCs/>
          <w:lang w:val="en-GB"/>
        </w:rPr>
        <w:t>delivery</w:t>
      </w:r>
      <w:r w:rsidR="00F80765" w:rsidRPr="001F02D6">
        <w:rPr>
          <w:rFonts w:cs="Arial"/>
          <w:iCs/>
          <w:lang w:val="en-GB"/>
        </w:rPr>
        <w:t xml:space="preserve">. Without </w:t>
      </w:r>
      <w:r w:rsidRPr="001F02D6">
        <w:rPr>
          <w:rFonts w:cs="Arial"/>
          <w:iCs/>
          <w:lang w:val="en-GB"/>
        </w:rPr>
        <w:t>finding a solution in term of</w:t>
      </w:r>
      <w:r w:rsidR="00F80765" w:rsidRPr="001F02D6">
        <w:rPr>
          <w:rFonts w:cs="Arial"/>
          <w:iCs/>
          <w:lang w:val="en-GB"/>
        </w:rPr>
        <w:t xml:space="preserve"> collective irrigation service, farmers </w:t>
      </w:r>
      <w:r w:rsidRPr="001F02D6">
        <w:rPr>
          <w:rFonts w:cs="Arial"/>
          <w:iCs/>
          <w:lang w:val="en-GB"/>
        </w:rPr>
        <w:t xml:space="preserve">would </w:t>
      </w:r>
      <w:r w:rsidR="00F80765" w:rsidRPr="001F02D6">
        <w:rPr>
          <w:rFonts w:cs="Arial"/>
          <w:iCs/>
          <w:lang w:val="en-GB"/>
        </w:rPr>
        <w:t>rely on private groundwater wells</w:t>
      </w:r>
      <w:r w:rsidRPr="001F02D6">
        <w:rPr>
          <w:rFonts w:cs="Arial"/>
          <w:iCs/>
          <w:lang w:val="en-GB"/>
        </w:rPr>
        <w:t xml:space="preserve"> to implement</w:t>
      </w:r>
      <w:r w:rsidR="00196677" w:rsidRPr="001F02D6">
        <w:rPr>
          <w:rFonts w:cs="Arial"/>
          <w:iCs/>
          <w:lang w:val="en-GB"/>
        </w:rPr>
        <w:t xml:space="preserve"> advanced irrigation and fertigation solutions.</w:t>
      </w:r>
    </w:p>
    <w:sectPr w:rsidR="00117708" w:rsidRPr="005B63D0">
      <w:headerReference w:type="default" r:id="rId8"/>
      <w:pgSz w:w="12240" w:h="15840" w:code="1"/>
      <w:pgMar w:top="1701" w:right="1701" w:bottom="1701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96CFF" w14:textId="77777777" w:rsidR="001C478C" w:rsidRDefault="001C478C">
      <w:r>
        <w:separator/>
      </w:r>
    </w:p>
  </w:endnote>
  <w:endnote w:type="continuationSeparator" w:id="0">
    <w:p w14:paraId="120722DB" w14:textId="77777777" w:rsidR="001C478C" w:rsidRDefault="001C4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CFF32" w14:textId="77777777" w:rsidR="001C478C" w:rsidRDefault="001C478C">
      <w:r>
        <w:separator/>
      </w:r>
    </w:p>
  </w:footnote>
  <w:footnote w:type="continuationSeparator" w:id="0">
    <w:p w14:paraId="4B616422" w14:textId="77777777" w:rsidR="001C478C" w:rsidRDefault="001C4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2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6"/>
      <w:gridCol w:w="617"/>
      <w:gridCol w:w="7712"/>
    </w:tblGrid>
    <w:tr w:rsidR="00DA1D82" w14:paraId="7C4990B4" w14:textId="77777777" w:rsidTr="00181530">
      <w:trPr>
        <w:cantSplit/>
        <w:trHeight w:hRule="exact" w:val="911"/>
      </w:trPr>
      <w:tc>
        <w:tcPr>
          <w:tcW w:w="926" w:type="dxa"/>
          <w:vAlign w:val="center"/>
        </w:tcPr>
        <w:p w14:paraId="778BAA6C" w14:textId="77777777" w:rsidR="00DA1D82" w:rsidRDefault="00DA1D82" w:rsidP="00DA1D82">
          <w:pPr>
            <w:pStyle w:val="Header"/>
            <w:jc w:val="center"/>
            <w:rPr>
              <w:i/>
              <w:sz w:val="20"/>
              <w:lang w:val="en-GB"/>
            </w:rPr>
          </w:pPr>
          <w:r>
            <w:rPr>
              <w:i/>
              <w:noProof/>
              <w:sz w:val="20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70191991" wp14:editId="0DF6CD42">
                <wp:simplePos x="0" y="0"/>
                <wp:positionH relativeFrom="column">
                  <wp:posOffset>-3810</wp:posOffset>
                </wp:positionH>
                <wp:positionV relativeFrom="paragraph">
                  <wp:posOffset>76200</wp:posOffset>
                </wp:positionV>
                <wp:extent cx="540000" cy="540000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IIA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17" w:type="dxa"/>
        </w:tcPr>
        <w:p w14:paraId="4415E479" w14:textId="77777777" w:rsidR="00DA1D82" w:rsidRDefault="00DA1D82" w:rsidP="00DA1D82">
          <w:pPr>
            <w:pStyle w:val="Header"/>
            <w:rPr>
              <w:i/>
              <w:sz w:val="20"/>
              <w:lang w:val="en-GB"/>
            </w:rPr>
          </w:pPr>
        </w:p>
      </w:tc>
      <w:tc>
        <w:tcPr>
          <w:tcW w:w="7712" w:type="dxa"/>
          <w:vAlign w:val="center"/>
        </w:tcPr>
        <w:p w14:paraId="16EADDE3" w14:textId="77777777" w:rsidR="00DA1D82" w:rsidRDefault="00DA1D82" w:rsidP="00181530">
          <w:pPr>
            <w:pStyle w:val="Header"/>
            <w:spacing w:before="0"/>
            <w:rPr>
              <w:i/>
              <w:sz w:val="20"/>
              <w:lang w:val="en-GB"/>
            </w:rPr>
          </w:pPr>
          <w:r>
            <w:rPr>
              <w:i/>
              <w:sz w:val="20"/>
              <w:lang w:val="en-GB"/>
            </w:rPr>
            <w:t>1</w:t>
          </w:r>
          <w:r w:rsidR="00181530">
            <w:rPr>
              <w:i/>
              <w:sz w:val="20"/>
              <w:lang w:val="en-GB"/>
            </w:rPr>
            <w:t>2</w:t>
          </w:r>
          <w:r w:rsidRPr="00C5511F">
            <w:rPr>
              <w:i/>
              <w:sz w:val="20"/>
              <w:vertAlign w:val="superscript"/>
              <w:lang w:val="en-GB"/>
            </w:rPr>
            <w:t>th</w:t>
          </w:r>
          <w:r>
            <w:rPr>
              <w:i/>
              <w:sz w:val="20"/>
              <w:lang w:val="en-GB"/>
            </w:rPr>
            <w:t xml:space="preserve"> International AIIA Conference: </w:t>
          </w:r>
          <w:r w:rsidR="00181530">
            <w:rPr>
              <w:i/>
              <w:sz w:val="20"/>
              <w:lang w:val="en-GB"/>
            </w:rPr>
            <w:t>September</w:t>
          </w:r>
          <w:r>
            <w:rPr>
              <w:i/>
              <w:sz w:val="20"/>
              <w:lang w:val="en-GB"/>
            </w:rPr>
            <w:t xml:space="preserve"> </w:t>
          </w:r>
          <w:r w:rsidR="00181530">
            <w:rPr>
              <w:i/>
              <w:sz w:val="20"/>
              <w:lang w:val="en-GB"/>
            </w:rPr>
            <w:t>19</w:t>
          </w:r>
          <w:r w:rsidRPr="00405293">
            <w:rPr>
              <w:i/>
              <w:sz w:val="20"/>
              <w:lang w:val="en-GB"/>
            </w:rPr>
            <w:t>-</w:t>
          </w:r>
          <w:r w:rsidR="00181530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>, 20</w:t>
          </w:r>
          <w:r w:rsidR="005A41BF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 xml:space="preserve"> </w:t>
          </w:r>
          <w:r w:rsidR="005A41BF">
            <w:rPr>
              <w:i/>
              <w:sz w:val="20"/>
              <w:lang w:val="en-GB"/>
            </w:rPr>
            <w:t>Palermo</w:t>
          </w:r>
          <w:r>
            <w:rPr>
              <w:i/>
              <w:sz w:val="20"/>
              <w:lang w:val="en-GB"/>
            </w:rPr>
            <w:t xml:space="preserve"> -</w:t>
          </w:r>
          <w:r w:rsidRPr="00454270">
            <w:rPr>
              <w:i/>
              <w:sz w:val="20"/>
              <w:lang w:val="en-GB"/>
            </w:rPr>
            <w:t xml:space="preserve"> </w:t>
          </w:r>
          <w:r>
            <w:rPr>
              <w:i/>
              <w:sz w:val="20"/>
              <w:lang w:val="en-GB"/>
            </w:rPr>
            <w:t>Ital</w:t>
          </w:r>
          <w:r w:rsidRPr="00405293">
            <w:rPr>
              <w:i/>
              <w:sz w:val="20"/>
              <w:lang w:val="en-GB"/>
            </w:rPr>
            <w:t>y</w:t>
          </w:r>
        </w:p>
        <w:p w14:paraId="4B4EFE78" w14:textId="77777777" w:rsidR="00181530" w:rsidRDefault="00DA1D82" w:rsidP="00181530">
          <w:pPr>
            <w:pStyle w:val="Header"/>
            <w:rPr>
              <w:i/>
              <w:sz w:val="20"/>
              <w:lang w:val="en-GB"/>
            </w:rPr>
          </w:pPr>
          <w:r w:rsidRPr="00405293">
            <w:rPr>
              <w:i/>
              <w:sz w:val="20"/>
              <w:lang w:val="en-GB"/>
            </w:rPr>
            <w:t>“</w:t>
          </w:r>
          <w:r>
            <w:rPr>
              <w:i/>
              <w:sz w:val="20"/>
              <w:lang w:val="en-GB"/>
            </w:rPr>
            <w:t xml:space="preserve">Biosystems Engineering </w:t>
          </w:r>
          <w:r w:rsidR="00181530">
            <w:rPr>
              <w:i/>
              <w:sz w:val="20"/>
              <w:lang w:val="en-GB"/>
            </w:rPr>
            <w:t>towards the Green Deal</w:t>
          </w:r>
          <w:r w:rsidRPr="00405293">
            <w:rPr>
              <w:i/>
              <w:sz w:val="20"/>
              <w:lang w:val="en-GB"/>
            </w:rPr>
            <w:t>”</w:t>
          </w:r>
          <w:r w:rsidR="00181530">
            <w:rPr>
              <w:i/>
              <w:sz w:val="20"/>
              <w:lang w:val="en-GB"/>
            </w:rPr>
            <w:t xml:space="preserve"> </w:t>
          </w:r>
        </w:p>
        <w:p w14:paraId="3085137E" w14:textId="77777777" w:rsidR="00DA1D82" w:rsidRDefault="00181530" w:rsidP="00181530">
          <w:pPr>
            <w:pStyle w:val="Header"/>
            <w:spacing w:before="0"/>
            <w:rPr>
              <w:i/>
              <w:sz w:val="20"/>
              <w:lang w:val="en-GB"/>
            </w:rPr>
          </w:pPr>
          <w:r w:rsidRPr="00181530">
            <w:rPr>
              <w:i/>
              <w:sz w:val="20"/>
              <w:lang w:val="en-GB"/>
            </w:rPr>
            <w:t>Improving the resilience of agriculture, forestry and food systems in the post-Covid era</w:t>
          </w:r>
        </w:p>
      </w:tc>
    </w:tr>
  </w:tbl>
  <w:p w14:paraId="2D41319E" w14:textId="77777777" w:rsidR="003931B4" w:rsidRDefault="003931B4" w:rsidP="003931B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B421D8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F789A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6070F"/>
    <w:multiLevelType w:val="hybridMultilevel"/>
    <w:tmpl w:val="11A097C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C652E"/>
    <w:multiLevelType w:val="multilevel"/>
    <w:tmpl w:val="D9C87E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FE2155"/>
    <w:multiLevelType w:val="hybridMultilevel"/>
    <w:tmpl w:val="7FDEEFDE"/>
    <w:lvl w:ilvl="0" w:tplc="90F81EE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B41F4D"/>
    <w:multiLevelType w:val="hybridMultilevel"/>
    <w:tmpl w:val="7BB6961A"/>
    <w:lvl w:ilvl="0" w:tplc="F8E040CC">
      <w:start w:val="1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ttachedTemplate r:id="rId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wMLUwNrC0sDQ3tzRU0lEKTi0uzszPAykwrgUAyg11riwAAAA="/>
  </w:docVars>
  <w:rsids>
    <w:rsidRoot w:val="00782C7C"/>
    <w:rsid w:val="00003E7A"/>
    <w:rsid w:val="0004534C"/>
    <w:rsid w:val="00063416"/>
    <w:rsid w:val="00067F05"/>
    <w:rsid w:val="00090A10"/>
    <w:rsid w:val="000B1FFF"/>
    <w:rsid w:val="000F6FF4"/>
    <w:rsid w:val="00113990"/>
    <w:rsid w:val="00117708"/>
    <w:rsid w:val="001425FA"/>
    <w:rsid w:val="001440BD"/>
    <w:rsid w:val="00181530"/>
    <w:rsid w:val="00196677"/>
    <w:rsid w:val="001B32BB"/>
    <w:rsid w:val="001C478C"/>
    <w:rsid w:val="001E5F59"/>
    <w:rsid w:val="001F02D6"/>
    <w:rsid w:val="001F3BCA"/>
    <w:rsid w:val="001F7667"/>
    <w:rsid w:val="00285A68"/>
    <w:rsid w:val="002A2D1A"/>
    <w:rsid w:val="002C00F1"/>
    <w:rsid w:val="002C26B4"/>
    <w:rsid w:val="00341A3A"/>
    <w:rsid w:val="00387BD9"/>
    <w:rsid w:val="00390AB5"/>
    <w:rsid w:val="003931B4"/>
    <w:rsid w:val="00434EB6"/>
    <w:rsid w:val="00450C0D"/>
    <w:rsid w:val="005777CC"/>
    <w:rsid w:val="0058471E"/>
    <w:rsid w:val="0059200D"/>
    <w:rsid w:val="005A41BF"/>
    <w:rsid w:val="005B63D0"/>
    <w:rsid w:val="005D3192"/>
    <w:rsid w:val="006C2472"/>
    <w:rsid w:val="006F05BC"/>
    <w:rsid w:val="006F0B50"/>
    <w:rsid w:val="00726F7A"/>
    <w:rsid w:val="007348F9"/>
    <w:rsid w:val="00782C7C"/>
    <w:rsid w:val="008559D7"/>
    <w:rsid w:val="008758BF"/>
    <w:rsid w:val="008A6EA2"/>
    <w:rsid w:val="008B0CDA"/>
    <w:rsid w:val="008C5BF5"/>
    <w:rsid w:val="008F7CDD"/>
    <w:rsid w:val="0090057F"/>
    <w:rsid w:val="0094379D"/>
    <w:rsid w:val="00963579"/>
    <w:rsid w:val="009862FA"/>
    <w:rsid w:val="00990ED3"/>
    <w:rsid w:val="009E06AC"/>
    <w:rsid w:val="00A22856"/>
    <w:rsid w:val="00A43657"/>
    <w:rsid w:val="00A52E85"/>
    <w:rsid w:val="00B430D3"/>
    <w:rsid w:val="00B461D9"/>
    <w:rsid w:val="00BC4CDC"/>
    <w:rsid w:val="00BF257E"/>
    <w:rsid w:val="00C50E31"/>
    <w:rsid w:val="00C9323D"/>
    <w:rsid w:val="00D4358D"/>
    <w:rsid w:val="00D50D2C"/>
    <w:rsid w:val="00D76187"/>
    <w:rsid w:val="00D91BC2"/>
    <w:rsid w:val="00DA1D82"/>
    <w:rsid w:val="00DF66FD"/>
    <w:rsid w:val="00E95FB7"/>
    <w:rsid w:val="00EE723F"/>
    <w:rsid w:val="00F56366"/>
    <w:rsid w:val="00F56D6B"/>
    <w:rsid w:val="00F80765"/>
    <w:rsid w:val="00FA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0EB3A7"/>
  <w15:docId w15:val="{870F4C03-50D3-432A-9C8D-C8D3F7FF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/>
    </w:pPr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Author"/>
    <w:qFormat/>
    <w:pPr>
      <w:spacing w:before="360" w:after="360"/>
      <w:ind w:left="720" w:right="720"/>
      <w:jc w:val="center"/>
      <w:outlineLvl w:val="0"/>
    </w:pPr>
    <w:rPr>
      <w:b/>
      <w:kern w:val="28"/>
      <w:sz w:val="32"/>
    </w:rPr>
  </w:style>
  <w:style w:type="paragraph" w:customStyle="1" w:styleId="Author">
    <w:name w:val="Author"/>
    <w:basedOn w:val="Normal"/>
    <w:next w:val="Normal"/>
    <w:pPr>
      <w:ind w:left="720" w:hanging="720"/>
    </w:pPr>
    <w:rPr>
      <w:b/>
      <w:sz w:val="24"/>
    </w:rPr>
  </w:style>
  <w:style w:type="paragraph" w:customStyle="1" w:styleId="Address">
    <w:name w:val="Address"/>
    <w:basedOn w:val="Normal"/>
    <w:next w:val="Author"/>
    <w:pPr>
      <w:spacing w:after="60"/>
      <w:ind w:left="720"/>
    </w:pPr>
  </w:style>
  <w:style w:type="paragraph" w:customStyle="1" w:styleId="ConfName">
    <w:name w:val="ConfName"/>
    <w:basedOn w:val="Normal"/>
    <w:next w:val="ConfLocation"/>
    <w:pPr>
      <w:spacing w:before="240"/>
      <w:ind w:left="720" w:right="720"/>
      <w:jc w:val="center"/>
      <w:outlineLvl w:val="0"/>
    </w:pPr>
    <w:rPr>
      <w:b/>
      <w:kern w:val="28"/>
      <w:sz w:val="24"/>
    </w:rPr>
  </w:style>
  <w:style w:type="paragraph" w:customStyle="1" w:styleId="ConfLocation">
    <w:name w:val="ConfLocation"/>
    <w:basedOn w:val="ConfName"/>
    <w:next w:val="ConfDate"/>
    <w:pPr>
      <w:spacing w:before="0"/>
    </w:pPr>
  </w:style>
  <w:style w:type="paragraph" w:customStyle="1" w:styleId="ConfDate">
    <w:name w:val="ConfDate"/>
    <w:basedOn w:val="ConfLocation"/>
    <w:next w:val="ConfSponsor"/>
  </w:style>
  <w:style w:type="paragraph" w:customStyle="1" w:styleId="ConfSponsor">
    <w:name w:val="ConfSponsor"/>
    <w:basedOn w:val="ConfDate"/>
    <w:next w:val="Normal"/>
  </w:style>
  <w:style w:type="paragraph" w:customStyle="1" w:styleId="Keywords">
    <w:name w:val="Keywords"/>
    <w:basedOn w:val="Normal"/>
    <w:next w:val="Introduction"/>
    <w:pPr>
      <w:spacing w:after="240"/>
      <w:outlineLvl w:val="0"/>
    </w:pPr>
    <w:rPr>
      <w:kern w:val="28"/>
    </w:rPr>
  </w:style>
  <w:style w:type="paragraph" w:customStyle="1" w:styleId="Introduction">
    <w:name w:val="Introduction"/>
    <w:basedOn w:val="Heading1"/>
    <w:next w:val="Normal"/>
  </w:style>
  <w:style w:type="paragraph" w:customStyle="1" w:styleId="Disclaimer">
    <w:name w:val="Disclaimer"/>
    <w:basedOn w:val="Normal"/>
    <w:pPr>
      <w:pBdr>
        <w:top w:val="single" w:sz="4" w:space="1" w:color="auto"/>
      </w:pBdr>
      <w:spacing w:before="60"/>
      <w:jc w:val="both"/>
    </w:pPr>
    <w:rPr>
      <w:kern w:val="28"/>
      <w:sz w:val="16"/>
    </w:rPr>
  </w:style>
  <w:style w:type="paragraph" w:customStyle="1" w:styleId="Conclusion">
    <w:name w:val="Conclusion"/>
    <w:basedOn w:val="Heading1"/>
    <w:next w:val="Normal"/>
  </w:style>
  <w:style w:type="paragraph" w:customStyle="1" w:styleId="Figure">
    <w:name w:val="Figure"/>
    <w:basedOn w:val="Normal"/>
    <w:next w:val="Normal"/>
    <w:pPr>
      <w:spacing w:after="60"/>
      <w:jc w:val="center"/>
    </w:pPr>
    <w:rPr>
      <w:kern w:val="28"/>
      <w:sz w:val="24"/>
    </w:rPr>
  </w:style>
  <w:style w:type="paragraph" w:customStyle="1" w:styleId="RefTitle">
    <w:name w:val="Ref Title"/>
    <w:basedOn w:val="Heading1"/>
    <w:next w:val="RefListing"/>
  </w:style>
  <w:style w:type="paragraph" w:customStyle="1" w:styleId="RefListing">
    <w:name w:val="RefListing"/>
    <w:basedOn w:val="Normal"/>
    <w:pPr>
      <w:spacing w:before="60"/>
      <w:ind w:left="720" w:hanging="720"/>
    </w:pPr>
    <w:rPr>
      <w:kern w:val="28"/>
    </w:rPr>
  </w:style>
  <w:style w:type="paragraph" w:customStyle="1" w:styleId="PaperNumber">
    <w:name w:val="PaperNumber"/>
    <w:next w:val="Normal"/>
    <w:pPr>
      <w:widowControl w:val="0"/>
      <w:jc w:val="right"/>
    </w:pPr>
    <w:rPr>
      <w:rFonts w:ascii="Arial" w:hAnsi="Arial"/>
      <w:snapToGrid w:val="0"/>
      <w:sz w:val="24"/>
      <w:lang w:val="en-US" w:eastAsia="en-US"/>
    </w:rPr>
  </w:style>
  <w:style w:type="paragraph" w:customStyle="1" w:styleId="History">
    <w:name w:val="History"/>
    <w:basedOn w:val="Normal"/>
    <w:pPr>
      <w:widowControl w:val="0"/>
      <w:spacing w:after="240"/>
      <w:ind w:left="720" w:right="720"/>
      <w:jc w:val="center"/>
    </w:pPr>
    <w:rPr>
      <w:snapToGrid w:val="0"/>
      <w:kern w:val="28"/>
      <w:sz w:val="20"/>
    </w:rPr>
  </w:style>
  <w:style w:type="paragraph" w:customStyle="1" w:styleId="TableCaption">
    <w:name w:val="Table Caption"/>
    <w:basedOn w:val="Normal"/>
    <w:next w:val="Normal"/>
    <w:pPr>
      <w:widowControl w:val="0"/>
      <w:spacing w:after="60"/>
    </w:pPr>
    <w:rPr>
      <w:snapToGrid w:val="0"/>
      <w:kern w:val="28"/>
    </w:rPr>
  </w:style>
  <w:style w:type="paragraph" w:customStyle="1" w:styleId="FigureCaption">
    <w:name w:val="Figure Caption"/>
    <w:basedOn w:val="Normal"/>
    <w:pPr>
      <w:spacing w:before="60" w:after="60"/>
      <w:jc w:val="center"/>
    </w:pPr>
    <w:rPr>
      <w:kern w:val="28"/>
    </w:rPr>
  </w:style>
  <w:style w:type="character" w:styleId="PageNumber">
    <w:name w:val="page number"/>
    <w:basedOn w:val="DefaultParagraphFont"/>
    <w:semiHidden/>
  </w:style>
  <w:style w:type="paragraph" w:customStyle="1" w:styleId="Abstract">
    <w:name w:val="Abstract"/>
    <w:basedOn w:val="Normal"/>
    <w:rPr>
      <w:i/>
    </w:rPr>
  </w:style>
  <w:style w:type="paragraph" w:customStyle="1" w:styleId="Appendix">
    <w:name w:val="Appendix"/>
    <w:basedOn w:val="Heading1"/>
    <w:next w:val="Heading1"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sz w:val="24"/>
    </w:rPr>
  </w:style>
  <w:style w:type="paragraph" w:customStyle="1" w:styleId="ListStart">
    <w:name w:val="List Start"/>
    <w:basedOn w:val="Normal"/>
    <w:next w:val="ListBullet"/>
    <w:pPr>
      <w:spacing w:before="60" w:after="60"/>
    </w:pPr>
    <w:rPr>
      <w:kern w:val="28"/>
    </w:rPr>
  </w:style>
  <w:style w:type="paragraph" w:styleId="ListBullet">
    <w:name w:val="List Bullet"/>
    <w:basedOn w:val="Normal"/>
    <w:semiHidden/>
    <w:pPr>
      <w:numPr>
        <w:numId w:val="1"/>
      </w:numPr>
      <w:tabs>
        <w:tab w:val="clear" w:pos="360"/>
      </w:tabs>
      <w:spacing w:before="60" w:after="60"/>
    </w:pPr>
    <w:rPr>
      <w:kern w:val="28"/>
    </w:rPr>
  </w:style>
  <w:style w:type="paragraph" w:styleId="ListNumber">
    <w:name w:val="List Number"/>
    <w:basedOn w:val="Normal"/>
    <w:semiHidden/>
    <w:pPr>
      <w:numPr>
        <w:numId w:val="2"/>
      </w:numPr>
      <w:spacing w:before="60" w:after="60"/>
    </w:pPr>
    <w:rPr>
      <w:kern w:val="28"/>
    </w:rPr>
  </w:style>
  <w:style w:type="paragraph" w:styleId="BodyText">
    <w:name w:val="Body Text"/>
    <w:basedOn w:val="Normal"/>
    <w:semiHidden/>
    <w:pPr>
      <w:spacing w:before="0"/>
    </w:pPr>
    <w:rPr>
      <w:rFonts w:ascii="Times New Roman" w:hAnsi="Times New Roman"/>
    </w:rPr>
  </w:style>
  <w:style w:type="paragraph" w:customStyle="1" w:styleId="Tablecontents">
    <w:name w:val="Table contents"/>
    <w:basedOn w:val="Normal"/>
    <w:pPr>
      <w:spacing w:before="0"/>
    </w:pPr>
  </w:style>
  <w:style w:type="paragraph" w:customStyle="1" w:styleId="Authors">
    <w:name w:val="Authors"/>
    <w:basedOn w:val="Title"/>
    <w:next w:val="Affiliation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Affiliation">
    <w:name w:val="Affiliation"/>
    <w:basedOn w:val="Title"/>
    <w:next w:val="PubInfo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PubInfo">
    <w:name w:val="PubInfo"/>
    <w:basedOn w:val="Affiliation"/>
    <w:next w:val="Title"/>
  </w:style>
  <w:style w:type="character" w:styleId="Emphasis">
    <w:name w:val="Emphasis"/>
    <w:qFormat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2">
    <w:name w:val="Body Text 2"/>
    <w:basedOn w:val="Normal"/>
    <w:semiHidden/>
    <w:pPr>
      <w:spacing w:before="0"/>
      <w:ind w:right="226"/>
      <w:jc w:val="both"/>
    </w:pPr>
    <w:rPr>
      <w:rFonts w:ascii="Times New Roman" w:eastAsia="Times New Roman" w:hAnsi="Times New Roman"/>
      <w:sz w:val="20"/>
      <w:szCs w:val="24"/>
      <w:lang w:val="en-GB" w:eastAsia="it-IT"/>
    </w:rPr>
  </w:style>
  <w:style w:type="paragraph" w:styleId="PlainText">
    <w:name w:val="Plain Text"/>
    <w:basedOn w:val="Normal"/>
    <w:semiHidden/>
    <w:pPr>
      <w:spacing w:before="0"/>
    </w:pPr>
    <w:rPr>
      <w:rFonts w:ascii="Courier New" w:eastAsia="Times New Roman" w:hAnsi="Courier New" w:cs="Courier New"/>
      <w:sz w:val="20"/>
      <w:lang w:eastAsia="it-IT"/>
    </w:rPr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6C2472"/>
    <w:rPr>
      <w:color w:val="605E5C"/>
      <w:shd w:val="clear" w:color="auto" w:fill="E1DFDD"/>
    </w:rPr>
  </w:style>
  <w:style w:type="table" w:styleId="TableGrid">
    <w:name w:val="Table Grid"/>
    <w:basedOn w:val="TableNormal"/>
    <w:rsid w:val="00DA1D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2">
    <w:name w:val="Menzione non risolta2"/>
    <w:basedOn w:val="DefaultParagraphFont"/>
    <w:uiPriority w:val="99"/>
    <w:semiHidden/>
    <w:unhideWhenUsed/>
    <w:rsid w:val="008F7CD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0057F"/>
    <w:rPr>
      <w:rFonts w:ascii="Arial" w:hAnsi="Arial"/>
      <w:sz w:val="22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563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636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6366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63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6366"/>
    <w:rPr>
      <w:rFonts w:ascii="Arial" w:hAnsi="Arial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36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366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drea.casson@unim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cann\application%20data\microsoft\templates\BroadVision\asae-t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asae-tp</Template>
  <TotalTime>3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Paper No: 200000</vt:lpstr>
    </vt:vector>
  </TitlesOfParts>
  <Company>ASAE</Company>
  <LinksUpToDate>false</LinksUpToDate>
  <CharactersWithSpaces>3374</CharactersWithSpaces>
  <SharedDoc>false</SharedDoc>
  <HLinks>
    <vt:vector size="6" baseType="variant">
      <vt:variant>
        <vt:i4>4522016</vt:i4>
      </vt:variant>
      <vt:variant>
        <vt:i4>0</vt:i4>
      </vt:variant>
      <vt:variant>
        <vt:i4>0</vt:i4>
      </vt:variant>
      <vt:variant>
        <vt:i4>5</vt:i4>
      </vt:variant>
      <vt:variant>
        <vt:lpwstr>mailto:3cigr@aidic.it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No: 200000</dc:title>
  <dc:creator>ASAE</dc:creator>
  <cp:lastModifiedBy>Andrea Casson</cp:lastModifiedBy>
  <cp:revision>7</cp:revision>
  <cp:lastPrinted>2003-12-04T08:59:00Z</cp:lastPrinted>
  <dcterms:created xsi:type="dcterms:W3CDTF">2022-02-24T09:07:00Z</dcterms:created>
  <dcterms:modified xsi:type="dcterms:W3CDTF">2022-02-28T11:35:00Z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DOCTYPE">
    <vt:lpwstr>tp</vt:lpwstr>
  </property>
  <property fmtid="{D5CDD505-2E9C-101B-9397-08002B2CF9AE}" pid="3" name="BRTRANSID">
    <vt:lpwstr>0</vt:lpwstr>
  </property>
</Properties>
</file>