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FB" w:rsidRDefault="00886AFB">
      <w:pPr>
        <w:pStyle w:val="Abstract"/>
        <w:jc w:val="both"/>
        <w:rPr>
          <w:rFonts w:cs="Arial"/>
          <w:i w:val="0"/>
          <w:iCs/>
          <w:lang w:val="en-GB"/>
        </w:rPr>
      </w:pPr>
    </w:p>
    <w:p w:rsidR="00886AFB" w:rsidRPr="00886AFB" w:rsidRDefault="00886AFB" w:rsidP="00886AFB">
      <w:pPr>
        <w:spacing w:line="600" w:lineRule="auto"/>
        <w:jc w:val="center"/>
        <w:rPr>
          <w:b/>
          <w:kern w:val="28"/>
          <w:sz w:val="32"/>
        </w:rPr>
      </w:pPr>
      <w:r w:rsidRPr="00886AFB">
        <w:rPr>
          <w:b/>
          <w:kern w:val="28"/>
          <w:sz w:val="32"/>
        </w:rPr>
        <w:t xml:space="preserve">A Remote Sensing </w:t>
      </w:r>
      <w:r>
        <w:rPr>
          <w:b/>
          <w:kern w:val="28"/>
          <w:sz w:val="32"/>
        </w:rPr>
        <w:t xml:space="preserve">- </w:t>
      </w:r>
      <w:r w:rsidRPr="00886AFB">
        <w:rPr>
          <w:b/>
          <w:kern w:val="28"/>
          <w:sz w:val="32"/>
        </w:rPr>
        <w:t>hydrological modelling approach to estimate daily actual evapotranspiration.</w:t>
      </w:r>
    </w:p>
    <w:p w:rsidR="00886AFB" w:rsidRPr="008F4A34" w:rsidRDefault="00886AFB" w:rsidP="00886AFB">
      <w:pPr>
        <w:pStyle w:val="MDPI13authornames"/>
        <w:rPr>
          <w:rFonts w:ascii="Arial" w:eastAsia="SimSun" w:hAnsi="Arial"/>
          <w:b w:val="0"/>
          <w:color w:val="auto"/>
          <w:sz w:val="22"/>
          <w:szCs w:val="20"/>
          <w:lang w:val="it-IT" w:eastAsia="en-US" w:bidi="ar-SA"/>
        </w:rPr>
      </w:pPr>
      <w:proofErr w:type="spellStart"/>
      <w:r w:rsidRPr="008F4A34">
        <w:rPr>
          <w:rFonts w:ascii="Arial" w:eastAsia="SimSun" w:hAnsi="Arial"/>
          <w:b w:val="0"/>
          <w:color w:val="auto"/>
          <w:sz w:val="22"/>
          <w:szCs w:val="20"/>
          <w:lang w:val="it-IT" w:eastAsia="en-US" w:bidi="ar-SA"/>
        </w:rPr>
        <w:t>Hassan</w:t>
      </w:r>
      <w:proofErr w:type="spellEnd"/>
      <w:r w:rsidRPr="008F4A34">
        <w:rPr>
          <w:rFonts w:ascii="Arial" w:eastAsia="SimSun" w:hAnsi="Arial"/>
          <w:b w:val="0"/>
          <w:color w:val="auto"/>
          <w:sz w:val="22"/>
          <w:szCs w:val="20"/>
          <w:lang w:val="it-IT" w:eastAsia="en-US" w:bidi="ar-SA"/>
        </w:rPr>
        <w:t xml:space="preserve"> </w:t>
      </w:r>
      <w:proofErr w:type="spellStart"/>
      <w:r w:rsidRPr="008F4A34">
        <w:rPr>
          <w:rFonts w:ascii="Arial" w:eastAsia="SimSun" w:hAnsi="Arial"/>
          <w:b w:val="0"/>
          <w:color w:val="auto"/>
          <w:sz w:val="22"/>
          <w:szCs w:val="20"/>
          <w:lang w:val="it-IT" w:eastAsia="en-US" w:bidi="ar-SA"/>
        </w:rPr>
        <w:t>Awada</w:t>
      </w:r>
      <w:proofErr w:type="spellEnd"/>
      <w:r w:rsidRPr="008F4A34">
        <w:rPr>
          <w:rFonts w:ascii="Arial" w:eastAsia="SimSun" w:hAnsi="Arial"/>
          <w:b w:val="0"/>
          <w:color w:val="auto"/>
          <w:sz w:val="22"/>
          <w:szCs w:val="20"/>
          <w:lang w:val="it-IT" w:eastAsia="en-US" w:bidi="ar-SA"/>
        </w:rPr>
        <w:t xml:space="preserve"> *</w:t>
      </w:r>
      <w:r w:rsidRPr="008F4A34">
        <w:rPr>
          <w:rFonts w:ascii="Arial" w:eastAsia="SimSun" w:hAnsi="Arial"/>
          <w:b w:val="0"/>
          <w:color w:val="auto"/>
          <w:sz w:val="22"/>
          <w:szCs w:val="20"/>
          <w:vertAlign w:val="superscript"/>
          <w:lang w:val="it-IT" w:eastAsia="en-US" w:bidi="ar-SA"/>
        </w:rPr>
        <w:t>1</w:t>
      </w:r>
      <w:r w:rsidRPr="008F4A34">
        <w:rPr>
          <w:rFonts w:ascii="Arial" w:eastAsia="SimSun" w:hAnsi="Arial"/>
          <w:b w:val="0"/>
          <w:color w:val="auto"/>
          <w:sz w:val="22"/>
          <w:szCs w:val="20"/>
          <w:lang w:val="it-IT" w:eastAsia="en-US" w:bidi="ar-SA"/>
        </w:rPr>
        <w:t>, Mirko Castellini</w:t>
      </w:r>
      <w:r w:rsidRPr="008F4A34">
        <w:rPr>
          <w:rFonts w:ascii="Arial" w:eastAsia="SimSun" w:hAnsi="Arial"/>
          <w:b w:val="0"/>
          <w:color w:val="auto"/>
          <w:sz w:val="22"/>
          <w:szCs w:val="20"/>
          <w:vertAlign w:val="superscript"/>
          <w:lang w:val="it-IT" w:eastAsia="en-US" w:bidi="ar-SA"/>
        </w:rPr>
        <w:t>1</w:t>
      </w:r>
      <w:r w:rsidRPr="008F4A34">
        <w:rPr>
          <w:rFonts w:ascii="Arial" w:eastAsia="SimSun" w:hAnsi="Arial"/>
          <w:b w:val="0"/>
          <w:color w:val="auto"/>
          <w:sz w:val="22"/>
          <w:szCs w:val="20"/>
          <w:lang w:val="it-IT" w:eastAsia="en-US" w:bidi="ar-SA"/>
        </w:rPr>
        <w:t xml:space="preserve">, </w:t>
      </w:r>
      <w:hyperlink r:id="rId7" w:history="1">
        <w:r w:rsidRPr="008F4A34">
          <w:rPr>
            <w:rFonts w:ascii="Arial" w:eastAsia="SimSun" w:hAnsi="Arial"/>
            <w:b w:val="0"/>
            <w:color w:val="auto"/>
            <w:sz w:val="22"/>
            <w:szCs w:val="20"/>
            <w:lang w:val="it-IT" w:eastAsia="en-US" w:bidi="ar-SA"/>
          </w:rPr>
          <w:t>Simone Di Prima</w:t>
        </w:r>
      </w:hyperlink>
      <w:r w:rsidRPr="008F4A34">
        <w:rPr>
          <w:rFonts w:ascii="Arial" w:eastAsia="SimSun" w:hAnsi="Arial"/>
          <w:b w:val="0"/>
          <w:color w:val="auto"/>
          <w:sz w:val="22"/>
          <w:szCs w:val="20"/>
          <w:vertAlign w:val="superscript"/>
          <w:lang w:val="it-IT" w:eastAsia="en-US" w:bidi="ar-SA"/>
        </w:rPr>
        <w:t>2</w:t>
      </w:r>
      <w:r w:rsidRPr="008F4A34">
        <w:rPr>
          <w:rFonts w:ascii="Arial" w:eastAsia="SimSun" w:hAnsi="Arial"/>
          <w:b w:val="0"/>
          <w:color w:val="auto"/>
          <w:sz w:val="22"/>
          <w:szCs w:val="20"/>
          <w:lang w:val="it-IT" w:eastAsia="en-US" w:bidi="ar-SA"/>
        </w:rPr>
        <w:t xml:space="preserve">, </w:t>
      </w:r>
      <w:hyperlink r:id="rId8" w:history="1">
        <w:r w:rsidRPr="008F4A34">
          <w:rPr>
            <w:rFonts w:ascii="Arial" w:eastAsia="SimSun" w:hAnsi="Arial"/>
            <w:b w:val="0"/>
            <w:color w:val="auto"/>
            <w:sz w:val="22"/>
            <w:szCs w:val="20"/>
            <w:lang w:val="it-IT" w:eastAsia="en-US" w:bidi="ar-SA"/>
          </w:rPr>
          <w:t>Filippo Giadrossich</w:t>
        </w:r>
      </w:hyperlink>
      <w:r w:rsidRPr="008F4A34">
        <w:rPr>
          <w:rFonts w:ascii="Arial" w:eastAsia="SimSun" w:hAnsi="Arial"/>
          <w:b w:val="0"/>
          <w:color w:val="auto"/>
          <w:sz w:val="22"/>
          <w:szCs w:val="20"/>
          <w:vertAlign w:val="superscript"/>
          <w:lang w:val="it-IT" w:eastAsia="en-US" w:bidi="ar-SA"/>
        </w:rPr>
        <w:t>2</w:t>
      </w:r>
      <w:hyperlink r:id="rId9" w:history="1">
        <w:r w:rsidRPr="008F4A34">
          <w:rPr>
            <w:rFonts w:ascii="Arial" w:eastAsia="SimSun" w:hAnsi="Arial"/>
            <w:b w:val="0"/>
            <w:color w:val="auto"/>
            <w:sz w:val="22"/>
            <w:szCs w:val="20"/>
            <w:lang w:val="it-IT" w:eastAsia="en-US" w:bidi="ar-SA"/>
          </w:rPr>
          <w:t>, Costantino</w:t>
        </w:r>
      </w:hyperlink>
      <w:r w:rsidRPr="008F4A34">
        <w:rPr>
          <w:rFonts w:ascii="Arial" w:eastAsia="SimSun" w:hAnsi="Arial"/>
          <w:b w:val="0"/>
          <w:color w:val="auto"/>
          <w:sz w:val="22"/>
          <w:szCs w:val="20"/>
          <w:lang w:val="it-IT" w:eastAsia="en-US" w:bidi="ar-SA"/>
        </w:rPr>
        <w:t xml:space="preserve"> </w:t>
      </w:r>
      <w:proofErr w:type="spellStart"/>
      <w:r w:rsidRPr="008F4A34">
        <w:rPr>
          <w:rFonts w:ascii="Arial" w:eastAsia="SimSun" w:hAnsi="Arial"/>
          <w:b w:val="0"/>
          <w:color w:val="auto"/>
          <w:sz w:val="22"/>
          <w:szCs w:val="20"/>
          <w:lang w:val="it-IT" w:eastAsia="en-US" w:bidi="ar-SA"/>
        </w:rPr>
        <w:t>Sirca</w:t>
      </w:r>
      <w:proofErr w:type="spellEnd"/>
      <w:r w:rsidRPr="008F4A34">
        <w:rPr>
          <w:rFonts w:ascii="Arial" w:eastAsia="SimSun" w:hAnsi="Arial"/>
          <w:b w:val="0"/>
          <w:color w:val="auto"/>
          <w:sz w:val="22"/>
          <w:szCs w:val="20"/>
          <w:lang w:val="it-IT" w:eastAsia="en-US" w:bidi="ar-SA"/>
        </w:rPr>
        <w:t xml:space="preserve"> </w:t>
      </w:r>
      <w:r w:rsidRPr="008F4A34">
        <w:rPr>
          <w:rFonts w:ascii="Arial" w:eastAsia="SimSun" w:hAnsi="Arial"/>
          <w:b w:val="0"/>
          <w:color w:val="auto"/>
          <w:sz w:val="22"/>
          <w:szCs w:val="20"/>
          <w:vertAlign w:val="superscript"/>
          <w:lang w:val="it-IT" w:eastAsia="en-US" w:bidi="ar-SA"/>
        </w:rPr>
        <w:t>2</w:t>
      </w:r>
      <w:r w:rsidRPr="008F4A34">
        <w:rPr>
          <w:rFonts w:ascii="Arial" w:eastAsia="SimSun" w:hAnsi="Arial"/>
          <w:b w:val="0"/>
          <w:color w:val="auto"/>
          <w:sz w:val="22"/>
          <w:szCs w:val="20"/>
          <w:lang w:val="it-IT" w:eastAsia="en-US" w:bidi="ar-SA"/>
        </w:rPr>
        <w:t xml:space="preserve">, </w:t>
      </w:r>
      <w:hyperlink r:id="rId10" w:history="1">
        <w:r w:rsidRPr="008F4A34">
          <w:rPr>
            <w:rFonts w:ascii="Arial" w:eastAsia="SimSun" w:hAnsi="Arial"/>
            <w:b w:val="0"/>
            <w:color w:val="auto"/>
            <w:sz w:val="22"/>
            <w:szCs w:val="20"/>
            <w:lang w:val="it-IT" w:eastAsia="en-US" w:bidi="ar-SA"/>
          </w:rPr>
          <w:t>Serena Marras</w:t>
        </w:r>
      </w:hyperlink>
      <w:r w:rsidRPr="008F4A34">
        <w:rPr>
          <w:rFonts w:ascii="Arial" w:eastAsia="SimSun" w:hAnsi="Arial"/>
          <w:b w:val="0"/>
          <w:color w:val="auto"/>
          <w:sz w:val="22"/>
          <w:szCs w:val="20"/>
          <w:lang w:val="it-IT" w:eastAsia="en-US" w:bidi="ar-SA"/>
        </w:rPr>
        <w:t xml:space="preserve"> </w:t>
      </w:r>
      <w:r w:rsidRPr="008F4A34">
        <w:rPr>
          <w:rFonts w:ascii="Arial" w:eastAsia="SimSun" w:hAnsi="Arial"/>
          <w:b w:val="0"/>
          <w:color w:val="auto"/>
          <w:sz w:val="22"/>
          <w:szCs w:val="20"/>
          <w:vertAlign w:val="superscript"/>
          <w:lang w:val="it-IT" w:eastAsia="en-US" w:bidi="ar-SA"/>
        </w:rPr>
        <w:t>2</w:t>
      </w:r>
      <w:r w:rsidRPr="008F4A34">
        <w:rPr>
          <w:rFonts w:ascii="Arial" w:eastAsia="SimSun" w:hAnsi="Arial"/>
          <w:b w:val="0"/>
          <w:color w:val="auto"/>
          <w:sz w:val="22"/>
          <w:szCs w:val="20"/>
          <w:lang w:val="it-IT" w:eastAsia="en-US" w:bidi="ar-SA"/>
        </w:rPr>
        <w:t xml:space="preserve">, </w:t>
      </w:r>
      <w:hyperlink r:id="rId11" w:history="1">
        <w:r w:rsidRPr="008F4A34">
          <w:rPr>
            <w:rFonts w:ascii="Arial" w:eastAsia="SimSun" w:hAnsi="Arial"/>
            <w:b w:val="0"/>
            <w:color w:val="auto"/>
            <w:sz w:val="22"/>
            <w:szCs w:val="20"/>
            <w:lang w:val="it-IT" w:eastAsia="en-US" w:bidi="ar-SA"/>
          </w:rPr>
          <w:t>Donatella Spano</w:t>
        </w:r>
      </w:hyperlink>
      <w:r w:rsidRPr="008F4A34">
        <w:rPr>
          <w:rFonts w:ascii="Arial" w:eastAsia="SimSun" w:hAnsi="Arial"/>
          <w:b w:val="0"/>
          <w:color w:val="auto"/>
          <w:sz w:val="22"/>
          <w:szCs w:val="20"/>
          <w:lang w:val="it-IT" w:eastAsia="en-US" w:bidi="ar-SA"/>
        </w:rPr>
        <w:t xml:space="preserve"> </w:t>
      </w:r>
      <w:r w:rsidRPr="008F4A34">
        <w:rPr>
          <w:rFonts w:ascii="Arial" w:eastAsia="SimSun" w:hAnsi="Arial"/>
          <w:b w:val="0"/>
          <w:color w:val="auto"/>
          <w:sz w:val="22"/>
          <w:szCs w:val="20"/>
          <w:vertAlign w:val="superscript"/>
          <w:lang w:val="it-IT" w:eastAsia="en-US" w:bidi="ar-SA"/>
        </w:rPr>
        <w:t>2</w:t>
      </w:r>
      <w:r w:rsidRPr="008F4A34">
        <w:rPr>
          <w:rFonts w:ascii="Arial" w:eastAsia="SimSun" w:hAnsi="Arial"/>
          <w:b w:val="0"/>
          <w:color w:val="auto"/>
          <w:sz w:val="22"/>
          <w:szCs w:val="20"/>
          <w:lang w:val="it-IT" w:eastAsia="en-US" w:bidi="ar-SA"/>
        </w:rPr>
        <w:t xml:space="preserve"> </w:t>
      </w:r>
      <w:r w:rsidRPr="008F4A34">
        <w:rPr>
          <w:rFonts w:ascii="Arial" w:eastAsia="SimSun" w:hAnsi="Arial"/>
          <w:b w:val="0"/>
          <w:color w:val="auto"/>
          <w:sz w:val="22"/>
          <w:szCs w:val="20"/>
          <w:lang w:val="it-IT" w:eastAsia="en-US" w:bidi="ar-SA"/>
        </w:rPr>
        <w:t xml:space="preserve">and </w:t>
      </w:r>
      <w:hyperlink r:id="rId12" w:history="1">
        <w:r w:rsidRPr="008F4A34">
          <w:rPr>
            <w:rFonts w:ascii="Arial" w:eastAsia="SimSun" w:hAnsi="Arial"/>
            <w:b w:val="0"/>
            <w:color w:val="auto"/>
            <w:sz w:val="22"/>
            <w:szCs w:val="20"/>
            <w:lang w:val="it-IT" w:eastAsia="en-US" w:bidi="ar-SA"/>
          </w:rPr>
          <w:t xml:space="preserve">Mario </w:t>
        </w:r>
        <w:proofErr w:type="spellStart"/>
        <w:r w:rsidRPr="008F4A34">
          <w:rPr>
            <w:rFonts w:ascii="Arial" w:eastAsia="SimSun" w:hAnsi="Arial"/>
            <w:b w:val="0"/>
            <w:color w:val="auto"/>
            <w:sz w:val="22"/>
            <w:szCs w:val="20"/>
            <w:lang w:val="it-IT" w:eastAsia="en-US" w:bidi="ar-SA"/>
          </w:rPr>
          <w:t>Pirastru</w:t>
        </w:r>
        <w:proofErr w:type="spellEnd"/>
      </w:hyperlink>
      <w:r w:rsidRPr="008F4A34">
        <w:rPr>
          <w:rFonts w:ascii="Arial" w:eastAsia="SimSun" w:hAnsi="Arial"/>
          <w:b w:val="0"/>
          <w:color w:val="auto"/>
          <w:sz w:val="22"/>
          <w:szCs w:val="20"/>
          <w:vertAlign w:val="superscript"/>
          <w:lang w:val="it-IT" w:eastAsia="en-US" w:bidi="ar-SA"/>
        </w:rPr>
        <w:t xml:space="preserve"> </w:t>
      </w:r>
      <w:r w:rsidRPr="008F4A34">
        <w:rPr>
          <w:rFonts w:ascii="Arial" w:eastAsia="SimSun" w:hAnsi="Arial"/>
          <w:b w:val="0"/>
          <w:color w:val="auto"/>
          <w:sz w:val="22"/>
          <w:szCs w:val="20"/>
          <w:vertAlign w:val="superscript"/>
          <w:lang w:val="it-IT" w:eastAsia="en-US" w:bidi="ar-SA"/>
        </w:rPr>
        <w:t>2</w:t>
      </w:r>
    </w:p>
    <w:p w:rsidR="00886AFB" w:rsidRPr="00886AFB" w:rsidRDefault="00886AFB" w:rsidP="00886AFB">
      <w:bookmarkStart w:id="0" w:name="_Hlk63157627"/>
      <w:r w:rsidRPr="00C80A4D">
        <w:rPr>
          <w:vertAlign w:val="superscript"/>
        </w:rPr>
        <w:t>1</w:t>
      </w:r>
      <w:r w:rsidRPr="00886AFB">
        <w:t xml:space="preserve"> Council for Agricultural Research and Economics-Agriculture and Environment Research Center (CREA-AA), Via Celso </w:t>
      </w:r>
      <w:proofErr w:type="spellStart"/>
      <w:r w:rsidRPr="00886AFB">
        <w:t>Ulpiani</w:t>
      </w:r>
      <w:proofErr w:type="spellEnd"/>
      <w:r w:rsidRPr="00886AFB">
        <w:t xml:space="preserve"> 5, 70125 Bari, Italy</w:t>
      </w:r>
    </w:p>
    <w:p w:rsidR="00886AFB" w:rsidRPr="00886AFB" w:rsidRDefault="00886AFB" w:rsidP="00886AFB">
      <w:r w:rsidRPr="00C80A4D">
        <w:rPr>
          <w:vertAlign w:val="superscript"/>
        </w:rPr>
        <w:t>2</w:t>
      </w:r>
      <w:r w:rsidRPr="00886AFB">
        <w:t xml:space="preserve"> Department of Agricultural </w:t>
      </w:r>
      <w:bookmarkEnd w:id="0"/>
      <w:r w:rsidRPr="00886AFB">
        <w:t xml:space="preserve">Sciences, University of Sassari, </w:t>
      </w:r>
      <w:proofErr w:type="spellStart"/>
      <w:r w:rsidRPr="00886AFB">
        <w:t>Viale</w:t>
      </w:r>
      <w:proofErr w:type="spellEnd"/>
      <w:r w:rsidRPr="00886AFB">
        <w:t xml:space="preserve"> Italia 39, 07100 Sassari, Italy;</w:t>
      </w:r>
    </w:p>
    <w:p w:rsidR="00886AFB" w:rsidRPr="00BA0EBD" w:rsidRDefault="00886AFB" w:rsidP="00886AFB">
      <w:pPr>
        <w:spacing w:line="600" w:lineRule="auto"/>
        <w:jc w:val="both"/>
        <w:rPr>
          <w:rFonts w:asciiTheme="majorBidi" w:hAnsiTheme="majorBidi" w:cstheme="majorBidi"/>
          <w:i/>
          <w:lang w:val="en-GB"/>
        </w:rPr>
      </w:pPr>
      <w:r w:rsidRPr="00BA0EBD">
        <w:rPr>
          <w:rFonts w:asciiTheme="majorBidi" w:hAnsiTheme="majorBidi" w:cstheme="majorBidi"/>
          <w:i/>
          <w:vertAlign w:val="superscript"/>
          <w:lang w:val="it-IT"/>
        </w:rPr>
        <w:t xml:space="preserve"> </w:t>
      </w:r>
      <w:r w:rsidRPr="00BA0EBD">
        <w:rPr>
          <w:rFonts w:asciiTheme="majorBidi" w:hAnsiTheme="majorBidi" w:cstheme="majorBidi"/>
          <w:i/>
          <w:vertAlign w:val="superscript"/>
        </w:rPr>
        <w:t>(*)</w:t>
      </w:r>
      <w:r w:rsidRPr="00BA0EBD">
        <w:rPr>
          <w:rFonts w:asciiTheme="majorBidi" w:hAnsiTheme="majorBidi" w:cstheme="majorBidi"/>
          <w:i/>
        </w:rPr>
        <w:t xml:space="preserve"> Corresponding author. </w:t>
      </w:r>
      <w:r w:rsidRPr="00BA0EBD">
        <w:rPr>
          <w:rFonts w:asciiTheme="majorBidi" w:hAnsiTheme="majorBidi" w:cstheme="majorBidi"/>
          <w:i/>
          <w:lang w:val="en-GB"/>
        </w:rPr>
        <w:t>E-mail: hassan_awada1987@live.com</w:t>
      </w:r>
    </w:p>
    <w:p w:rsidR="00886AFB" w:rsidRDefault="00886AFB" w:rsidP="00886AFB">
      <w:pPr>
        <w:rPr>
          <w:rFonts w:asciiTheme="majorBidi" w:hAnsiTheme="majorBidi" w:cstheme="majorBidi"/>
        </w:rPr>
      </w:pPr>
      <w:r w:rsidRPr="00BA0EBD">
        <w:rPr>
          <w:rFonts w:asciiTheme="majorBidi" w:hAnsiTheme="majorBidi" w:cstheme="majorBidi"/>
          <w:b/>
        </w:rPr>
        <w:t>Keywords</w:t>
      </w:r>
      <w:r>
        <w:rPr>
          <w:rFonts w:asciiTheme="majorBidi" w:hAnsiTheme="majorBidi" w:cstheme="majorBidi"/>
        </w:rPr>
        <w:t>: Remote sensing</w:t>
      </w:r>
      <w:r w:rsidRPr="00BA0EBD">
        <w:rPr>
          <w:rFonts w:asciiTheme="majorBidi" w:hAnsiTheme="majorBidi" w:cstheme="majorBidi"/>
        </w:rPr>
        <w:t xml:space="preserve">, SEBAL, </w:t>
      </w:r>
      <w:r>
        <w:rPr>
          <w:rFonts w:asciiTheme="majorBidi" w:hAnsiTheme="majorBidi" w:cstheme="majorBidi"/>
        </w:rPr>
        <w:t>Richards model</w:t>
      </w:r>
      <w:r>
        <w:rPr>
          <w:rFonts w:asciiTheme="majorBidi" w:hAnsiTheme="majorBidi" w:cstheme="majorBidi"/>
        </w:rPr>
        <w:t xml:space="preserve">, </w:t>
      </w:r>
      <w:r w:rsidRPr="00BA0EBD">
        <w:rPr>
          <w:rFonts w:asciiTheme="majorBidi" w:hAnsiTheme="majorBidi" w:cstheme="majorBidi"/>
        </w:rPr>
        <w:t xml:space="preserve">Actual Evapotranspiration, Eddy covariance. </w:t>
      </w:r>
    </w:p>
    <w:p w:rsidR="00886AFB" w:rsidRPr="00BA0EBD" w:rsidRDefault="00886AFB" w:rsidP="00886AFB">
      <w:pPr>
        <w:rPr>
          <w:rFonts w:asciiTheme="majorBidi" w:hAnsiTheme="majorBidi" w:cstheme="majorBidi"/>
        </w:rPr>
      </w:pPr>
    </w:p>
    <w:p w:rsidR="00886AFB" w:rsidRPr="00886AFB" w:rsidRDefault="00886AFB" w:rsidP="00886AFB">
      <w:pPr>
        <w:spacing w:line="600" w:lineRule="auto"/>
        <w:jc w:val="both"/>
        <w:rPr>
          <w:rFonts w:cs="Arial"/>
          <w:b/>
          <w:iCs/>
        </w:rPr>
      </w:pPr>
      <w:r w:rsidRPr="00886AFB">
        <w:rPr>
          <w:rFonts w:cs="Arial"/>
          <w:b/>
          <w:iCs/>
        </w:rPr>
        <w:t xml:space="preserve">Abstract </w:t>
      </w:r>
    </w:p>
    <w:p w:rsidR="00434EB6" w:rsidRPr="00886AFB" w:rsidRDefault="00886AFB" w:rsidP="00886AFB">
      <w:pPr>
        <w:jc w:val="both"/>
        <w:rPr>
          <w:rFonts w:cs="Arial"/>
          <w:iCs/>
        </w:rPr>
      </w:pPr>
      <w:r w:rsidRPr="00886AFB">
        <w:rPr>
          <w:rFonts w:cs="Arial"/>
          <w:iCs/>
        </w:rPr>
        <w:t xml:space="preserve">The quantification of the </w:t>
      </w:r>
      <w:proofErr w:type="spellStart"/>
      <w:r w:rsidRPr="00886AFB">
        <w:rPr>
          <w:rFonts w:cs="Arial"/>
          <w:iCs/>
        </w:rPr>
        <w:t>spatio</w:t>
      </w:r>
      <w:proofErr w:type="spellEnd"/>
      <w:r w:rsidR="00C80A4D">
        <w:rPr>
          <w:rFonts w:cs="Arial"/>
          <w:iCs/>
        </w:rPr>
        <w:t>-</w:t>
      </w:r>
      <w:r w:rsidRPr="00886AFB">
        <w:rPr>
          <w:rFonts w:cs="Arial"/>
          <w:iCs/>
        </w:rPr>
        <w:t xml:space="preserve">temporal dynamics of </w:t>
      </w:r>
      <w:r w:rsidR="00C80A4D" w:rsidRPr="00886AFB">
        <w:rPr>
          <w:rFonts w:cs="Arial"/>
          <w:iCs/>
        </w:rPr>
        <w:t xml:space="preserve">Evapotranspiration (ET) </w:t>
      </w:r>
      <w:r w:rsidRPr="00886AFB">
        <w:rPr>
          <w:rFonts w:cs="Arial"/>
          <w:iCs/>
        </w:rPr>
        <w:t xml:space="preserve">flows in natural vegetation is of fundamental importance for efficient water resource management and environmental modelling, particularly in the semi-arid areas of the Mediterranean. Satellite remote sensing-based surface energy balance (SEB) techniques have emerged as a very useful tool for quantifying actual evapotranspiration at various temporal and spatial scales. The free and long-time series data that Remote sensing (RS) offers, which is characterized by a relatively high </w:t>
      </w:r>
      <w:proofErr w:type="spellStart"/>
      <w:r w:rsidRPr="00886AFB">
        <w:rPr>
          <w:rFonts w:cs="Arial"/>
          <w:iCs/>
        </w:rPr>
        <w:t>spatio</w:t>
      </w:r>
      <w:proofErr w:type="spellEnd"/>
      <w:r w:rsidRPr="00886AFB">
        <w:rPr>
          <w:rFonts w:cs="Arial"/>
          <w:iCs/>
        </w:rPr>
        <w:t>-temporal resolution, can be an added value for SEB modelling of ET. However, discontinuous data acquisitions of thermal remote sensing data due to temporal resolution of satellites and/or gaps in image acquisition due to cloud cover can limit RS utility. This study proposes a model-based approach for the construction of daily actual ET between the Landsat 8 acquisition days. The proposed HYDROSAT model integrates actual evapotranspiration (</w:t>
      </w:r>
      <w:proofErr w:type="spellStart"/>
      <w:r w:rsidRPr="00886AFB">
        <w:rPr>
          <w:rFonts w:cs="Arial"/>
          <w:iCs/>
        </w:rPr>
        <w:t>ETa</w:t>
      </w:r>
      <w:proofErr w:type="spellEnd"/>
      <w:r w:rsidRPr="00886AFB">
        <w:rPr>
          <w:rFonts w:cs="Arial"/>
          <w:iCs/>
        </w:rPr>
        <w:t xml:space="preserve">) obtained by the Surface Energy Balance modelling on Landsat-8 acquisition days, RS vegetative biomass dynamics obtained from diverse platforms, on-field measurements of potential evapotranspiration and a hydrological modeling approaches of soil moisture in the root zone by using the transient flow Richards equation. The proposed approach aims for modelling the dynamics in the </w:t>
      </w:r>
      <w:r w:rsidR="00C80A4D">
        <w:rPr>
          <w:rFonts w:cs="Arial"/>
          <w:iCs/>
        </w:rPr>
        <w:t xml:space="preserve">soil-plant-atmosphere </w:t>
      </w:r>
      <w:r w:rsidRPr="00886AFB">
        <w:rPr>
          <w:rFonts w:cs="Arial"/>
          <w:iCs/>
        </w:rPr>
        <w:t xml:space="preserve">continuum that occurs between </w:t>
      </w:r>
      <w:r w:rsidR="0067004D">
        <w:rPr>
          <w:rFonts w:cs="Arial"/>
          <w:iCs/>
        </w:rPr>
        <w:t>two</w:t>
      </w:r>
      <w:r w:rsidRPr="00886AFB">
        <w:rPr>
          <w:rFonts w:cs="Arial"/>
          <w:iCs/>
        </w:rPr>
        <w:t xml:space="preserve"> Landsat acquisitions to estimate the daily time series of </w:t>
      </w:r>
      <w:proofErr w:type="spellStart"/>
      <w:r w:rsidRPr="00886AFB">
        <w:rPr>
          <w:rFonts w:cs="Arial"/>
          <w:iCs/>
        </w:rPr>
        <w:t>ETa</w:t>
      </w:r>
      <w:proofErr w:type="spellEnd"/>
      <w:r w:rsidRPr="00886AFB">
        <w:rPr>
          <w:rFonts w:cs="Arial"/>
          <w:iCs/>
        </w:rPr>
        <w:t xml:space="preserve">. </w:t>
      </w:r>
      <w:bookmarkStart w:id="1" w:name="_GoBack"/>
      <w:bookmarkEnd w:id="1"/>
    </w:p>
    <w:sectPr w:rsidR="00434EB6" w:rsidRPr="00886AFB">
      <w:headerReference w:type="default" r:id="rId13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3B" w:rsidRDefault="001D743B">
      <w:r>
        <w:separator/>
      </w:r>
    </w:p>
  </w:endnote>
  <w:endnote w:type="continuationSeparator" w:id="0">
    <w:p w:rsidR="001D743B" w:rsidRDefault="001D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3B" w:rsidRDefault="001D743B">
      <w:r>
        <w:separator/>
      </w:r>
    </w:p>
  </w:footnote>
  <w:footnote w:type="continuationSeparator" w:id="0">
    <w:p w:rsidR="001D743B" w:rsidRDefault="001D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:rsidTr="00181530">
      <w:trPr>
        <w:cantSplit/>
        <w:trHeight w:hRule="exact" w:val="911"/>
      </w:trPr>
      <w:tc>
        <w:tcPr>
          <w:tcW w:w="926" w:type="dxa"/>
          <w:vAlign w:val="center"/>
        </w:tcPr>
        <w:p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F6FF4"/>
    <w:rsid w:val="00181530"/>
    <w:rsid w:val="001D743B"/>
    <w:rsid w:val="00364817"/>
    <w:rsid w:val="00387BD9"/>
    <w:rsid w:val="003931B4"/>
    <w:rsid w:val="00434EB6"/>
    <w:rsid w:val="0058471E"/>
    <w:rsid w:val="005A41BF"/>
    <w:rsid w:val="005D3192"/>
    <w:rsid w:val="0067004D"/>
    <w:rsid w:val="006C2472"/>
    <w:rsid w:val="007348F9"/>
    <w:rsid w:val="00782C7C"/>
    <w:rsid w:val="00886AFB"/>
    <w:rsid w:val="008F4A34"/>
    <w:rsid w:val="008F7CDD"/>
    <w:rsid w:val="009862FA"/>
    <w:rsid w:val="00B430D3"/>
    <w:rsid w:val="00BC4CDC"/>
    <w:rsid w:val="00C80A4D"/>
    <w:rsid w:val="00D50D2C"/>
    <w:rsid w:val="00D76187"/>
    <w:rsid w:val="00D91BC2"/>
    <w:rsid w:val="00DA1D82"/>
    <w:rsid w:val="00D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C697B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customStyle="1" w:styleId="nova-v-person-inline-itemfullname">
    <w:name w:val="nova-v-person-inline-item__fullname"/>
    <w:basedOn w:val="Carpredefinitoparagrafo"/>
    <w:rsid w:val="00886AFB"/>
  </w:style>
  <w:style w:type="paragraph" w:customStyle="1" w:styleId="MDPI13authornames">
    <w:name w:val="MDPI_1.3_authornames"/>
    <w:next w:val="Normale"/>
    <w:uiPriority w:val="99"/>
    <w:qFormat/>
    <w:rsid w:val="00886AFB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Filippo_Giadrossic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Simone_Di_Prima" TargetMode="External"/><Relationship Id="rId12" Type="http://schemas.openxmlformats.org/officeDocument/2006/relationships/hyperlink" Target="https://www.researchgate.net/profile/Mario_Pirast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profile/Donatella_Span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searchgate.net/profile/Serena_Marr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Sirca_Costanti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14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2588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Utente Windows</cp:lastModifiedBy>
  <cp:revision>8</cp:revision>
  <cp:lastPrinted>2003-12-04T08:59:00Z</cp:lastPrinted>
  <dcterms:created xsi:type="dcterms:W3CDTF">2022-01-19T15:55:00Z</dcterms:created>
  <dcterms:modified xsi:type="dcterms:W3CDTF">2022-03-01T10:19:00Z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