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5595" w14:textId="79006293" w:rsidR="000B7AF9" w:rsidRDefault="00DB6781">
      <w:pPr>
        <w:pStyle w:val="Title"/>
        <w:ind w:left="0" w:right="49"/>
        <w:rPr>
          <w:sz w:val="28"/>
        </w:rPr>
      </w:pPr>
      <w:r>
        <w:t xml:space="preserve">Definition of a Porous Media Model Simulating </w:t>
      </w:r>
      <w:r w:rsidR="009516C5">
        <w:t>the</w:t>
      </w:r>
      <w:r>
        <w:t xml:space="preserve"> Presence of a Small Canopy Crops in a Greenhouse </w:t>
      </w:r>
    </w:p>
    <w:p w14:paraId="6601813F" w14:textId="4B956AA1" w:rsidR="00224375" w:rsidRPr="00224375" w:rsidRDefault="00DB6781" w:rsidP="00224375">
      <w:pPr>
        <w:pStyle w:val="Author"/>
        <w:jc w:val="center"/>
        <w:rPr>
          <w:lang w:val="it-IT"/>
        </w:rPr>
      </w:pPr>
      <w:r w:rsidRPr="00224375">
        <w:rPr>
          <w:lang w:val="it-IT"/>
        </w:rPr>
        <w:t>Shahad Hasan Flayyih Al- Rikabi*</w:t>
      </w:r>
      <w:r w:rsidR="00224375">
        <w:rPr>
          <w:lang w:val="it-IT"/>
        </w:rPr>
        <w:t xml:space="preserve">, </w:t>
      </w:r>
      <w:r w:rsidR="00224375" w:rsidRPr="00224375">
        <w:rPr>
          <w:lang w:val="it-IT"/>
        </w:rPr>
        <w:t>Enrica Santolini*</w:t>
      </w:r>
      <w:r w:rsidR="00224375">
        <w:rPr>
          <w:lang w:val="it-IT"/>
        </w:rPr>
        <w:t xml:space="preserve">, </w:t>
      </w:r>
      <w:r w:rsidR="00224375" w:rsidRPr="00224375">
        <w:rPr>
          <w:lang w:val="it-IT"/>
        </w:rPr>
        <w:t>Beatrice Pulvirenti**</w:t>
      </w:r>
      <w:r w:rsidR="00224375">
        <w:rPr>
          <w:lang w:val="it-IT"/>
        </w:rPr>
        <w:t xml:space="preserve">, </w:t>
      </w:r>
      <w:r w:rsidR="00224375" w:rsidRPr="00224375">
        <w:rPr>
          <w:lang w:val="it-IT"/>
        </w:rPr>
        <w:t>Marco Bovo*</w:t>
      </w:r>
      <w:r w:rsidR="00224375">
        <w:rPr>
          <w:lang w:val="it-IT"/>
        </w:rPr>
        <w:t xml:space="preserve">, </w:t>
      </w:r>
      <w:r w:rsidR="00224375" w:rsidRPr="00224375">
        <w:rPr>
          <w:lang w:val="it-IT"/>
        </w:rPr>
        <w:t>Alberto Barbaresi*</w:t>
      </w:r>
      <w:r w:rsidR="00224375">
        <w:rPr>
          <w:lang w:val="it-IT"/>
        </w:rPr>
        <w:t xml:space="preserve">, </w:t>
      </w:r>
      <w:r w:rsidR="00224375" w:rsidRPr="00224375">
        <w:rPr>
          <w:lang w:val="it-IT"/>
        </w:rPr>
        <w:t>Daniele Torreggiani*</w:t>
      </w:r>
      <w:r w:rsidR="00224375">
        <w:rPr>
          <w:lang w:val="it-IT"/>
        </w:rPr>
        <w:t xml:space="preserve">, </w:t>
      </w:r>
      <w:r w:rsidR="00224375" w:rsidRPr="00224375">
        <w:rPr>
          <w:lang w:val="it-IT"/>
        </w:rPr>
        <w:t>Patrizia Tassinari*</w:t>
      </w:r>
    </w:p>
    <w:p w14:paraId="57195A80" w14:textId="7D2387BA" w:rsidR="00224375" w:rsidRPr="00224375" w:rsidRDefault="00224375" w:rsidP="00240E24">
      <w:pPr>
        <w:pStyle w:val="Author"/>
        <w:ind w:left="284" w:firstLine="0"/>
        <w:jc w:val="center"/>
        <w:rPr>
          <w:b w:val="0"/>
          <w:bCs/>
          <w:sz w:val="22"/>
          <w:szCs w:val="18"/>
        </w:rPr>
      </w:pPr>
      <w:r>
        <w:rPr>
          <w:b w:val="0"/>
          <w:bCs/>
          <w:sz w:val="22"/>
          <w:szCs w:val="18"/>
        </w:rPr>
        <w:t xml:space="preserve"> </w:t>
      </w:r>
      <w:r w:rsidRPr="00224375">
        <w:rPr>
          <w:b w:val="0"/>
          <w:bCs/>
          <w:sz w:val="22"/>
          <w:szCs w:val="18"/>
        </w:rPr>
        <w:t>* Department of Agricultural and Food Sciences, University of Bologna, Viale G. Fanin 48, 40127, Bologna, Italy</w:t>
      </w:r>
    </w:p>
    <w:p w14:paraId="02B1D0F9" w14:textId="0831E4CF" w:rsidR="00224375" w:rsidRPr="00224375" w:rsidRDefault="00224375" w:rsidP="00240E24">
      <w:pPr>
        <w:pStyle w:val="Author"/>
        <w:ind w:left="284" w:firstLine="0"/>
        <w:jc w:val="center"/>
        <w:rPr>
          <w:b w:val="0"/>
          <w:bCs/>
          <w:sz w:val="22"/>
          <w:szCs w:val="18"/>
        </w:rPr>
      </w:pPr>
      <w:r w:rsidRPr="00224375">
        <w:rPr>
          <w:b w:val="0"/>
          <w:bCs/>
          <w:sz w:val="22"/>
          <w:szCs w:val="18"/>
        </w:rPr>
        <w:t>** Department of Industrial Engineering, University of Bologna, Via Terracini 34, 40131, Bologna, Italy</w:t>
      </w:r>
    </w:p>
    <w:p w14:paraId="03174059" w14:textId="77777777" w:rsidR="000B7AF9" w:rsidRPr="00224375" w:rsidRDefault="000B7AF9"/>
    <w:p w14:paraId="2E0C502E" w14:textId="4C45401C" w:rsidR="000B7AF9" w:rsidRDefault="00DB6781" w:rsidP="00377380">
      <w:pPr>
        <w:pStyle w:val="Keywords"/>
      </w:pPr>
      <w:r w:rsidRPr="009516C5">
        <w:rPr>
          <w:b/>
        </w:rPr>
        <w:t>Keywords.</w:t>
      </w:r>
      <w:r w:rsidRPr="009516C5">
        <w:t xml:space="preserve"> </w:t>
      </w:r>
      <w:r w:rsidR="009516C5">
        <w:t>Plant canopy,</w:t>
      </w:r>
      <w:r w:rsidR="00377380">
        <w:t xml:space="preserve"> microclimate, Computational</w:t>
      </w:r>
      <w:r w:rsidR="00377380">
        <w:t xml:space="preserve"> fluid dynamics</w:t>
      </w:r>
      <w:r w:rsidR="00377380">
        <w:t xml:space="preserve">, </w:t>
      </w:r>
      <w:r w:rsidR="00377380">
        <w:t>Energy balance models</w:t>
      </w:r>
      <w:r w:rsidR="00377380">
        <w:t>.</w:t>
      </w:r>
    </w:p>
    <w:p w14:paraId="296CB0E2" w14:textId="04921BEC" w:rsidR="000B7AF9" w:rsidRDefault="00DB6781">
      <w:pPr>
        <w:pStyle w:val="Abstract"/>
        <w:jc w:val="both"/>
        <w:rPr>
          <w:rFonts w:cs="Arial"/>
          <w:bCs/>
          <w:i w:val="0"/>
          <w:iCs/>
        </w:rPr>
      </w:pPr>
      <w:r>
        <w:rPr>
          <w:b/>
        </w:rPr>
        <w:t>Abstract.</w:t>
      </w:r>
      <w:r>
        <w:rPr>
          <w:rFonts w:cs="Arial"/>
          <w:i w:val="0"/>
          <w:iCs/>
        </w:rPr>
        <w:t xml:space="preserve"> </w:t>
      </w:r>
      <w:r>
        <w:rPr>
          <w:rFonts w:cs="Arial"/>
          <w:bCs/>
          <w:i w:val="0"/>
          <w:iCs/>
        </w:rPr>
        <w:t xml:space="preserve"> Controlling the indoor </w:t>
      </w:r>
      <w:r w:rsidR="0074783D">
        <w:rPr>
          <w:rFonts w:cs="Arial"/>
          <w:bCs/>
          <w:i w:val="0"/>
          <w:iCs/>
        </w:rPr>
        <w:t>microclimate</w:t>
      </w:r>
      <w:r>
        <w:rPr>
          <w:rFonts w:cs="Arial"/>
          <w:bCs/>
          <w:i w:val="0"/>
          <w:iCs/>
        </w:rPr>
        <w:t xml:space="preserve"> condition in a greenhouse is very important in order to ensure the best conditions for both crop growth and crop production. Therefore, to properly assess the indoo</w:t>
      </w:r>
      <w:r>
        <w:rPr>
          <w:rFonts w:cs="Arial"/>
          <w:bCs/>
          <w:i w:val="0"/>
          <w:iCs/>
        </w:rPr>
        <w:t xml:space="preserve">r </w:t>
      </w:r>
      <w:r w:rsidR="0074783D">
        <w:rPr>
          <w:rFonts w:cs="Arial"/>
          <w:bCs/>
          <w:i w:val="0"/>
          <w:iCs/>
        </w:rPr>
        <w:t>microclimate</w:t>
      </w:r>
      <w:r>
        <w:rPr>
          <w:rFonts w:cs="Arial"/>
          <w:bCs/>
          <w:i w:val="0"/>
          <w:iCs/>
        </w:rPr>
        <w:t xml:space="preserve"> conditions in a protected environment with presence of crops, it is necessary to </w:t>
      </w:r>
      <w:r w:rsidR="0061363E">
        <w:rPr>
          <w:rFonts w:cs="Arial"/>
          <w:bCs/>
          <w:i w:val="0"/>
          <w:iCs/>
        </w:rPr>
        <w:t>also consider</w:t>
      </w:r>
      <w:r>
        <w:rPr>
          <w:rFonts w:cs="Arial"/>
          <w:bCs/>
          <w:i w:val="0"/>
          <w:iCs/>
        </w:rPr>
        <w:t xml:space="preserve"> the plant effects and the possible exchanges between plants and indoor air. To this regard, the present paper provides the results of a study aim</w:t>
      </w:r>
      <w:r>
        <w:rPr>
          <w:rFonts w:cs="Arial"/>
          <w:bCs/>
          <w:i w:val="0"/>
          <w:iCs/>
        </w:rPr>
        <w:t>ing to define a porous media model simulating the crop presence and to evaluate the thermal energy exchange between crops and greenhouse environment.</w:t>
      </w:r>
    </w:p>
    <w:p w14:paraId="49CA931C" w14:textId="6E61A9CA" w:rsidR="000B7AF9" w:rsidRDefault="00DB6781">
      <w:pPr>
        <w:pStyle w:val="Abstract"/>
        <w:jc w:val="both"/>
        <w:rPr>
          <w:rFonts w:cs="Arial"/>
          <w:bCs/>
          <w:i w:val="0"/>
          <w:iCs/>
        </w:rPr>
      </w:pPr>
      <w:r>
        <w:rPr>
          <w:rFonts w:cs="Arial"/>
          <w:bCs/>
          <w:i w:val="0"/>
          <w:iCs/>
        </w:rPr>
        <w:t>As first, an experimental campaign has been carried out to evaluate temperature and air velocity distribut</w:t>
      </w:r>
      <w:r>
        <w:rPr>
          <w:rFonts w:cs="Arial"/>
          <w:bCs/>
          <w:i w:val="0"/>
          <w:iCs/>
        </w:rPr>
        <w:t xml:space="preserve">ions in a naturally ventilated greenhouse building with sweet pepper plants cultivated in pots. Then, the main aspects of energy balance, in terms of mass transfer and heat exchange, and both indoor and outdoor climate conditions have been combined to set </w:t>
      </w:r>
      <w:r>
        <w:rPr>
          <w:rFonts w:cs="Arial"/>
          <w:bCs/>
          <w:i w:val="0"/>
          <w:iCs/>
        </w:rPr>
        <w:t>up a computational fluid dynamics model. In the model, to simulate the crops presence and effect, an isotropic porous medium following Darcy’s law has been defined based on the physical characteristics of the plants. The outcomes of the numerical simulatio</w:t>
      </w:r>
      <w:r>
        <w:rPr>
          <w:rFonts w:cs="Arial"/>
          <w:bCs/>
          <w:i w:val="0"/>
          <w:iCs/>
        </w:rPr>
        <w:t>ns were then compared with the experimental one. The results show that the porous medium model could accurately simulate the heat and mass transfer between the crops, the indoor air, and the soil. Moreover, the adoption of this model helps to clarify the m</w:t>
      </w:r>
      <w:r>
        <w:rPr>
          <w:rFonts w:cs="Arial"/>
          <w:bCs/>
          <w:i w:val="0"/>
          <w:iCs/>
        </w:rPr>
        <w:t xml:space="preserve">echanism of thermal exchanges between crop and indoor </w:t>
      </w:r>
      <w:r w:rsidR="0074783D">
        <w:rPr>
          <w:rFonts w:cs="Arial"/>
          <w:bCs/>
          <w:i w:val="0"/>
          <w:iCs/>
        </w:rPr>
        <w:t>microclimate</w:t>
      </w:r>
      <w:r>
        <w:rPr>
          <w:rFonts w:cs="Arial"/>
          <w:bCs/>
          <w:i w:val="0"/>
          <w:iCs/>
        </w:rPr>
        <w:t xml:space="preserve"> and allows to assess in more realistic way the </w:t>
      </w:r>
      <w:r w:rsidR="00240E24">
        <w:rPr>
          <w:rFonts w:cs="Arial"/>
          <w:bCs/>
          <w:i w:val="0"/>
          <w:iCs/>
        </w:rPr>
        <w:t>microclimate</w:t>
      </w:r>
      <w:r>
        <w:rPr>
          <w:rFonts w:cs="Arial"/>
          <w:bCs/>
          <w:i w:val="0"/>
          <w:iCs/>
        </w:rPr>
        <w:t xml:space="preserve"> conditions close to the crops.</w:t>
      </w:r>
    </w:p>
    <w:p w14:paraId="648C4E39" w14:textId="75A1DAB0" w:rsidR="0074783D" w:rsidRPr="0074783D" w:rsidRDefault="0074783D" w:rsidP="0074783D"/>
    <w:p w14:paraId="545C8731" w14:textId="516B910F" w:rsidR="0074783D" w:rsidRDefault="0074783D" w:rsidP="0074783D"/>
    <w:p w14:paraId="26A8D32E" w14:textId="77777777" w:rsidR="00240E24" w:rsidRDefault="00240E24" w:rsidP="0074783D">
      <w:pPr>
        <w:rPr>
          <w:rFonts w:cs="Arial"/>
          <w:iCs/>
        </w:rPr>
      </w:pPr>
    </w:p>
    <w:p w14:paraId="77CA01BF" w14:textId="4542042B" w:rsidR="0074783D" w:rsidRPr="009516C5" w:rsidRDefault="0074783D" w:rsidP="009516C5">
      <w:pPr>
        <w:pStyle w:val="NoSpacing"/>
        <w:rPr>
          <w:sz w:val="18"/>
          <w:szCs w:val="18"/>
        </w:rPr>
      </w:pPr>
      <w:r w:rsidRPr="009516C5">
        <w:rPr>
          <w:sz w:val="18"/>
          <w:szCs w:val="18"/>
        </w:rPr>
        <w:t>Corresponding Author</w:t>
      </w:r>
    </w:p>
    <w:p w14:paraId="66F8E85B" w14:textId="77777777" w:rsidR="00240E24" w:rsidRPr="009516C5" w:rsidRDefault="00240E24" w:rsidP="009516C5">
      <w:pPr>
        <w:pStyle w:val="NoSpacing"/>
        <w:rPr>
          <w:sz w:val="18"/>
          <w:szCs w:val="18"/>
        </w:rPr>
      </w:pPr>
      <w:r w:rsidRPr="009516C5">
        <w:rPr>
          <w:sz w:val="18"/>
          <w:szCs w:val="18"/>
        </w:rPr>
        <w:t>Tel.:</w:t>
      </w:r>
      <w:r w:rsidR="0074783D" w:rsidRPr="009516C5">
        <w:rPr>
          <w:sz w:val="18"/>
          <w:szCs w:val="18"/>
        </w:rPr>
        <w:t xml:space="preserve"> </w:t>
      </w:r>
      <w:r w:rsidRPr="009516C5">
        <w:rPr>
          <w:sz w:val="18"/>
          <w:szCs w:val="18"/>
        </w:rPr>
        <w:t>+39 380 177 9824</w:t>
      </w:r>
    </w:p>
    <w:p w14:paraId="36E6E7AE" w14:textId="3BCA67EB" w:rsidR="0074783D" w:rsidRPr="009516C5" w:rsidRDefault="00240E24" w:rsidP="009516C5">
      <w:pPr>
        <w:pStyle w:val="NoSpacing"/>
        <w:rPr>
          <w:sz w:val="18"/>
          <w:szCs w:val="18"/>
        </w:rPr>
      </w:pPr>
      <w:r w:rsidRPr="009516C5">
        <w:rPr>
          <w:sz w:val="18"/>
          <w:szCs w:val="18"/>
        </w:rPr>
        <w:t xml:space="preserve">Email address: </w:t>
      </w:r>
      <w:hyperlink r:id="rId6" w:history="1">
        <w:r w:rsidR="009516C5" w:rsidRPr="009516C5">
          <w:rPr>
            <w:rStyle w:val="Hyperlink"/>
            <w:sz w:val="18"/>
            <w:szCs w:val="18"/>
          </w:rPr>
          <w:t>shahadhasan.alrikabi@unibo.it</w:t>
        </w:r>
      </w:hyperlink>
      <w:r w:rsidR="009516C5" w:rsidRPr="009516C5">
        <w:rPr>
          <w:sz w:val="18"/>
          <w:szCs w:val="18"/>
        </w:rPr>
        <w:t xml:space="preserve"> (S. Al-Rikabi)</w:t>
      </w:r>
    </w:p>
    <w:sectPr w:rsidR="0074783D" w:rsidRPr="009516C5">
      <w:headerReference w:type="default" r:id="rId7"/>
      <w:pgSz w:w="12240" w:h="15840"/>
      <w:pgMar w:top="1701" w:right="1701" w:bottom="1701" w:left="1701" w:header="720" w:footer="0" w:gutter="0"/>
      <w:pgNumType w:start="2"/>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E7AB" w14:textId="77777777" w:rsidR="00DB6781" w:rsidRDefault="00DB6781">
      <w:pPr>
        <w:spacing w:before="0"/>
      </w:pPr>
      <w:r>
        <w:separator/>
      </w:r>
    </w:p>
  </w:endnote>
  <w:endnote w:type="continuationSeparator" w:id="0">
    <w:p w14:paraId="7A30454F" w14:textId="77777777" w:rsidR="00DB6781" w:rsidRDefault="00DB67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49D8" w14:textId="77777777" w:rsidR="00DB6781" w:rsidRDefault="00DB6781">
      <w:pPr>
        <w:spacing w:before="0"/>
      </w:pPr>
      <w:r>
        <w:separator/>
      </w:r>
    </w:p>
  </w:footnote>
  <w:footnote w:type="continuationSeparator" w:id="0">
    <w:p w14:paraId="75C94524" w14:textId="77777777" w:rsidR="00DB6781" w:rsidRDefault="00DB678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CellMar>
        <w:left w:w="0" w:type="dxa"/>
        <w:right w:w="0" w:type="dxa"/>
      </w:tblCellMar>
      <w:tblLook w:val="04A0" w:firstRow="1" w:lastRow="0" w:firstColumn="1" w:lastColumn="0" w:noHBand="0" w:noVBand="1"/>
    </w:tblPr>
    <w:tblGrid>
      <w:gridCol w:w="925"/>
      <w:gridCol w:w="617"/>
      <w:gridCol w:w="7713"/>
    </w:tblGrid>
    <w:tr w:rsidR="000B7AF9" w14:paraId="74EAAA20" w14:textId="77777777">
      <w:trPr>
        <w:cantSplit/>
        <w:trHeight w:hRule="exact" w:val="911"/>
      </w:trPr>
      <w:tc>
        <w:tcPr>
          <w:tcW w:w="925" w:type="dxa"/>
          <w:tcBorders>
            <w:top w:val="nil"/>
            <w:left w:val="nil"/>
            <w:bottom w:val="nil"/>
            <w:right w:val="nil"/>
          </w:tcBorders>
          <w:vAlign w:val="center"/>
        </w:tcPr>
        <w:p w14:paraId="2EAF1581" w14:textId="77777777" w:rsidR="000B7AF9" w:rsidRDefault="00DB6781">
          <w:pPr>
            <w:pStyle w:val="Header"/>
            <w:jc w:val="center"/>
            <w:rPr>
              <w:i/>
              <w:sz w:val="20"/>
              <w:lang w:val="en-GB"/>
            </w:rPr>
          </w:pPr>
          <w:r>
            <w:rPr>
              <w:rFonts w:eastAsia="Times New Roman"/>
              <w:i/>
              <w:noProof/>
              <w:sz w:val="20"/>
              <w:lang w:val="en-GB"/>
            </w:rPr>
            <w:drawing>
              <wp:anchor distT="0" distB="0" distL="0" distR="0" simplePos="0" relativeHeight="2" behindDoc="1" locked="0" layoutInCell="1" allowOverlap="1" wp14:anchorId="5239AFC0" wp14:editId="0A18319E">
                <wp:simplePos x="0" y="0"/>
                <wp:positionH relativeFrom="column">
                  <wp:posOffset>-3810</wp:posOffset>
                </wp:positionH>
                <wp:positionV relativeFrom="paragraph">
                  <wp:posOffset>76200</wp:posOffset>
                </wp:positionV>
                <wp:extent cx="539750" cy="539750"/>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tc>
      <w:tc>
        <w:tcPr>
          <w:tcW w:w="617" w:type="dxa"/>
          <w:tcBorders>
            <w:top w:val="nil"/>
            <w:left w:val="nil"/>
            <w:bottom w:val="nil"/>
            <w:right w:val="nil"/>
          </w:tcBorders>
        </w:tcPr>
        <w:p w14:paraId="0DD8D001" w14:textId="77777777" w:rsidR="000B7AF9" w:rsidRDefault="000B7AF9">
          <w:pPr>
            <w:pStyle w:val="Header"/>
            <w:rPr>
              <w:i/>
              <w:sz w:val="20"/>
              <w:lang w:val="en-GB"/>
            </w:rPr>
          </w:pPr>
        </w:p>
      </w:tc>
      <w:tc>
        <w:tcPr>
          <w:tcW w:w="7713" w:type="dxa"/>
          <w:tcBorders>
            <w:top w:val="nil"/>
            <w:left w:val="nil"/>
            <w:bottom w:val="nil"/>
            <w:right w:val="nil"/>
          </w:tcBorders>
          <w:vAlign w:val="center"/>
        </w:tcPr>
        <w:p w14:paraId="51B07D8B" w14:textId="77777777" w:rsidR="000B7AF9" w:rsidRDefault="00DB6781">
          <w:pPr>
            <w:pStyle w:val="Header"/>
            <w:spacing w:before="0"/>
            <w:rPr>
              <w:i/>
              <w:sz w:val="20"/>
              <w:lang w:val="en-GB"/>
            </w:rPr>
          </w:pPr>
          <w:r>
            <w:rPr>
              <w:rFonts w:eastAsia="Times New Roman"/>
              <w:i/>
              <w:sz w:val="20"/>
              <w:lang w:val="en-GB"/>
            </w:rPr>
            <w:t>12</w:t>
          </w:r>
          <w:r>
            <w:rPr>
              <w:rFonts w:eastAsia="Times New Roman"/>
              <w:i/>
              <w:sz w:val="20"/>
              <w:vertAlign w:val="superscript"/>
              <w:lang w:val="en-GB"/>
            </w:rPr>
            <w:t>th</w:t>
          </w:r>
          <w:r>
            <w:rPr>
              <w:rFonts w:eastAsia="Times New Roman"/>
              <w:i/>
              <w:sz w:val="20"/>
              <w:lang w:val="en-GB"/>
            </w:rPr>
            <w:t xml:space="preserve"> International AIIA Conference: September 19-22, 2022 Palermo - Italy</w:t>
          </w:r>
        </w:p>
        <w:p w14:paraId="7ACD2CC3" w14:textId="77777777" w:rsidR="000B7AF9" w:rsidRDefault="00DB6781">
          <w:pPr>
            <w:pStyle w:val="Header"/>
            <w:rPr>
              <w:i/>
              <w:sz w:val="20"/>
              <w:lang w:val="en-GB"/>
            </w:rPr>
          </w:pPr>
          <w:r>
            <w:rPr>
              <w:rFonts w:eastAsia="Times New Roman"/>
              <w:i/>
              <w:sz w:val="20"/>
              <w:lang w:val="en-GB"/>
            </w:rPr>
            <w:t xml:space="preserve">“Biosystems Engineering towards the Green Deal” </w:t>
          </w:r>
        </w:p>
        <w:p w14:paraId="2C3B2AEE" w14:textId="77777777" w:rsidR="000B7AF9" w:rsidRDefault="00DB6781">
          <w:pPr>
            <w:pStyle w:val="Header"/>
            <w:spacing w:before="0"/>
            <w:rPr>
              <w:i/>
              <w:sz w:val="20"/>
              <w:lang w:val="en-GB"/>
            </w:rPr>
          </w:pPr>
          <w:r>
            <w:rPr>
              <w:rFonts w:eastAsia="Times New Roman"/>
              <w:i/>
              <w:sz w:val="20"/>
              <w:lang w:val="en-GB"/>
            </w:rPr>
            <w:t>Improving the resilience of agriculture, forestry and food systems in the post-Covid era</w:t>
          </w:r>
        </w:p>
      </w:tc>
    </w:tr>
  </w:tbl>
  <w:p w14:paraId="698D7A45" w14:textId="77777777" w:rsidR="000B7AF9" w:rsidRDefault="000B7AF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F9"/>
    <w:rsid w:val="000B7AF9"/>
    <w:rsid w:val="00224375"/>
    <w:rsid w:val="00240E24"/>
    <w:rsid w:val="00377380"/>
    <w:rsid w:val="0061363E"/>
    <w:rsid w:val="0074783D"/>
    <w:rsid w:val="009516C5"/>
    <w:rsid w:val="00DB678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5FDB"/>
  <w15:docId w15:val="{4DEAF333-7632-4E8E-A97D-87552F63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Menzionenonrisolta1">
    <w:name w:val="Menzione non risolta1"/>
    <w:basedOn w:val="DefaultParagraphFont"/>
    <w:uiPriority w:val="99"/>
    <w:semiHidden/>
    <w:unhideWhenUsed/>
    <w:qFormat/>
    <w:rsid w:val="006C2472"/>
    <w:rPr>
      <w:color w:val="605E5C"/>
      <w:shd w:val="clear" w:color="auto" w:fill="E1DFDD"/>
    </w:rPr>
  </w:style>
  <w:style w:type="character" w:styleId="UnresolvedMention">
    <w:name w:val="Unresolved Mention"/>
    <w:basedOn w:val="DefaultParagraphFont"/>
    <w:uiPriority w:val="99"/>
    <w:semiHidden/>
    <w:unhideWhenUsed/>
    <w:qFormat/>
    <w:rsid w:val="008F7CD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SC Regular" w:hAnsi="Liberation Sans" w:cs="FreeSans"/>
      <w:sz w:val="28"/>
      <w:szCs w:val="28"/>
    </w:rPr>
  </w:style>
  <w:style w:type="paragraph" w:styleId="BodyText">
    <w:name w:val="Body Text"/>
    <w:basedOn w:val="Normal"/>
    <w:semiHidden/>
    <w:pPr>
      <w:spacing w:before="0"/>
    </w:pPr>
    <w:rPr>
      <w:rFonts w:ascii="Times New Roman" w:hAnsi="Times New Roman"/>
    </w:rPr>
  </w:style>
  <w:style w:type="paragraph" w:styleId="List">
    <w:name w:val="List"/>
    <w:basedOn w:val="BodyText"/>
    <w:rPr>
      <w:rFonts w:cs="FreeSans"/>
    </w:rPr>
  </w:style>
  <w:style w:type="paragraph" w:styleId="Caption">
    <w:name w:val="caption"/>
    <w:basedOn w:val="Normal"/>
    <w:qFormat/>
    <w:pPr>
      <w:suppressLineNumbers/>
      <w:spacing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Author"/>
    <w:qFormat/>
    <w:pPr>
      <w:spacing w:before="360" w:after="360"/>
      <w:ind w:left="720" w:right="720"/>
      <w:jc w:val="center"/>
      <w:outlineLvl w:val="0"/>
    </w:pPr>
    <w:rPr>
      <w:b/>
      <w:kern w:val="2"/>
      <w:sz w:val="32"/>
    </w:rPr>
  </w:style>
  <w:style w:type="paragraph" w:customStyle="1" w:styleId="Author">
    <w:name w:val="Author"/>
    <w:basedOn w:val="Normal"/>
    <w:next w:val="Normal"/>
    <w:qFormat/>
    <w:pPr>
      <w:ind w:left="720" w:hanging="720"/>
    </w:pPr>
    <w:rPr>
      <w:b/>
      <w:sz w:val="24"/>
    </w:rPr>
  </w:style>
  <w:style w:type="paragraph" w:customStyle="1" w:styleId="Address">
    <w:name w:val="Address"/>
    <w:basedOn w:val="Normal"/>
    <w:next w:val="Author"/>
    <w:qFormat/>
    <w:pPr>
      <w:spacing w:after="60"/>
      <w:ind w:left="720"/>
    </w:pPr>
  </w:style>
  <w:style w:type="paragraph" w:customStyle="1" w:styleId="ConfName">
    <w:name w:val="ConfName"/>
    <w:basedOn w:val="Normal"/>
    <w:next w:val="ConfLocation"/>
    <w:qFormat/>
    <w:pPr>
      <w:spacing w:before="240"/>
      <w:ind w:left="720" w:right="720"/>
      <w:jc w:val="center"/>
      <w:outlineLvl w:val="0"/>
    </w:pPr>
    <w:rPr>
      <w:b/>
      <w:kern w:val="2"/>
      <w:sz w:val="24"/>
    </w:rPr>
  </w:style>
  <w:style w:type="paragraph" w:customStyle="1" w:styleId="ConfLocation">
    <w:name w:val="ConfLocation"/>
    <w:basedOn w:val="ConfName"/>
    <w:next w:val="ConfDate"/>
    <w:qFormat/>
    <w:pPr>
      <w:spacing w:before="0"/>
    </w:pPr>
  </w:style>
  <w:style w:type="paragraph" w:customStyle="1" w:styleId="ConfDate">
    <w:name w:val="ConfDate"/>
    <w:basedOn w:val="ConfLocation"/>
    <w:next w:val="ConfSponsor"/>
    <w:qFormat/>
  </w:style>
  <w:style w:type="paragraph" w:customStyle="1" w:styleId="ConfSponsor">
    <w:name w:val="ConfSponsor"/>
    <w:basedOn w:val="ConfDate"/>
    <w:next w:val="Normal"/>
    <w:qFormat/>
  </w:style>
  <w:style w:type="paragraph" w:customStyle="1" w:styleId="Keywords">
    <w:name w:val="Keywords"/>
    <w:basedOn w:val="Normal"/>
    <w:next w:val="Introduction"/>
    <w:qFormat/>
    <w:pPr>
      <w:spacing w:after="240"/>
      <w:outlineLvl w:val="0"/>
    </w:pPr>
    <w:rPr>
      <w:kern w:val="2"/>
    </w:rPr>
  </w:style>
  <w:style w:type="paragraph" w:customStyle="1" w:styleId="Introduction">
    <w:name w:val="Introduction"/>
    <w:basedOn w:val="Heading1"/>
    <w:next w:val="Normal"/>
    <w:qFormat/>
  </w:style>
  <w:style w:type="paragraph" w:customStyle="1" w:styleId="Disclaimer">
    <w:name w:val="Disclaimer"/>
    <w:basedOn w:val="Normal"/>
    <w:qFormat/>
    <w:pPr>
      <w:pBdr>
        <w:top w:val="single" w:sz="4" w:space="1" w:color="000000"/>
      </w:pBdr>
      <w:spacing w:before="60"/>
      <w:jc w:val="both"/>
    </w:pPr>
    <w:rPr>
      <w:kern w:val="2"/>
      <w:sz w:val="16"/>
    </w:rPr>
  </w:style>
  <w:style w:type="paragraph" w:customStyle="1" w:styleId="Conclusion">
    <w:name w:val="Conclusion"/>
    <w:basedOn w:val="Heading1"/>
    <w:next w:val="Normal"/>
    <w:qFormat/>
  </w:style>
  <w:style w:type="paragraph" w:customStyle="1" w:styleId="Figure">
    <w:name w:val="Figure"/>
    <w:basedOn w:val="Normal"/>
    <w:next w:val="Normal"/>
    <w:qFormat/>
    <w:pPr>
      <w:spacing w:after="60"/>
      <w:jc w:val="center"/>
    </w:pPr>
    <w:rPr>
      <w:kern w:val="2"/>
      <w:sz w:val="24"/>
    </w:rPr>
  </w:style>
  <w:style w:type="paragraph" w:customStyle="1" w:styleId="RefTitle">
    <w:name w:val="Ref Title"/>
    <w:basedOn w:val="Heading1"/>
    <w:next w:val="RefListing"/>
    <w:qFormat/>
  </w:style>
  <w:style w:type="paragraph" w:customStyle="1" w:styleId="RefListing">
    <w:name w:val="RefListing"/>
    <w:basedOn w:val="Normal"/>
    <w:qFormat/>
    <w:pPr>
      <w:spacing w:before="60"/>
      <w:ind w:left="720" w:hanging="720"/>
    </w:pPr>
    <w:rPr>
      <w:kern w:val="2"/>
    </w:rPr>
  </w:style>
  <w:style w:type="paragraph" w:customStyle="1" w:styleId="PaperNumber">
    <w:name w:val="PaperNumber"/>
    <w:next w:val="Normal"/>
    <w:qFormat/>
    <w:pPr>
      <w:widowControl w:val="0"/>
      <w:jc w:val="right"/>
    </w:pPr>
    <w:rPr>
      <w:rFonts w:ascii="Arial" w:hAnsi="Arial"/>
      <w:sz w:val="24"/>
      <w:lang w:val="en-US" w:eastAsia="en-US"/>
    </w:rPr>
  </w:style>
  <w:style w:type="paragraph" w:customStyle="1" w:styleId="History">
    <w:name w:val="History"/>
    <w:basedOn w:val="Normal"/>
    <w:qFormat/>
    <w:pPr>
      <w:widowControl w:val="0"/>
      <w:spacing w:after="240"/>
      <w:ind w:left="720" w:right="720"/>
      <w:jc w:val="center"/>
    </w:pPr>
    <w:rPr>
      <w:kern w:val="2"/>
      <w:sz w:val="20"/>
    </w:rPr>
  </w:style>
  <w:style w:type="paragraph" w:customStyle="1" w:styleId="TableCaption">
    <w:name w:val="Table Caption"/>
    <w:basedOn w:val="Normal"/>
    <w:next w:val="Normal"/>
    <w:qFormat/>
    <w:pPr>
      <w:widowControl w:val="0"/>
      <w:spacing w:after="60"/>
    </w:pPr>
    <w:rPr>
      <w:kern w:val="2"/>
    </w:rPr>
  </w:style>
  <w:style w:type="paragraph" w:customStyle="1" w:styleId="FigureCaption">
    <w:name w:val="Figure Caption"/>
    <w:basedOn w:val="Normal"/>
    <w:qFormat/>
    <w:pPr>
      <w:spacing w:before="60" w:after="60"/>
      <w:jc w:val="center"/>
    </w:pPr>
    <w:rPr>
      <w:kern w:val="2"/>
    </w:rPr>
  </w:style>
  <w:style w:type="paragraph" w:customStyle="1" w:styleId="Abstract">
    <w:name w:val="Abstract"/>
    <w:basedOn w:val="Normal"/>
    <w:qFormat/>
    <w:rPr>
      <w:i/>
    </w:rPr>
  </w:style>
  <w:style w:type="paragraph" w:customStyle="1" w:styleId="Appendix">
    <w:name w:val="Appendix"/>
    <w:basedOn w:val="Heading1"/>
    <w:next w:val="Heading1"/>
    <w:qFormat/>
  </w:style>
  <w:style w:type="paragraph" w:customStyle="1" w:styleId="HeaderandFooter">
    <w:name w:val="Header and Footer"/>
    <w:basedOn w:val="Normal"/>
    <w:qFormat/>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qFormat/>
    <w:pPr>
      <w:spacing w:before="60" w:after="60"/>
    </w:pPr>
    <w:rPr>
      <w:kern w:val="2"/>
    </w:rPr>
  </w:style>
  <w:style w:type="paragraph" w:styleId="ListBullet">
    <w:name w:val="List Bullet"/>
    <w:basedOn w:val="Normal"/>
    <w:semiHidden/>
    <w:qFormat/>
    <w:pPr>
      <w:spacing w:before="60" w:after="60"/>
    </w:pPr>
    <w:rPr>
      <w:kern w:val="2"/>
    </w:rPr>
  </w:style>
  <w:style w:type="paragraph" w:styleId="ListNumber">
    <w:name w:val="List Number"/>
    <w:basedOn w:val="Normal"/>
    <w:semiHidden/>
    <w:qFormat/>
    <w:pPr>
      <w:spacing w:before="60" w:after="60"/>
    </w:pPr>
    <w:rPr>
      <w:kern w:val="2"/>
    </w:rPr>
  </w:style>
  <w:style w:type="paragraph" w:customStyle="1" w:styleId="Tablecontents">
    <w:name w:val="Table contents"/>
    <w:basedOn w:val="Normal"/>
    <w:qFormat/>
    <w:pPr>
      <w:spacing w:before="0"/>
    </w:pPr>
  </w:style>
  <w:style w:type="paragraph" w:customStyle="1" w:styleId="Authors">
    <w:name w:val="Authors"/>
    <w:basedOn w:val="Title"/>
    <w:next w:val="Affiliation"/>
    <w:qFormat/>
    <w:pPr>
      <w:keepNext/>
      <w:spacing w:before="240"/>
      <w:ind w:left="0" w:right="0"/>
    </w:pPr>
    <w:rPr>
      <w:rFonts w:ascii="Times New Roman" w:hAnsi="Times New Roman"/>
      <w:sz w:val="24"/>
    </w:rPr>
  </w:style>
  <w:style w:type="paragraph" w:customStyle="1" w:styleId="Affiliation">
    <w:name w:val="Affiliation"/>
    <w:basedOn w:val="Title"/>
    <w:next w:val="PubInfo"/>
    <w:qFormat/>
    <w:pPr>
      <w:keepNext/>
      <w:spacing w:before="240"/>
      <w:ind w:left="0" w:right="0"/>
    </w:pPr>
    <w:rPr>
      <w:rFonts w:ascii="Times New Roman" w:hAnsi="Times New Roman"/>
      <w:sz w:val="24"/>
    </w:rPr>
  </w:style>
  <w:style w:type="paragraph" w:customStyle="1" w:styleId="PubInfo">
    <w:name w:val="PubInfo"/>
    <w:basedOn w:val="Affiliation"/>
    <w:next w:val="Title"/>
    <w:qFormat/>
  </w:style>
  <w:style w:type="paragraph" w:styleId="BodyText2">
    <w:name w:val="Body Text 2"/>
    <w:basedOn w:val="Normal"/>
    <w:semiHidden/>
    <w:qFormat/>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qFormat/>
    <w:pPr>
      <w:spacing w:before="0"/>
    </w:pPr>
    <w:rPr>
      <w:rFonts w:ascii="Courier New" w:eastAsia="Times New Roman" w:hAnsi="Courier New" w:cs="Courier New"/>
      <w:sz w:val="20"/>
      <w:lang w:eastAsia="it-IT"/>
    </w:rPr>
  </w:style>
  <w:style w:type="table" w:styleId="TableGrid">
    <w:name w:val="Table Grid"/>
    <w:basedOn w:val="TableNormal"/>
    <w:rsid w:val="00DA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4375"/>
    <w:rPr>
      <w:rFonts w:ascii="Times New Roman" w:hAnsi="Times New Roman"/>
      <w:sz w:val="24"/>
      <w:szCs w:val="24"/>
    </w:rPr>
  </w:style>
  <w:style w:type="paragraph" w:styleId="NoSpacing">
    <w:name w:val="No Spacing"/>
    <w:uiPriority w:val="1"/>
    <w:qFormat/>
    <w:rsid w:val="009516C5"/>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3575">
      <w:bodyDiv w:val="1"/>
      <w:marLeft w:val="0"/>
      <w:marRight w:val="0"/>
      <w:marTop w:val="0"/>
      <w:marBottom w:val="0"/>
      <w:divBdr>
        <w:top w:val="none" w:sz="0" w:space="0" w:color="auto"/>
        <w:left w:val="none" w:sz="0" w:space="0" w:color="auto"/>
        <w:bottom w:val="none" w:sz="0" w:space="0" w:color="auto"/>
        <w:right w:val="none" w:sz="0" w:space="0" w:color="auto"/>
      </w:divBdr>
    </w:div>
    <w:div w:id="190856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hadhasan.alrikabi@unibo.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 No: 200000</vt:lpstr>
    </vt:vector>
  </TitlesOfParts>
  <Company>ASAE</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dc:description/>
  <cp:lastModifiedBy>Shahad Hasan Flayyih Al- Rikabi</cp:lastModifiedBy>
  <cp:revision>5</cp:revision>
  <cp:lastPrinted>2003-12-04T08:59:00Z</cp:lastPrinted>
  <dcterms:created xsi:type="dcterms:W3CDTF">2022-01-19T15:55:00Z</dcterms:created>
  <dcterms:modified xsi:type="dcterms:W3CDTF">2022-02-23T12:28:00Z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RDOCTYPE">
    <vt:lpwstr>tp</vt:lpwstr>
  </property>
  <property fmtid="{D5CDD505-2E9C-101B-9397-08002B2CF9AE}" pid="4" name="BRTRANSID">
    <vt:lpwstr>0</vt:lpwstr>
  </property>
  <property fmtid="{D5CDD505-2E9C-101B-9397-08002B2CF9AE}" pid="5" name="Company">
    <vt:lpwstr>ASAE</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