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FCF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8F470A8" w14:textId="3218177E" w:rsidR="00704BDF" w:rsidRPr="00DE0019" w:rsidRDefault="001530F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1530F1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Development of a high </w:t>
      </w:r>
      <w:r w:rsidR="00577DD9" w:rsidRPr="001530F1">
        <w:rPr>
          <w:rFonts w:asciiTheme="minorHAnsi" w:eastAsia="MS PGothic" w:hAnsiTheme="minorHAnsi"/>
          <w:b/>
          <w:bCs/>
          <w:sz w:val="28"/>
          <w:szCs w:val="28"/>
          <w:lang w:val="en-US"/>
        </w:rPr>
        <w:t>velocit</w:t>
      </w:r>
      <w:r w:rsidR="00577DD9">
        <w:rPr>
          <w:rFonts w:asciiTheme="minorHAnsi" w:eastAsia="MS PGothic" w:hAnsiTheme="minorHAnsi"/>
          <w:b/>
          <w:bCs/>
          <w:sz w:val="28"/>
          <w:szCs w:val="28"/>
          <w:lang w:val="en-US"/>
        </w:rPr>
        <w:t>y</w:t>
      </w:r>
      <w:r w:rsidR="00577DD9" w:rsidRPr="001530F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1530F1">
        <w:rPr>
          <w:rFonts w:asciiTheme="minorHAnsi" w:eastAsia="MS PGothic" w:hAnsiTheme="minorHAnsi"/>
          <w:b/>
          <w:bCs/>
          <w:sz w:val="28"/>
          <w:szCs w:val="28"/>
          <w:lang w:val="en-US"/>
        </w:rPr>
        <w:t>co-flowing stratified microfluidic process to obtain kinetic constants for reactive liquid-liquid e</w:t>
      </w:r>
      <w:bookmarkStart w:id="0" w:name="_GoBack"/>
      <w:bookmarkEnd w:id="0"/>
      <w:r w:rsidRPr="001530F1">
        <w:rPr>
          <w:rFonts w:asciiTheme="minorHAnsi" w:eastAsia="MS PGothic" w:hAnsiTheme="minorHAnsi"/>
          <w:b/>
          <w:bCs/>
          <w:sz w:val="28"/>
          <w:szCs w:val="28"/>
          <w:lang w:val="en-US"/>
        </w:rPr>
        <w:t>xtraction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5492C555" w14:textId="77777777" w:rsidR="00DE0019" w:rsidRPr="001530F1" w:rsidRDefault="001530F1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r w:rsidRPr="001530F1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Florian Corne</w:t>
      </w:r>
      <w:r w:rsidRPr="001530F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fr-FR" w:eastAsia="zh-CN"/>
        </w:rPr>
        <w:t>1</w:t>
      </w:r>
      <w:r w:rsidRPr="001530F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Anne Lélias</w:t>
      </w:r>
      <w:r w:rsidR="002436F3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-Vanderperre</w:t>
      </w:r>
      <w:r w:rsidRPr="001530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*</w:t>
      </w:r>
      <w:r w:rsidRPr="001530F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Alastair Magnaldo</w:t>
      </w:r>
      <w:r w:rsidRPr="001530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1530F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Christian Sorel</w:t>
      </w:r>
      <w:r w:rsidRPr="001530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</w:t>
      </w:r>
      <w:r w:rsidRPr="001530F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Nathalie Di Miceli Raimondi</w:t>
      </w:r>
      <w:r w:rsidRPr="001530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Pr="001530F1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Laurent Prat</w:t>
      </w:r>
      <w:r w:rsidRPr="001530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2</w:t>
      </w:r>
      <w:r w:rsidR="00DE0019" w:rsidRPr="001530F1">
        <w:rPr>
          <w:rFonts w:eastAsia="SimSun"/>
          <w:color w:val="000000"/>
          <w:lang w:val="fr-FR" w:eastAsia="zh-CN"/>
        </w:rPr>
        <w:t xml:space="preserve"> </w:t>
      </w:r>
    </w:p>
    <w:p w14:paraId="1DA921BA" w14:textId="6DF708E2" w:rsidR="00704BDF" w:rsidRPr="001530F1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1530F1">
        <w:rPr>
          <w:rFonts w:eastAsia="MS PGothic"/>
          <w:i/>
          <w:iCs/>
          <w:color w:val="000000"/>
          <w:sz w:val="20"/>
          <w:lang w:val="fr-FR"/>
        </w:rPr>
        <w:t>1</w:t>
      </w:r>
      <w:r w:rsidRP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CEA - </w:t>
      </w:r>
      <w:r w:rsidR="00A501A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DEN</w:t>
      </w:r>
      <w:r w:rsidR="001530F1" w:rsidRP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, </w:t>
      </w:r>
      <w:r w:rsidR="00A501A2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DMRC</w:t>
      </w:r>
      <w:r w:rsidR="001530F1" w:rsidRP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, Research Service for Dissolution and Separation Processes, Laboratory of Conception of Extraction Processes, F-30207 Bagnols-sur-Cèze, France</w:t>
      </w:r>
      <w:r w:rsidRP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2 </w:t>
      </w:r>
      <w:r w:rsidR="001530F1" w:rsidRPr="001530F1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Laboratoire de Génie Chimique, Université de Toulouse, CNRS, INPT, UPS, Toulouse, France</w:t>
      </w:r>
    </w:p>
    <w:p w14:paraId="7C7F99DC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530F1">
        <w:rPr>
          <w:rFonts w:asciiTheme="minorHAnsi" w:eastAsia="MS PGothic" w:hAnsiTheme="minorHAnsi"/>
          <w:bCs/>
          <w:i/>
          <w:iCs/>
          <w:sz w:val="20"/>
          <w:lang w:val="en-US"/>
        </w:rPr>
        <w:t>anne.lelias@cea.fr</w:t>
      </w:r>
    </w:p>
    <w:p w14:paraId="463E7D1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651B20C" w14:textId="77777777" w:rsidR="00064F53" w:rsidRDefault="008B7719" w:rsidP="00064F5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8B7719">
        <w:rPr>
          <w:rFonts w:asciiTheme="minorHAnsi" w:hAnsiTheme="minorHAnsi"/>
        </w:rPr>
        <w:t xml:space="preserve">Uranium(VI) </w:t>
      </w:r>
      <w:r>
        <w:rPr>
          <w:rFonts w:asciiTheme="minorHAnsi" w:hAnsiTheme="minorHAnsi"/>
        </w:rPr>
        <w:t xml:space="preserve">extraction </w:t>
      </w:r>
      <w:r w:rsidRPr="008B7719">
        <w:rPr>
          <w:rFonts w:asciiTheme="minorHAnsi" w:hAnsiTheme="minorHAnsi"/>
        </w:rPr>
        <w:t xml:space="preserve">from nitric acid by TBP 30% </w:t>
      </w:r>
      <w:r w:rsidR="00064F53">
        <w:rPr>
          <w:rFonts w:asciiTheme="minorHAnsi" w:hAnsiTheme="minorHAnsi"/>
        </w:rPr>
        <w:t>with</w:t>
      </w:r>
      <w:r w:rsidR="00064F53" w:rsidRPr="00064F53">
        <w:rPr>
          <w:rFonts w:asciiTheme="minorHAnsi" w:hAnsiTheme="minorHAnsi"/>
        </w:rPr>
        <w:t xml:space="preserve"> contact time </w:t>
      </w:r>
      <w:r w:rsidR="00064F53">
        <w:rPr>
          <w:rFonts w:asciiTheme="minorHAnsi" w:hAnsiTheme="minorHAnsi"/>
        </w:rPr>
        <w:t>lower than</w:t>
      </w:r>
      <w:r w:rsidR="00064F53" w:rsidRPr="00064F53">
        <w:rPr>
          <w:rFonts w:asciiTheme="minorHAnsi" w:hAnsiTheme="minorHAnsi"/>
        </w:rPr>
        <w:t xml:space="preserve"> 50 ms</w:t>
      </w:r>
      <w:r w:rsidR="00704BDF" w:rsidRPr="00064F53">
        <w:rPr>
          <w:rFonts w:asciiTheme="minorHAnsi" w:hAnsiTheme="minorHAnsi"/>
        </w:rPr>
        <w:t>.</w:t>
      </w:r>
    </w:p>
    <w:p w14:paraId="67285644" w14:textId="77777777" w:rsidR="00704BDF" w:rsidRPr="00064F53" w:rsidRDefault="00064F53" w:rsidP="00064F5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64F53">
        <w:rPr>
          <w:rFonts w:asciiTheme="minorHAnsi" w:hAnsiTheme="minorHAnsi"/>
        </w:rPr>
        <w:t>Estimation</w:t>
      </w:r>
      <w:r>
        <w:rPr>
          <w:rFonts w:asciiTheme="minorHAnsi" w:hAnsiTheme="minorHAnsi"/>
        </w:rPr>
        <w:t xml:space="preserve"> </w:t>
      </w:r>
      <w:r w:rsidRPr="00064F53">
        <w:rPr>
          <w:rFonts w:asciiTheme="minorHAnsi" w:hAnsiTheme="minorHAnsi"/>
        </w:rPr>
        <w:t>of the chemical mass transfer constant</w:t>
      </w:r>
      <w:r w:rsidR="00823A58">
        <w:rPr>
          <w:rFonts w:asciiTheme="minorHAnsi" w:hAnsiTheme="minorHAnsi"/>
        </w:rPr>
        <w:t xml:space="preserve"> using the microfluidic device</w:t>
      </w:r>
      <w:r>
        <w:rPr>
          <w:rFonts w:asciiTheme="minorHAnsi" w:hAnsiTheme="minorHAnsi"/>
        </w:rPr>
        <w:t>:</w:t>
      </w:r>
      <w:r w:rsidRPr="00064F53">
        <w:rPr>
          <w:rFonts w:asciiTheme="minorHAnsi" w:hAnsiTheme="minorHAnsi"/>
        </w:rPr>
        <w:t xml:space="preserve"> over 4.2 10</w:t>
      </w:r>
      <w:r w:rsidRPr="008A61D7">
        <w:rPr>
          <w:rFonts w:asciiTheme="minorHAnsi" w:hAnsiTheme="minorHAnsi"/>
          <w:vertAlign w:val="superscript"/>
        </w:rPr>
        <w:t>-4</w:t>
      </w:r>
      <w:r w:rsidRPr="00064F53">
        <w:rPr>
          <w:rFonts w:asciiTheme="minorHAnsi" w:hAnsiTheme="minorHAnsi"/>
        </w:rPr>
        <w:t xml:space="preserve"> m.s</w:t>
      </w:r>
      <w:r w:rsidRPr="008A61D7">
        <w:rPr>
          <w:rFonts w:asciiTheme="minorHAnsi" w:hAnsiTheme="minorHAnsi"/>
          <w:vertAlign w:val="superscript"/>
        </w:rPr>
        <w:t>-1</w:t>
      </w:r>
      <w:r w:rsidR="00704BDF" w:rsidRPr="00064F53">
        <w:rPr>
          <w:rFonts w:asciiTheme="minorHAnsi" w:hAnsiTheme="minorHAnsi"/>
        </w:rPr>
        <w:t xml:space="preserve">. </w:t>
      </w:r>
    </w:p>
    <w:p w14:paraId="11825BBA" w14:textId="77777777" w:rsidR="00704BDF" w:rsidRPr="00EC66CC" w:rsidRDefault="00823A58" w:rsidP="00823A5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Difference between the results</w:t>
      </w:r>
      <w:r w:rsidRPr="00823A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</w:t>
      </w:r>
      <w:r w:rsidRPr="00823A58">
        <w:rPr>
          <w:rFonts w:asciiTheme="minorHAnsi" w:hAnsiTheme="minorHAnsi"/>
        </w:rPr>
        <w:t xml:space="preserve"> a 2D COMSOL model</w:t>
      </w:r>
      <w:r>
        <w:rPr>
          <w:rFonts w:asciiTheme="minorHAnsi" w:hAnsiTheme="minorHAnsi"/>
        </w:rPr>
        <w:t>:</w:t>
      </w:r>
      <w:r w:rsidRPr="00823A58">
        <w:t xml:space="preserve"> </w:t>
      </w:r>
      <w:r>
        <w:rPr>
          <w:rFonts w:asciiTheme="minorHAnsi" w:hAnsiTheme="minorHAnsi"/>
        </w:rPr>
        <w:t xml:space="preserve">presence of an </w:t>
      </w:r>
      <w:r w:rsidRPr="00823A58">
        <w:rPr>
          <w:rFonts w:asciiTheme="minorHAnsi" w:hAnsiTheme="minorHAnsi"/>
        </w:rPr>
        <w:t>acceleration factor</w:t>
      </w:r>
      <w:r>
        <w:rPr>
          <w:rFonts w:asciiTheme="minorHAnsi" w:hAnsiTheme="minorHAnsi"/>
        </w:rPr>
        <w:t>?</w:t>
      </w:r>
    </w:p>
    <w:p w14:paraId="5105AD0F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61CD0505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1146723A" w14:textId="391CB991" w:rsidR="00A03A5E" w:rsidRDefault="00A03A5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Kinetic constant</w:t>
      </w:r>
      <w:r w:rsidR="00577DD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reactive liquid-liquid extraction processes are generally determined using constant interfacial area method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 such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single drop method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Nitsch cell or 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Lewis cell. </w:t>
      </w:r>
      <w:r w:rsidR="00E31EDC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E31EDC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 techni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</w:t>
      </w:r>
      <w:r w:rsidR="00E31EDC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allow </w:t>
      </w:r>
      <w:r w:rsidR="00A501A2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reaching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overall kinetics of the process </w:t>
      </w:r>
      <w:r w:rsidR="009742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result of two basic phenomena: the intrinsic reaction and the overall mass transfer of the components that participate to the reaction. 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31EDC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determination of the intrinsic kinetic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of the reaction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>necessary</w:t>
      </w:r>
      <w:r w:rsidR="00E31EDC"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</w:t>
      </w:r>
      <w:r w:rsidR="00E31E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design and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 process modelling. Mass transfer limitation is quite hard to be restrained in a device to determine intrinsic chemical kinetics</w:t>
      </w:r>
      <w:r w:rsidR="008B77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since molecular diffusion contributes in majority to the overall mass transfer resistance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8278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Hence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field of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microfluidic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devices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appears as an interesting way to study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such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kinetics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reducing 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molecular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diffusion. In this context, our study consider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A03A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well-known solvent TBP 30% in TPH used to reprocess nuclear spent fuels as a reference solvent to study mass transfer kinetics</w:t>
      </w:r>
      <w:r w:rsidR="00DA0E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[1-4]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698D3A4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3FFC19BD" w14:textId="77777777" w:rsidR="003F6A67" w:rsidRDefault="003F6A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extraction of uranium(VI) in nitric acid by tributylphosphate (TBP) diluted at 30% in TPH (hydrogenated tetrapropylene)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carried out using a Y-Y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microfluidic chip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 1.25 cm straight microchannel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(dolomite). Two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stratified flow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co-flowing configuration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generate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high fluid velocities to aim chemical kinetics constant determination, thanks to both diffusive length reduction and fine flow control in the microfluidic technology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Liquid-liquid stratified flow configuration with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8373E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centered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interface avoids any tangential convective movements. Therefore, the hydrodynamics in the device is perfectly controlled and predictable using CFD codes, as for the mass transfer phenomenon. The experimental hypothesis of a </w:t>
      </w:r>
      <w:r w:rsidR="008373E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centered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interface along the microchannel depth was validated thanks to confocal experiments.</w:t>
      </w:r>
    </w:p>
    <w:p w14:paraId="4574355C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62FF220" w14:textId="77777777" w:rsidR="003F6A67" w:rsidRPr="003F6A67" w:rsidRDefault="003C153A" w:rsidP="003F6A6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First, t</w:t>
      </w:r>
      <w:r w:rsidR="003F6A6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influence of inlet uranium concentration and total fluid velocity on the extraction yield </w:t>
      </w:r>
      <w:r w:rsid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="003F6A6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studied as shown in Figure 1.</w:t>
      </w:r>
      <w:r w:rsid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F6A6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observed </w:t>
      </w:r>
      <w:r w:rsidR="003F6A67" w:rsidRPr="003F6A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extraction yields are quite good considering the short contact time inside the microchip (lower than 0.05 s). </w:t>
      </w:r>
    </w:p>
    <w:p w14:paraId="48687816" w14:textId="3316F2BF" w:rsidR="00704BDF" w:rsidRDefault="001B4EF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207F0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 have been exploited to determine if diffusion still occurs in such conditions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thus</w:t>
      </w:r>
      <w:r w:rsidR="008373E7"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chemical mass transfer constant (</w:t>
      </w:r>
      <w:r w:rsidRPr="001B4EF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Pr="001B4EFE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is expected to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over 4.2 10</w:t>
      </w:r>
      <w:r w:rsidRPr="001B4EF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-4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m.s</w:t>
      </w:r>
      <w:r w:rsidRPr="001B4EF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 0.12 M U(VI) aqueous solution. The results hardly fit with a preliminary 2D COMSOL model even by increasing the supposed </w:t>
      </w:r>
      <w:r w:rsidRPr="001B4EF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Pr="001B4EFE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e</w:t>
      </w:r>
      <w:r w:rsidRPr="001B4EF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twice and the U(VI) molecular diffusion coefficient (</w:t>
      </w:r>
      <w:r w:rsidRPr="00A67B90">
        <w:rPr>
          <w:rFonts w:ascii="Apple Chancery" w:eastAsia="MS PGothic" w:hAnsi="Apple Chancery" w:cs="Apple Chancery"/>
          <w:color w:val="000000"/>
          <w:sz w:val="22"/>
          <w:szCs w:val="22"/>
          <w:lang w:val="en-US"/>
        </w:rPr>
        <w:t>D</w:t>
      </w:r>
      <w:r w:rsidRPr="00A67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U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) by a decade.</w:t>
      </w:r>
      <w:r w:rsidR="00FE07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Another solution to fit the experimental results consists on taking into account </w:t>
      </w:r>
      <w:r w:rsidR="00A67B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FE0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acceleration factor</w:t>
      </w:r>
      <w:r w:rsidR="00A67B9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provided whether from a Hatta acceleration or from Marangoni instabilities</w:t>
      </w:r>
      <w:r w:rsidR="00FE0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126B4AF4" w14:textId="77777777" w:rsidR="00A67B90" w:rsidRPr="008A61D7" w:rsidRDefault="00A67B9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AD3C240" w14:textId="77777777" w:rsidR="00704BDF" w:rsidRPr="00DE0019" w:rsidRDefault="0065451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74AA8" wp14:editId="4557BF5C">
                <wp:simplePos x="0" y="0"/>
                <wp:positionH relativeFrom="column">
                  <wp:posOffset>2634615</wp:posOffset>
                </wp:positionH>
                <wp:positionV relativeFrom="paragraph">
                  <wp:posOffset>545465</wp:posOffset>
                </wp:positionV>
                <wp:extent cx="971550" cy="0"/>
                <wp:effectExtent l="0" t="95250" r="0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DFF5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07.45pt;margin-top:42.95pt;width:76.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" strokecolor="#4579b8 [3044]" strokeweight="2.25pt">
                <v:stroke endarrow="block"/>
              </v:shape>
            </w:pict>
          </mc:Fallback>
        </mc:AlternateContent>
      </w:r>
      <w:r>
        <w:rPr>
          <w:rFonts w:asciiTheme="minorHAnsi" w:hAnsiTheme="minorHAnsi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50C54" wp14:editId="23C6DF8A">
                <wp:simplePos x="0" y="0"/>
                <wp:positionH relativeFrom="column">
                  <wp:posOffset>2567940</wp:posOffset>
                </wp:positionH>
                <wp:positionV relativeFrom="paragraph">
                  <wp:posOffset>316865</wp:posOffset>
                </wp:positionV>
                <wp:extent cx="1228725" cy="22860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13E29" w14:textId="77777777" w:rsidR="00654514" w:rsidRPr="00654514" w:rsidRDefault="00654514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Increasing velocity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0C5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2.2pt;margin-top:24.95pt;width:96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" fillcolor="white [3201]" stroked="f" strokeweight=".5pt">
                <v:textbox>
                  <w:txbxContent>
                    <w:p w14:paraId="28513E29" w14:textId="77777777" w:rsidR="00654514" w:rsidRPr="00654514" w:rsidRDefault="00654514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Increasing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velocity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val="it-IT" w:eastAsia="it-IT"/>
        </w:rPr>
        <w:drawing>
          <wp:inline distT="0" distB="0" distL="0" distR="0" wp14:anchorId="1F7A6FA0" wp14:editId="37191355">
            <wp:extent cx="3602990" cy="19570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CFFE6B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35DB0">
        <w:rPr>
          <w:rFonts w:asciiTheme="minorHAnsi" w:hAnsiTheme="minorHAnsi"/>
          <w:lang w:val="en-US"/>
        </w:rPr>
        <w:t>Comparison between the</w:t>
      </w:r>
      <w:r w:rsidR="0065451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035DB0">
        <w:rPr>
          <w:rFonts w:asciiTheme="minorHAnsi" w:eastAsia="MS PGothic" w:hAnsiTheme="minorHAnsi"/>
          <w:color w:val="000000"/>
          <w:szCs w:val="18"/>
          <w:lang w:val="en-US"/>
        </w:rPr>
        <w:t>extraction rates of u</w:t>
      </w:r>
      <w:r w:rsidR="00654514">
        <w:rPr>
          <w:rFonts w:asciiTheme="minorHAnsi" w:eastAsia="MS PGothic" w:hAnsiTheme="minorHAnsi"/>
          <w:color w:val="000000"/>
          <w:szCs w:val="18"/>
          <w:lang w:val="en-US"/>
        </w:rPr>
        <w:t>ranium(VI) in HNO</w:t>
      </w:r>
      <w:r w:rsidR="00654514" w:rsidRPr="00654514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3</w:t>
      </w:r>
      <w:r w:rsidR="00654514">
        <w:rPr>
          <w:rFonts w:asciiTheme="minorHAnsi" w:eastAsia="MS PGothic" w:hAnsiTheme="minorHAnsi"/>
          <w:color w:val="000000"/>
          <w:szCs w:val="18"/>
          <w:lang w:val="en-US"/>
        </w:rPr>
        <w:t xml:space="preserve"> 3M</w:t>
      </w:r>
      <w:r w:rsidR="00035DB0">
        <w:rPr>
          <w:rFonts w:asciiTheme="minorHAnsi" w:eastAsia="MS PGothic" w:hAnsiTheme="minorHAnsi"/>
          <w:color w:val="000000"/>
          <w:szCs w:val="18"/>
          <w:lang w:val="en-US"/>
        </w:rPr>
        <w:t xml:space="preserve"> extracted by TBP 30% in TPH.</w:t>
      </w:r>
    </w:p>
    <w:p w14:paraId="3E6041B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DC6B499" w14:textId="625EA073" w:rsidR="00035DB0" w:rsidRDefault="001B4EFE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Attempts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determine the chemical kinetics constant of uranium(VI) from nitric acid by TBP 30% in TPH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carried out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means of microfluidics device at high flow velocities in order to </w:t>
      </w:r>
      <w:r w:rsidR="00F3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</w:t>
      </w:r>
      <w:r w:rsidR="00F3101B"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373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impact of </w:t>
      </w:r>
      <w:r w:rsidRPr="001B4E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diffusion phenomena </w:t>
      </w:r>
      <w:r w:rsidR="00F3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the global mass transfer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intrinsic chemical kinetic constant was performed thanks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COMSOL 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modelling. When only chemical phenomenon is taken into account, all the numerical results are below the experimental data in the process modelling. Hence, both reaction and </w:t>
      </w:r>
      <w:r w:rsidR="00F3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molecular diffusion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101B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</w:t>
      </w:r>
      <w:r w:rsidR="00F3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>ve</w:t>
      </w:r>
      <w:r w:rsidR="00F3101B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be taken into account in the </w:t>
      </w:r>
      <w:r w:rsidR="00F3101B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modelling </w:t>
      </w:r>
      <w:r w:rsidR="00F3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microfluidic exper</w:t>
      </w:r>
      <w:r w:rsidR="001F79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iment through the presence of an 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acceleration </w:t>
      </w:r>
      <w:r w:rsidR="001F7942">
        <w:rPr>
          <w:rFonts w:asciiTheme="minorHAnsi" w:eastAsia="MS PGothic" w:hAnsiTheme="minorHAnsi"/>
          <w:color w:val="000000"/>
          <w:sz w:val="22"/>
          <w:szCs w:val="22"/>
          <w:lang w:val="en-US"/>
        </w:rPr>
        <w:t>phenomenon</w:t>
      </w:r>
      <w:r w:rsidR="00035DB0" w:rsidRPr="00035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enhancing the overall kinetic constant.</w:t>
      </w:r>
    </w:p>
    <w:p w14:paraId="1B0B0942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116EDAE2" w14:textId="77777777" w:rsidR="00DA0E80" w:rsidRDefault="00DA0E80" w:rsidP="00DA0E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 </w:t>
      </w:r>
      <w:r w:rsidRPr="00DA0E80">
        <w:rPr>
          <w:rFonts w:asciiTheme="minorHAnsi" w:hAnsiTheme="minorHAnsi"/>
          <w:color w:val="000000"/>
          <w:lang w:val="fr-FR"/>
        </w:rPr>
        <w:t>B.</w:t>
      </w:r>
      <w:r>
        <w:rPr>
          <w:rFonts w:asciiTheme="minorHAnsi" w:hAnsiTheme="minorHAnsi"/>
          <w:color w:val="000000"/>
          <w:lang w:val="fr-FR"/>
        </w:rPr>
        <w:t xml:space="preserve"> </w:t>
      </w:r>
      <w:r w:rsidRPr="00DA0E80">
        <w:rPr>
          <w:rFonts w:asciiTheme="minorHAnsi" w:hAnsiTheme="minorHAnsi"/>
          <w:color w:val="000000"/>
          <w:lang w:val="fr-FR"/>
        </w:rPr>
        <w:t xml:space="preserve">Dinh, PhD thesis from Ecole centrale des Arts et Manufactures, </w:t>
      </w:r>
      <w:r>
        <w:rPr>
          <w:rFonts w:asciiTheme="minorHAnsi" w:hAnsiTheme="minorHAnsi"/>
          <w:color w:val="000000"/>
          <w:lang w:val="fr-FR"/>
        </w:rPr>
        <w:t xml:space="preserve">Paris, </w:t>
      </w:r>
      <w:r w:rsidRPr="00DA0E80">
        <w:rPr>
          <w:rFonts w:asciiTheme="minorHAnsi" w:hAnsiTheme="minorHAnsi"/>
          <w:color w:val="000000"/>
          <w:lang w:val="fr-FR"/>
        </w:rPr>
        <w:t>1987</w:t>
      </w:r>
      <w:r>
        <w:rPr>
          <w:rFonts w:asciiTheme="minorHAnsi" w:hAnsiTheme="minorHAnsi"/>
          <w:color w:val="000000"/>
          <w:lang w:val="fr-FR"/>
        </w:rPr>
        <w:t>.</w:t>
      </w:r>
    </w:p>
    <w:p w14:paraId="64CFC287" w14:textId="77777777" w:rsidR="00DA0E80" w:rsidRDefault="00DA0E80" w:rsidP="00DA0E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577DD9">
        <w:rPr>
          <w:rFonts w:asciiTheme="minorHAnsi" w:hAnsiTheme="minorHAnsi"/>
          <w:color w:val="000000"/>
          <w:lang w:val="fr-FR"/>
        </w:rPr>
        <w:t xml:space="preserve"> D. Horner et al., Ind. Eng. </w:t>
      </w:r>
      <w:r w:rsidRPr="00DA0E80">
        <w:rPr>
          <w:rFonts w:asciiTheme="minorHAnsi" w:hAnsiTheme="minorHAnsi"/>
          <w:color w:val="000000"/>
        </w:rPr>
        <w:t>Chem. Fundamen., 19</w:t>
      </w:r>
      <w:r>
        <w:rPr>
          <w:rFonts w:asciiTheme="minorHAnsi" w:hAnsiTheme="minorHAnsi"/>
          <w:color w:val="000000"/>
        </w:rPr>
        <w:t xml:space="preserve"> (</w:t>
      </w:r>
      <w:r w:rsidRPr="00DA0E80">
        <w:rPr>
          <w:rFonts w:asciiTheme="minorHAnsi" w:hAnsiTheme="minorHAnsi"/>
          <w:color w:val="000000"/>
        </w:rPr>
        <w:t>1980</w:t>
      </w:r>
      <w:r>
        <w:rPr>
          <w:rFonts w:asciiTheme="minorHAnsi" w:hAnsiTheme="minorHAnsi"/>
          <w:color w:val="000000"/>
        </w:rPr>
        <w:t xml:space="preserve">) </w:t>
      </w:r>
      <w:r w:rsidRPr="00DA0E80">
        <w:rPr>
          <w:rFonts w:asciiTheme="minorHAnsi" w:hAnsiTheme="minorHAnsi"/>
          <w:color w:val="000000"/>
        </w:rPr>
        <w:t>103-109.</w:t>
      </w:r>
    </w:p>
    <w:p w14:paraId="11669840" w14:textId="77777777" w:rsidR="00DA0E80" w:rsidRPr="00DA0E80" w:rsidRDefault="00DA0E80" w:rsidP="00DA0E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>
        <w:rPr>
          <w:rFonts w:asciiTheme="minorHAnsi" w:hAnsiTheme="minorHAnsi"/>
          <w:color w:val="000000"/>
          <w:lang w:val="fr-FR"/>
        </w:rPr>
        <w:t xml:space="preserve"> </w:t>
      </w:r>
      <w:r w:rsidRPr="00DA0E80">
        <w:rPr>
          <w:rFonts w:asciiTheme="minorHAnsi" w:hAnsiTheme="minorHAnsi"/>
          <w:color w:val="000000"/>
          <w:lang w:val="fr-FR"/>
        </w:rPr>
        <w:t>J.-P. Jasmin et al., Solvent Extr. Ion Exch., 35</w:t>
      </w:r>
      <w:r>
        <w:rPr>
          <w:rFonts w:asciiTheme="minorHAnsi" w:hAnsiTheme="minorHAnsi"/>
          <w:color w:val="000000"/>
          <w:lang w:val="fr-FR"/>
        </w:rPr>
        <w:t xml:space="preserve"> (</w:t>
      </w:r>
      <w:r w:rsidRPr="00DA0E80">
        <w:rPr>
          <w:rFonts w:asciiTheme="minorHAnsi" w:hAnsiTheme="minorHAnsi"/>
          <w:color w:val="000000"/>
          <w:lang w:val="fr-FR"/>
        </w:rPr>
        <w:t>2017) 174-186.</w:t>
      </w:r>
    </w:p>
    <w:p w14:paraId="27EB959C" w14:textId="77777777" w:rsidR="00DA0E80" w:rsidRPr="00DA0E80" w:rsidRDefault="00DA0E80" w:rsidP="00DA0E8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fr-FR"/>
        </w:rPr>
      </w:pPr>
      <w:r w:rsidRPr="00DA0E80">
        <w:rPr>
          <w:rFonts w:asciiTheme="minorHAnsi" w:hAnsiTheme="minorHAnsi"/>
          <w:color w:val="000000"/>
          <w:lang w:val="fr-FR"/>
        </w:rPr>
        <w:t>M. Yamamoto et al., J. Sep. Sci., 38</w:t>
      </w:r>
      <w:r>
        <w:rPr>
          <w:rFonts w:asciiTheme="minorHAnsi" w:hAnsiTheme="minorHAnsi"/>
          <w:color w:val="000000"/>
          <w:lang w:val="fr-FR"/>
        </w:rPr>
        <w:t xml:space="preserve"> (</w:t>
      </w:r>
      <w:r w:rsidRPr="00DA0E80">
        <w:rPr>
          <w:rFonts w:asciiTheme="minorHAnsi" w:hAnsiTheme="minorHAnsi"/>
          <w:color w:val="000000"/>
          <w:lang w:val="fr-FR"/>
        </w:rPr>
        <w:t>2015) 1807-1812.</w:t>
      </w:r>
    </w:p>
    <w:sectPr w:rsidR="00DA0E80" w:rsidRPr="00DA0E8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33FB3" w14:textId="77777777" w:rsidR="005C5BE5" w:rsidRDefault="005C5BE5" w:rsidP="004F5E36">
      <w:r>
        <w:separator/>
      </w:r>
    </w:p>
  </w:endnote>
  <w:endnote w:type="continuationSeparator" w:id="0">
    <w:p w14:paraId="41AF770C" w14:textId="77777777" w:rsidR="005C5BE5" w:rsidRDefault="005C5BE5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A6F08" w14:textId="77777777" w:rsidR="005C5BE5" w:rsidRDefault="005C5BE5" w:rsidP="004F5E36">
      <w:r>
        <w:separator/>
      </w:r>
    </w:p>
  </w:footnote>
  <w:footnote w:type="continuationSeparator" w:id="0">
    <w:p w14:paraId="0D2A95BE" w14:textId="77777777" w:rsidR="005C5BE5" w:rsidRDefault="005C5BE5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F3BC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29A6D6" wp14:editId="6DF2212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89520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CEEC4F5" wp14:editId="6F06EB8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9BEF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785A17B" wp14:editId="5C90E1F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AB0153E" w14:textId="77777777" w:rsidR="00704BDF" w:rsidRDefault="00704BDF">
    <w:pPr>
      <w:pStyle w:val="Intestazione"/>
    </w:pPr>
  </w:p>
  <w:p w14:paraId="502BF41E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3AC648" wp14:editId="12D59F6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CCD5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xv2ea9tv5rwae0sd9vad5cf2dtdpv9z5zz&quot;&gt;biblioAL&lt;record-ids&gt;&lt;item&gt;44&lt;/item&gt;&lt;/record-ids&gt;&lt;/item&gt;&lt;item db-id=&quot;vfftpsrwxzdxrievdxixss9q29s9v92esf90&quot;&gt;2016-LELIAS&lt;record-ids&gt;&lt;item&gt;723&lt;/item&gt;&lt;item&gt;727&lt;/item&gt;&lt;item&gt;759&lt;/item&gt;&lt;/record-ids&gt;&lt;/item&gt;&lt;/Libraries&gt;"/>
  </w:docVars>
  <w:rsids>
    <w:rsidRoot w:val="000E414A"/>
    <w:rsid w:val="000027C0"/>
    <w:rsid w:val="000117CB"/>
    <w:rsid w:val="00012BE5"/>
    <w:rsid w:val="0003148D"/>
    <w:rsid w:val="00035DB0"/>
    <w:rsid w:val="00062A9A"/>
    <w:rsid w:val="00064F53"/>
    <w:rsid w:val="000A03B2"/>
    <w:rsid w:val="000D34BE"/>
    <w:rsid w:val="000E36F1"/>
    <w:rsid w:val="000E3A73"/>
    <w:rsid w:val="000E414A"/>
    <w:rsid w:val="000E76A1"/>
    <w:rsid w:val="0013121F"/>
    <w:rsid w:val="00134DE4"/>
    <w:rsid w:val="00150E59"/>
    <w:rsid w:val="001530F1"/>
    <w:rsid w:val="00184AD6"/>
    <w:rsid w:val="001B4EFE"/>
    <w:rsid w:val="001B65C1"/>
    <w:rsid w:val="001C684B"/>
    <w:rsid w:val="001D53FC"/>
    <w:rsid w:val="001F2EC7"/>
    <w:rsid w:val="001F7942"/>
    <w:rsid w:val="002065DB"/>
    <w:rsid w:val="00232451"/>
    <w:rsid w:val="00233525"/>
    <w:rsid w:val="002436F3"/>
    <w:rsid w:val="002447EF"/>
    <w:rsid w:val="00251550"/>
    <w:rsid w:val="0027221A"/>
    <w:rsid w:val="00275B61"/>
    <w:rsid w:val="002D1F12"/>
    <w:rsid w:val="003009B7"/>
    <w:rsid w:val="0030469C"/>
    <w:rsid w:val="003723D4"/>
    <w:rsid w:val="003918BE"/>
    <w:rsid w:val="003A7D1C"/>
    <w:rsid w:val="003C153A"/>
    <w:rsid w:val="003F6A67"/>
    <w:rsid w:val="0046164A"/>
    <w:rsid w:val="00462DCD"/>
    <w:rsid w:val="0048031C"/>
    <w:rsid w:val="004D1162"/>
    <w:rsid w:val="004E4DD6"/>
    <w:rsid w:val="004F5E36"/>
    <w:rsid w:val="005119A5"/>
    <w:rsid w:val="005226CC"/>
    <w:rsid w:val="005278B7"/>
    <w:rsid w:val="005346C8"/>
    <w:rsid w:val="00577DD9"/>
    <w:rsid w:val="00594E9F"/>
    <w:rsid w:val="005B61E6"/>
    <w:rsid w:val="005C5BE5"/>
    <w:rsid w:val="005C77E1"/>
    <w:rsid w:val="005D6A2F"/>
    <w:rsid w:val="005E1A82"/>
    <w:rsid w:val="005F0A28"/>
    <w:rsid w:val="005F0E5E"/>
    <w:rsid w:val="00620DEE"/>
    <w:rsid w:val="00625639"/>
    <w:rsid w:val="0064184D"/>
    <w:rsid w:val="00654514"/>
    <w:rsid w:val="00660E3E"/>
    <w:rsid w:val="00662E74"/>
    <w:rsid w:val="00677C63"/>
    <w:rsid w:val="006A12E7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23A58"/>
    <w:rsid w:val="008278C5"/>
    <w:rsid w:val="008373E7"/>
    <w:rsid w:val="008479A2"/>
    <w:rsid w:val="0087637F"/>
    <w:rsid w:val="008A1512"/>
    <w:rsid w:val="008A61D7"/>
    <w:rsid w:val="008B7719"/>
    <w:rsid w:val="008D0BEB"/>
    <w:rsid w:val="008D6BBF"/>
    <w:rsid w:val="008E566E"/>
    <w:rsid w:val="00901EB6"/>
    <w:rsid w:val="00916820"/>
    <w:rsid w:val="009450CE"/>
    <w:rsid w:val="0095164B"/>
    <w:rsid w:val="0097421E"/>
    <w:rsid w:val="00996483"/>
    <w:rsid w:val="009E788A"/>
    <w:rsid w:val="00A03A5E"/>
    <w:rsid w:val="00A1763D"/>
    <w:rsid w:val="00A17CEC"/>
    <w:rsid w:val="00A207F0"/>
    <w:rsid w:val="00A27EF0"/>
    <w:rsid w:val="00A501A2"/>
    <w:rsid w:val="00A67B9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A0E80"/>
    <w:rsid w:val="00DC0902"/>
    <w:rsid w:val="00DE0019"/>
    <w:rsid w:val="00DE264A"/>
    <w:rsid w:val="00E041E7"/>
    <w:rsid w:val="00E235CB"/>
    <w:rsid w:val="00E23CA1"/>
    <w:rsid w:val="00E31EDC"/>
    <w:rsid w:val="00E409A8"/>
    <w:rsid w:val="00E7209D"/>
    <w:rsid w:val="00EA50E1"/>
    <w:rsid w:val="00EE0131"/>
    <w:rsid w:val="00EE7B68"/>
    <w:rsid w:val="00F30C64"/>
    <w:rsid w:val="00F3101B"/>
    <w:rsid w:val="00FB730C"/>
    <w:rsid w:val="00FC213A"/>
    <w:rsid w:val="00FC2695"/>
    <w:rsid w:val="00FC3E03"/>
    <w:rsid w:val="00FE078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3E1E2A55"/>
  <w15:docId w15:val="{8D794FEA-D7C6-4B38-B94F-AC33CB2D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5226C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97421E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974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B72B-B4E2-4355-BEF0-B672B10F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</cp:lastModifiedBy>
  <cp:revision>3</cp:revision>
  <cp:lastPrinted>2015-05-12T18:31:00Z</cp:lastPrinted>
  <dcterms:created xsi:type="dcterms:W3CDTF">2019-07-31T12:57:00Z</dcterms:created>
  <dcterms:modified xsi:type="dcterms:W3CDTF">2019-08-24T05:26:00Z</dcterms:modified>
</cp:coreProperties>
</file>