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rsidR="00704BDF" w:rsidRPr="00DE0019" w:rsidRDefault="00545CC9" w:rsidP="00704BDF">
      <w:pPr>
        <w:snapToGrid w:val="0"/>
        <w:spacing w:after="360"/>
        <w:jc w:val="center"/>
        <w:rPr>
          <w:rFonts w:asciiTheme="minorHAnsi" w:eastAsia="MS PGothic" w:hAnsiTheme="minorHAnsi"/>
          <w:b/>
          <w:bCs/>
          <w:sz w:val="28"/>
          <w:szCs w:val="28"/>
          <w:lang w:val="en-US" w:eastAsia="ko-KR"/>
        </w:rPr>
      </w:pPr>
      <w:r w:rsidRPr="00545CC9">
        <w:rPr>
          <w:rFonts w:asciiTheme="minorHAnsi" w:eastAsia="MS PGothic" w:hAnsiTheme="minorHAnsi"/>
          <w:b/>
          <w:bCs/>
          <w:sz w:val="28"/>
          <w:szCs w:val="28"/>
          <w:lang w:val="en-US"/>
        </w:rPr>
        <w:t>Visualization of Mixing Performance and Measurement of Power Input in Aerated Stirred Tank Reactors</w:t>
      </w:r>
      <w:r>
        <w:rPr>
          <w:rFonts w:asciiTheme="minorHAnsi" w:eastAsia="MS PGothic" w:hAnsiTheme="minorHAnsi"/>
          <w:b/>
          <w:bCs/>
          <w:sz w:val="28"/>
          <w:szCs w:val="28"/>
          <w:lang w:val="en-US"/>
        </w:rPr>
        <w:t xml:space="preserve"> </w:t>
      </w:r>
      <w:r w:rsidR="00DD45D7">
        <w:rPr>
          <w:rFonts w:asciiTheme="minorHAnsi" w:eastAsia="MS PGothic" w:hAnsiTheme="minorHAnsi"/>
          <w:b/>
          <w:bCs/>
          <w:sz w:val="28"/>
          <w:szCs w:val="28"/>
          <w:lang w:val="en-US"/>
        </w:rPr>
        <w:t>on a lab and industrial scale</w:t>
      </w:r>
    </w:p>
    <w:p w:rsidR="00DE0019" w:rsidRPr="00545CC9" w:rsidRDefault="00545CC9" w:rsidP="00704BDF">
      <w:pPr>
        <w:snapToGrid w:val="0"/>
        <w:spacing w:after="120"/>
        <w:jc w:val="center"/>
        <w:rPr>
          <w:rFonts w:eastAsia="SimSun"/>
          <w:color w:val="000000"/>
          <w:lang w:val="de-DE" w:eastAsia="zh-CN"/>
        </w:rPr>
      </w:pPr>
      <w:r w:rsidRPr="00545CC9">
        <w:rPr>
          <w:rFonts w:asciiTheme="minorHAnsi" w:eastAsia="SimSun" w:hAnsiTheme="minorHAnsi"/>
          <w:color w:val="000000"/>
          <w:sz w:val="24"/>
          <w:szCs w:val="24"/>
          <w:u w:val="single"/>
          <w:lang w:val="de-DE" w:eastAsia="zh-CN"/>
        </w:rPr>
        <w:t>Jürgen Fitschen</w:t>
      </w:r>
      <w:r w:rsidRPr="00545CC9">
        <w:rPr>
          <w:rFonts w:asciiTheme="minorHAnsi" w:eastAsia="SimSun" w:hAnsiTheme="minorHAnsi"/>
          <w:color w:val="000000"/>
          <w:sz w:val="24"/>
          <w:szCs w:val="24"/>
          <w:u w:val="single"/>
          <w:vertAlign w:val="superscript"/>
          <w:lang w:val="de-DE" w:eastAsia="zh-CN"/>
        </w:rPr>
        <w:t>1</w:t>
      </w:r>
      <w:r w:rsidRPr="00545CC9">
        <w:rPr>
          <w:rFonts w:asciiTheme="minorHAnsi" w:eastAsia="SimSun" w:hAnsiTheme="minorHAnsi"/>
          <w:color w:val="000000"/>
          <w:sz w:val="24"/>
          <w:szCs w:val="24"/>
          <w:lang w:val="de-DE" w:eastAsia="zh-CN"/>
        </w:rPr>
        <w:t>, Annika Rosseburg</w:t>
      </w:r>
      <w:r w:rsidRPr="00545CC9">
        <w:rPr>
          <w:rFonts w:asciiTheme="minorHAnsi" w:eastAsia="SimSun" w:hAnsiTheme="minorHAnsi"/>
          <w:color w:val="000000"/>
          <w:sz w:val="24"/>
          <w:szCs w:val="24"/>
          <w:vertAlign w:val="superscript"/>
          <w:lang w:val="de-DE" w:eastAsia="zh-CN"/>
        </w:rPr>
        <w:t>1</w:t>
      </w:r>
      <w:r w:rsidRPr="00545CC9">
        <w:rPr>
          <w:rFonts w:asciiTheme="minorHAnsi" w:eastAsia="SimSun" w:hAnsiTheme="minorHAnsi"/>
          <w:color w:val="000000"/>
          <w:sz w:val="24"/>
          <w:szCs w:val="24"/>
          <w:lang w:val="de-DE" w:eastAsia="zh-CN"/>
        </w:rPr>
        <w:t>, Johannes Wutz</w:t>
      </w:r>
      <w:r w:rsidRPr="00545CC9">
        <w:rPr>
          <w:rFonts w:asciiTheme="minorHAnsi" w:eastAsia="SimSun" w:hAnsiTheme="minorHAnsi"/>
          <w:color w:val="000000"/>
          <w:sz w:val="24"/>
          <w:szCs w:val="24"/>
          <w:vertAlign w:val="superscript"/>
          <w:lang w:val="de-DE" w:eastAsia="zh-CN"/>
        </w:rPr>
        <w:t>2</w:t>
      </w:r>
      <w:r w:rsidRPr="00545CC9">
        <w:rPr>
          <w:rFonts w:asciiTheme="minorHAnsi" w:eastAsia="SimSun" w:hAnsiTheme="minorHAnsi"/>
          <w:color w:val="000000"/>
          <w:sz w:val="24"/>
          <w:szCs w:val="24"/>
          <w:lang w:val="de-DE" w:eastAsia="zh-CN"/>
        </w:rPr>
        <w:t>, Thomas Wucherpfennig</w:t>
      </w:r>
      <w:r w:rsidRPr="00545CC9">
        <w:rPr>
          <w:rFonts w:asciiTheme="minorHAnsi" w:eastAsia="SimSun" w:hAnsiTheme="minorHAnsi"/>
          <w:color w:val="000000"/>
          <w:sz w:val="24"/>
          <w:szCs w:val="24"/>
          <w:vertAlign w:val="superscript"/>
          <w:lang w:val="de-DE" w:eastAsia="zh-CN"/>
        </w:rPr>
        <w:t>2</w:t>
      </w:r>
      <w:r w:rsidRPr="00545CC9">
        <w:rPr>
          <w:rFonts w:asciiTheme="minorHAnsi" w:eastAsia="SimSun" w:hAnsiTheme="minorHAnsi"/>
          <w:color w:val="000000"/>
          <w:sz w:val="24"/>
          <w:szCs w:val="24"/>
          <w:lang w:val="de-DE" w:eastAsia="zh-CN"/>
        </w:rPr>
        <w:t>, Michael Schlüter</w:t>
      </w:r>
      <w:r w:rsidRPr="00545CC9">
        <w:rPr>
          <w:rFonts w:asciiTheme="minorHAnsi" w:eastAsia="SimSun" w:hAnsiTheme="minorHAnsi"/>
          <w:color w:val="000000"/>
          <w:sz w:val="24"/>
          <w:szCs w:val="24"/>
          <w:vertAlign w:val="superscript"/>
          <w:lang w:val="de-DE" w:eastAsia="zh-CN"/>
        </w:rPr>
        <w:t>1</w:t>
      </w:r>
    </w:p>
    <w:p w:rsidR="00704BDF" w:rsidRPr="00DE0019" w:rsidRDefault="00DD45D7" w:rsidP="00704BDF">
      <w:pPr>
        <w:snapToGrid w:val="0"/>
        <w:spacing w:after="120"/>
        <w:jc w:val="center"/>
        <w:rPr>
          <w:rFonts w:asciiTheme="minorHAnsi" w:eastAsia="MS PGothic" w:hAnsiTheme="minorHAnsi"/>
          <w:i/>
          <w:iCs/>
          <w:color w:val="000000"/>
          <w:sz w:val="20"/>
          <w:lang w:val="en-US"/>
        </w:rPr>
      </w:pPr>
      <w:r w:rsidRPr="00A15B93">
        <w:rPr>
          <w:rFonts w:eastAsia="MS PGothic"/>
          <w:i/>
          <w:iCs/>
          <w:color w:val="000000"/>
          <w:sz w:val="20"/>
          <w:lang w:val="en-US"/>
        </w:rPr>
        <w:t>1</w:t>
      </w:r>
      <w:r w:rsidRPr="00DE0019">
        <w:rPr>
          <w:rFonts w:asciiTheme="minorHAnsi" w:eastAsia="MS PGothic" w:hAnsiTheme="minorHAnsi"/>
          <w:i/>
          <w:iCs/>
          <w:color w:val="000000"/>
          <w:sz w:val="20"/>
          <w:lang w:val="en-US"/>
        </w:rPr>
        <w:t xml:space="preserve"> </w:t>
      </w:r>
      <w:r w:rsidRPr="00545CC9">
        <w:rPr>
          <w:rFonts w:asciiTheme="minorHAnsi" w:eastAsia="MS PGothic" w:hAnsiTheme="minorHAnsi"/>
          <w:i/>
          <w:iCs/>
          <w:color w:val="000000"/>
          <w:sz w:val="20"/>
          <w:lang w:val="en-US"/>
        </w:rPr>
        <w:t>Institute</w:t>
      </w:r>
      <w:r w:rsidR="00545CC9" w:rsidRPr="00545CC9">
        <w:rPr>
          <w:rFonts w:asciiTheme="minorHAnsi" w:eastAsia="MS PGothic" w:hAnsiTheme="minorHAnsi"/>
          <w:i/>
          <w:iCs/>
          <w:color w:val="000000"/>
          <w:sz w:val="20"/>
          <w:lang w:val="en-US"/>
        </w:rPr>
        <w:t xml:space="preserve"> of Multiphase Flows, Hamburg University of Technology, Hamburg, Germany</w:t>
      </w:r>
      <w:r w:rsidR="00704BDF" w:rsidRPr="00DE0019">
        <w:rPr>
          <w:rFonts w:asciiTheme="minorHAnsi" w:eastAsia="MS PGothic" w:hAnsiTheme="minorHAnsi"/>
          <w:i/>
          <w:iCs/>
          <w:color w:val="000000"/>
          <w:sz w:val="20"/>
          <w:lang w:val="en-US"/>
        </w:rPr>
        <w:t xml:space="preserve">; 2 </w:t>
      </w:r>
      <w:proofErr w:type="spellStart"/>
      <w:r w:rsidR="00545CC9" w:rsidRPr="00545CC9">
        <w:rPr>
          <w:rFonts w:asciiTheme="minorHAnsi" w:eastAsia="MS PGothic" w:hAnsiTheme="minorHAnsi"/>
          <w:i/>
          <w:iCs/>
          <w:color w:val="000000"/>
          <w:sz w:val="20"/>
          <w:lang w:val="en-US"/>
        </w:rPr>
        <w:t>Boehringer</w:t>
      </w:r>
      <w:proofErr w:type="spellEnd"/>
      <w:r w:rsidR="00545CC9" w:rsidRPr="00545CC9">
        <w:rPr>
          <w:rFonts w:asciiTheme="minorHAnsi" w:eastAsia="MS PGothic" w:hAnsiTheme="minorHAnsi"/>
          <w:i/>
          <w:iCs/>
          <w:color w:val="000000"/>
          <w:sz w:val="20"/>
          <w:lang w:val="en-US"/>
        </w:rPr>
        <w:t xml:space="preserve"> </w:t>
      </w:r>
      <w:proofErr w:type="spellStart"/>
      <w:r w:rsidR="00545CC9" w:rsidRPr="00545CC9">
        <w:rPr>
          <w:rFonts w:asciiTheme="minorHAnsi" w:eastAsia="MS PGothic" w:hAnsiTheme="minorHAnsi"/>
          <w:i/>
          <w:iCs/>
          <w:color w:val="000000"/>
          <w:sz w:val="20"/>
          <w:lang w:val="en-US"/>
        </w:rPr>
        <w:t>Ingelheim</w:t>
      </w:r>
      <w:proofErr w:type="spellEnd"/>
      <w:r w:rsidR="00545CC9" w:rsidRPr="00545CC9">
        <w:rPr>
          <w:rFonts w:asciiTheme="minorHAnsi" w:eastAsia="MS PGothic" w:hAnsiTheme="minorHAnsi"/>
          <w:i/>
          <w:iCs/>
          <w:color w:val="000000"/>
          <w:sz w:val="20"/>
          <w:lang w:val="en-US"/>
        </w:rPr>
        <w:t xml:space="preserve"> Pharma GmbH &amp; Co. KG, </w:t>
      </w:r>
      <w:proofErr w:type="spellStart"/>
      <w:r w:rsidR="00545CC9" w:rsidRPr="00545CC9">
        <w:rPr>
          <w:rFonts w:asciiTheme="minorHAnsi" w:eastAsia="MS PGothic" w:hAnsiTheme="minorHAnsi"/>
          <w:i/>
          <w:iCs/>
          <w:color w:val="000000"/>
          <w:sz w:val="20"/>
          <w:lang w:val="en-US"/>
        </w:rPr>
        <w:t>Biberach</w:t>
      </w:r>
      <w:proofErr w:type="spellEnd"/>
      <w:r w:rsidR="00545CC9" w:rsidRPr="00545CC9">
        <w:rPr>
          <w:rFonts w:asciiTheme="minorHAnsi" w:eastAsia="MS PGothic" w:hAnsiTheme="minorHAnsi"/>
          <w:i/>
          <w:iCs/>
          <w:color w:val="000000"/>
          <w:sz w:val="20"/>
          <w:lang w:val="en-US"/>
        </w:rPr>
        <w:t xml:space="preserve"> an der </w:t>
      </w:r>
      <w:proofErr w:type="spellStart"/>
      <w:r w:rsidR="00545CC9" w:rsidRPr="00545CC9">
        <w:rPr>
          <w:rFonts w:asciiTheme="minorHAnsi" w:eastAsia="MS PGothic" w:hAnsiTheme="minorHAnsi"/>
          <w:i/>
          <w:iCs/>
          <w:color w:val="000000"/>
          <w:sz w:val="20"/>
          <w:lang w:val="en-US"/>
        </w:rPr>
        <w:t>Riß</w:t>
      </w:r>
      <w:proofErr w:type="spellEnd"/>
      <w:r w:rsidR="00545CC9" w:rsidRPr="00545CC9">
        <w:rPr>
          <w:rFonts w:asciiTheme="minorHAnsi" w:eastAsia="MS PGothic" w:hAnsiTheme="minorHAnsi"/>
          <w:i/>
          <w:iCs/>
          <w:color w:val="000000"/>
          <w:sz w:val="20"/>
          <w:lang w:val="en-US"/>
        </w:rPr>
        <w:t>, Germany</w:t>
      </w:r>
    </w:p>
    <w:p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r w:rsidR="00545CC9">
        <w:rPr>
          <w:rFonts w:asciiTheme="minorHAnsi" w:eastAsia="MS PGothic" w:hAnsiTheme="minorHAnsi"/>
          <w:bCs/>
          <w:i/>
          <w:iCs/>
          <w:sz w:val="20"/>
          <w:lang w:val="en-US"/>
        </w:rPr>
        <w:t>juergen.fitschen@tuhh.de</w:t>
      </w:r>
    </w:p>
    <w:p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rsidR="00704BDF" w:rsidRDefault="00DD45D7" w:rsidP="00DD45D7">
      <w:pPr>
        <w:pStyle w:val="AbstractBody"/>
        <w:numPr>
          <w:ilvl w:val="0"/>
          <w:numId w:val="16"/>
        </w:numPr>
        <w:rPr>
          <w:rFonts w:asciiTheme="minorHAnsi" w:hAnsiTheme="minorHAnsi"/>
        </w:rPr>
      </w:pPr>
      <w:r>
        <w:rPr>
          <w:rFonts w:asciiTheme="minorHAnsi" w:hAnsiTheme="minorHAnsi"/>
        </w:rPr>
        <w:t xml:space="preserve">Deep </w:t>
      </w:r>
      <w:r w:rsidRPr="00DD45D7">
        <w:rPr>
          <w:rFonts w:asciiTheme="minorHAnsi" w:hAnsiTheme="minorHAnsi"/>
        </w:rPr>
        <w:t>insights</w:t>
      </w:r>
      <w:r>
        <w:rPr>
          <w:rFonts w:asciiTheme="minorHAnsi" w:hAnsiTheme="minorHAnsi"/>
        </w:rPr>
        <w:t xml:space="preserve"> into industrial scale aerated stirred tank reactors</w:t>
      </w:r>
    </w:p>
    <w:p w:rsidR="00DD45D7" w:rsidRPr="00EC66CC" w:rsidRDefault="00DD45D7" w:rsidP="00DD45D7">
      <w:pPr>
        <w:pStyle w:val="AbstractBody"/>
        <w:numPr>
          <w:ilvl w:val="0"/>
          <w:numId w:val="16"/>
        </w:numPr>
        <w:rPr>
          <w:rFonts w:asciiTheme="minorHAnsi" w:hAnsiTheme="minorHAnsi"/>
        </w:rPr>
      </w:pPr>
      <w:r>
        <w:rPr>
          <w:rFonts w:asciiTheme="minorHAnsi" w:hAnsiTheme="minorHAnsi"/>
        </w:rPr>
        <w:t>Comparison of mixing performances for different scales</w:t>
      </w:r>
    </w:p>
    <w:p w:rsidR="00704BDF" w:rsidRPr="00EC66CC" w:rsidRDefault="00DD45D7" w:rsidP="00DD45D7">
      <w:pPr>
        <w:pStyle w:val="AbstractBody"/>
        <w:numPr>
          <w:ilvl w:val="0"/>
          <w:numId w:val="16"/>
        </w:numPr>
        <w:rPr>
          <w:rFonts w:asciiTheme="minorHAnsi" w:hAnsiTheme="minorHAnsi"/>
        </w:rPr>
      </w:pPr>
      <w:r w:rsidRPr="00DD45D7">
        <w:rPr>
          <w:rFonts w:asciiTheme="minorHAnsi" w:hAnsiTheme="minorHAnsi"/>
        </w:rPr>
        <w:t>Challenges of scale</w:t>
      </w:r>
      <w:r>
        <w:rPr>
          <w:rFonts w:asciiTheme="minorHAnsi" w:hAnsiTheme="minorHAnsi"/>
        </w:rPr>
        <w:t>-up process from lab- to industrial scale</w:t>
      </w:r>
    </w:p>
    <w:p w:rsidR="00704BDF" w:rsidRPr="00A15B93" w:rsidRDefault="00704BDF" w:rsidP="00704BDF">
      <w:pPr>
        <w:snapToGrid w:val="0"/>
        <w:spacing w:after="120"/>
        <w:jc w:val="center"/>
        <w:rPr>
          <w:rFonts w:eastAsia="SimSun"/>
          <w:bCs/>
          <w:i/>
          <w:iCs/>
          <w:color w:val="0000FF"/>
          <w:sz w:val="20"/>
          <w:lang w:val="en-US" w:eastAsia="zh-CN"/>
        </w:rPr>
      </w:pPr>
    </w:p>
    <w:p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rsidR="00324409" w:rsidRDefault="003949F0" w:rsidP="00324409">
      <w:pPr>
        <w:pStyle w:val="SectionBody"/>
        <w:ind w:firstLine="284"/>
        <w:rPr>
          <w:rFonts w:asciiTheme="minorHAnsi" w:hAnsiTheme="minorHAnsi"/>
          <w:sz w:val="22"/>
          <w:szCs w:val="22"/>
        </w:rPr>
      </w:pPr>
      <w:r w:rsidRPr="00324409">
        <w:rPr>
          <w:rFonts w:cs="Arial"/>
          <w:noProof/>
          <w:lang w:val="de-DE" w:eastAsia="de-DE"/>
        </w:rPr>
        <w:drawing>
          <wp:anchor distT="0" distB="0" distL="114300" distR="114300" simplePos="0" relativeHeight="251658240" behindDoc="0" locked="0" layoutInCell="1" allowOverlap="1">
            <wp:simplePos x="0" y="0"/>
            <wp:positionH relativeFrom="margin">
              <wp:posOffset>4111625</wp:posOffset>
            </wp:positionH>
            <wp:positionV relativeFrom="paragraph">
              <wp:posOffset>838200</wp:posOffset>
            </wp:positionV>
            <wp:extent cx="1638300" cy="32289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1"/>
                    <pic:cNvPicPr>
                      <a:picLocks noChangeAspect="1" noChangeArrowheads="1"/>
                    </pic:cNvPicPr>
                  </pic:nvPicPr>
                  <pic:blipFill>
                    <a:blip r:embed="rId10" cstate="print">
                      <a:extLst>
                        <a:ext uri="{28A0092B-C50C-407E-A947-70E740481C1C}">
                          <a14:useLocalDpi xmlns:a14="http://schemas.microsoft.com/office/drawing/2010/main" val="0"/>
                        </a:ext>
                      </a:extLst>
                    </a:blip>
                    <a:srcRect l="13705" t="10144" r="12836" b="11372"/>
                    <a:stretch>
                      <a:fillRect/>
                    </a:stretch>
                  </pic:blipFill>
                  <pic:spPr bwMode="auto">
                    <a:xfrm>
                      <a:off x="0" y="0"/>
                      <a:ext cx="163830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CC9" w:rsidRPr="00545CC9">
        <w:rPr>
          <w:rFonts w:asciiTheme="minorHAnsi" w:hAnsiTheme="minorHAnsi"/>
          <w:sz w:val="22"/>
          <w:szCs w:val="22"/>
        </w:rPr>
        <w:t>Aerated stirred tank reactors (STR) are often used for mixing, heat- and mass transfer processes in chemical and biochemical engineering due to their robust operation and extensive description in the past. However, in case of mammalian cell expression systems special requirements have to be fulfilled. Beside media and feed, the hydrodynamic properties like power input, mixing and mass transfer performance have to be customized</w:t>
      </w:r>
      <w:r w:rsidR="00565EA6">
        <w:rPr>
          <w:rFonts w:asciiTheme="minorHAnsi" w:hAnsiTheme="minorHAnsi"/>
          <w:sz w:val="22"/>
          <w:szCs w:val="22"/>
        </w:rPr>
        <w:t xml:space="preserve"> for each individual cell line [1] </w:t>
      </w:r>
      <w:r w:rsidR="00545CC9" w:rsidRPr="00545CC9">
        <w:rPr>
          <w:rFonts w:asciiTheme="minorHAnsi" w:hAnsiTheme="minorHAnsi"/>
          <w:sz w:val="22"/>
          <w:szCs w:val="22"/>
        </w:rPr>
        <w:t>as well as reactor size during the upstream process.</w:t>
      </w:r>
    </w:p>
    <w:p w:rsidR="00324409" w:rsidRDefault="00545CC9" w:rsidP="00324409">
      <w:pPr>
        <w:pStyle w:val="SectionBody"/>
        <w:ind w:firstLine="284"/>
        <w:rPr>
          <w:rFonts w:asciiTheme="minorHAnsi" w:hAnsiTheme="minorHAnsi"/>
          <w:sz w:val="22"/>
          <w:szCs w:val="22"/>
        </w:rPr>
      </w:pPr>
      <w:r w:rsidRPr="00545CC9">
        <w:rPr>
          <w:rFonts w:asciiTheme="minorHAnsi" w:hAnsiTheme="minorHAnsi"/>
          <w:sz w:val="22"/>
          <w:szCs w:val="22"/>
        </w:rPr>
        <w:t>Commonly used scale up parameters are constant geometrical ratios, constant volumetric power input P/V, constant superficial gas velocities w</w:t>
      </w:r>
      <w:r w:rsidRPr="00545CC9">
        <w:rPr>
          <w:rFonts w:asciiTheme="minorHAnsi" w:hAnsiTheme="minorHAnsi"/>
          <w:sz w:val="22"/>
          <w:szCs w:val="22"/>
          <w:vertAlign w:val="superscript"/>
        </w:rPr>
        <w:t>0</w:t>
      </w:r>
      <w:r w:rsidRPr="00545CC9">
        <w:rPr>
          <w:rFonts w:asciiTheme="minorHAnsi" w:hAnsiTheme="minorHAnsi"/>
          <w:sz w:val="22"/>
          <w:szCs w:val="22"/>
          <w:vertAlign w:val="subscript"/>
        </w:rPr>
        <w:t>g</w:t>
      </w:r>
      <w:r w:rsidRPr="00545CC9">
        <w:rPr>
          <w:rFonts w:asciiTheme="minorHAnsi" w:hAnsiTheme="minorHAnsi"/>
          <w:sz w:val="22"/>
          <w:szCs w:val="22"/>
        </w:rPr>
        <w:t xml:space="preserve"> as well as constant volumetric gassing rates </w:t>
      </w:r>
      <w:proofErr w:type="spellStart"/>
      <w:r w:rsidRPr="00545CC9">
        <w:rPr>
          <w:rFonts w:asciiTheme="minorHAnsi" w:hAnsiTheme="minorHAnsi"/>
          <w:sz w:val="22"/>
          <w:szCs w:val="22"/>
        </w:rPr>
        <w:t>vvm</w:t>
      </w:r>
      <w:proofErr w:type="spellEnd"/>
      <w:r w:rsidRPr="00545CC9">
        <w:rPr>
          <w:rFonts w:asciiTheme="minorHAnsi" w:hAnsiTheme="minorHAnsi"/>
          <w:sz w:val="22"/>
          <w:szCs w:val="22"/>
        </w:rPr>
        <w:t xml:space="preserve">. Whereas the scale-up of stirred tank reactors is still challenging justified by the fact that most design criteria as well as correlations are based on measurements on small scale reactors </w:t>
      </w:r>
      <w:r w:rsidR="00565EA6">
        <w:rPr>
          <w:rFonts w:asciiTheme="minorHAnsi" w:hAnsiTheme="minorHAnsi"/>
          <w:sz w:val="22"/>
          <w:szCs w:val="22"/>
        </w:rPr>
        <w:t>[3]</w:t>
      </w:r>
      <w:r w:rsidRPr="00545CC9">
        <w:rPr>
          <w:rFonts w:asciiTheme="minorHAnsi" w:hAnsiTheme="minorHAnsi"/>
          <w:sz w:val="22"/>
          <w:szCs w:val="22"/>
        </w:rPr>
        <w:t>. Especially for mixing time correlations, most investigations are based on operation conditions for bacterial or yeast fermentation with power inputs over 100 W/m</w:t>
      </w:r>
      <w:r w:rsidRPr="00545CC9">
        <w:rPr>
          <w:rFonts w:asciiTheme="minorHAnsi" w:hAnsiTheme="minorHAnsi"/>
          <w:sz w:val="22"/>
          <w:szCs w:val="22"/>
          <w:vertAlign w:val="superscript"/>
        </w:rPr>
        <w:t>3</w:t>
      </w:r>
      <w:r w:rsidRPr="00545CC9">
        <w:rPr>
          <w:rFonts w:asciiTheme="minorHAnsi" w:hAnsiTheme="minorHAnsi"/>
          <w:sz w:val="22"/>
          <w:szCs w:val="22"/>
        </w:rPr>
        <w:t xml:space="preserve"> and gas flow rates over 1 </w:t>
      </w:r>
      <w:proofErr w:type="spellStart"/>
      <w:r w:rsidRPr="00545CC9">
        <w:rPr>
          <w:rFonts w:asciiTheme="minorHAnsi" w:hAnsiTheme="minorHAnsi"/>
          <w:sz w:val="22"/>
          <w:szCs w:val="22"/>
        </w:rPr>
        <w:t>vvm</w:t>
      </w:r>
      <w:proofErr w:type="spellEnd"/>
      <w:r w:rsidRPr="00545CC9">
        <w:rPr>
          <w:rFonts w:asciiTheme="minorHAnsi" w:hAnsiTheme="minorHAnsi"/>
          <w:sz w:val="22"/>
          <w:szCs w:val="22"/>
        </w:rPr>
        <w:t xml:space="preserve"> </w:t>
      </w:r>
      <w:r w:rsidR="00565EA6" w:rsidRPr="00565EA6">
        <w:rPr>
          <w:rFonts w:asciiTheme="minorHAnsi" w:hAnsiTheme="minorHAnsi"/>
          <w:bCs/>
          <w:sz w:val="22"/>
          <w:szCs w:val="22"/>
        </w:rPr>
        <w:t>[2].</w:t>
      </w:r>
    </w:p>
    <w:p w:rsidR="00545CC9" w:rsidRDefault="003949F0" w:rsidP="00324409">
      <w:pPr>
        <w:pStyle w:val="SectionBody"/>
        <w:ind w:firstLine="284"/>
        <w:rPr>
          <w:rFonts w:asciiTheme="minorHAnsi" w:hAnsiTheme="minorHAnsi"/>
          <w:sz w:val="22"/>
          <w:szCs w:val="22"/>
        </w:rPr>
      </w:pPr>
      <w:r w:rsidRPr="00324409">
        <w:rPr>
          <w:noProof/>
          <w:lang w:val="de-DE" w:eastAsia="de-DE"/>
        </w:rPr>
        <mc:AlternateContent>
          <mc:Choice Requires="wps">
            <w:drawing>
              <wp:anchor distT="0" distB="0" distL="114300" distR="114300" simplePos="0" relativeHeight="251660288" behindDoc="0" locked="0" layoutInCell="1" allowOverlap="1" wp14:anchorId="73316326" wp14:editId="48B5B106">
                <wp:simplePos x="0" y="0"/>
                <wp:positionH relativeFrom="margin">
                  <wp:align>right</wp:align>
                </wp:positionH>
                <wp:positionV relativeFrom="paragraph">
                  <wp:posOffset>1572895</wp:posOffset>
                </wp:positionV>
                <wp:extent cx="1638300" cy="635"/>
                <wp:effectExtent l="0" t="0" r="0" b="6985"/>
                <wp:wrapSquare wrapText="bothSides"/>
                <wp:docPr id="3" name="Textfeld 3"/>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a:effectLst/>
                      </wps:spPr>
                      <wps:txbx>
                        <w:txbxContent>
                          <w:p w:rsidR="00565EA6" w:rsidRPr="00324409" w:rsidRDefault="00324409" w:rsidP="00565EA6">
                            <w:pPr>
                              <w:pStyle w:val="Beschriftung"/>
                              <w:rPr>
                                <w:rFonts w:asciiTheme="minorHAnsi" w:hAnsiTheme="minorHAnsi"/>
                                <w:b w:val="0"/>
                                <w:color w:val="000000" w:themeColor="text1"/>
                                <w:lang w:val="en-US" w:eastAsia="pt-BR"/>
                              </w:rPr>
                            </w:pPr>
                            <w:r>
                              <w:rPr>
                                <w:rFonts w:asciiTheme="minorHAnsi" w:hAnsiTheme="minorHAnsi"/>
                                <w:color w:val="000000" w:themeColor="text1"/>
                              </w:rPr>
                              <w:t>Figure</w:t>
                            </w:r>
                            <w:r w:rsidR="00565EA6" w:rsidRPr="00324409">
                              <w:rPr>
                                <w:rFonts w:asciiTheme="minorHAnsi" w:hAnsiTheme="minorHAnsi"/>
                                <w:color w:val="000000" w:themeColor="text1"/>
                              </w:rPr>
                              <w:t xml:space="preserve"> </w:t>
                            </w:r>
                            <w:r w:rsidR="00565EA6" w:rsidRPr="00324409">
                              <w:rPr>
                                <w:rFonts w:asciiTheme="minorHAnsi" w:hAnsiTheme="minorHAnsi"/>
                                <w:color w:val="000000" w:themeColor="text1"/>
                              </w:rPr>
                              <w:fldChar w:fldCharType="begin"/>
                            </w:r>
                            <w:r w:rsidR="00565EA6" w:rsidRPr="00324409">
                              <w:rPr>
                                <w:rFonts w:asciiTheme="minorHAnsi" w:hAnsiTheme="minorHAnsi"/>
                                <w:color w:val="000000" w:themeColor="text1"/>
                              </w:rPr>
                              <w:instrText xml:space="preserve"> SEQ Abbildung \* ARABIC </w:instrText>
                            </w:r>
                            <w:r w:rsidR="00565EA6" w:rsidRPr="00324409">
                              <w:rPr>
                                <w:rFonts w:asciiTheme="minorHAnsi" w:hAnsiTheme="minorHAnsi"/>
                                <w:color w:val="000000" w:themeColor="text1"/>
                              </w:rPr>
                              <w:fldChar w:fldCharType="separate"/>
                            </w:r>
                            <w:r w:rsidR="003949F0">
                              <w:rPr>
                                <w:rFonts w:asciiTheme="minorHAnsi" w:hAnsiTheme="minorHAnsi"/>
                                <w:noProof/>
                                <w:color w:val="000000" w:themeColor="text1"/>
                              </w:rPr>
                              <w:t>1</w:t>
                            </w:r>
                            <w:r w:rsidR="00565EA6" w:rsidRPr="00324409">
                              <w:rPr>
                                <w:rFonts w:asciiTheme="minorHAnsi" w:hAnsiTheme="minorHAnsi"/>
                                <w:color w:val="000000" w:themeColor="text1"/>
                              </w:rPr>
                              <w:fldChar w:fldCharType="end"/>
                            </w:r>
                            <w:r>
                              <w:rPr>
                                <w:rFonts w:asciiTheme="minorHAnsi" w:hAnsiTheme="minorHAnsi"/>
                                <w:b w:val="0"/>
                                <w:color w:val="000000" w:themeColor="text1"/>
                              </w:rPr>
                              <w:t>:</w:t>
                            </w:r>
                            <w:r w:rsidR="00565EA6" w:rsidRPr="00324409">
                              <w:rPr>
                                <w:rFonts w:asciiTheme="minorHAnsi" w:hAnsiTheme="minorHAnsi"/>
                                <w:b w:val="0"/>
                                <w:color w:val="000000" w:themeColor="text1"/>
                              </w:rPr>
                              <w:t xml:space="preserve"> 15 m3 acrylic glass reactor at TUHH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316326" id="_x0000_t202" coordsize="21600,21600" o:spt="202" path="m,l,21600r21600,l21600,xe">
                <v:stroke joinstyle="miter"/>
                <v:path gradientshapeok="t" o:connecttype="rect"/>
              </v:shapetype>
              <v:shape id="Textfeld 3" o:spid="_x0000_s1026" type="#_x0000_t202" style="position:absolute;left:0;text-align:left;margin-left:77.8pt;margin-top:123.85pt;width:129pt;height:.05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" stroked="f">
                <v:textbox style="mso-fit-shape-to-text:t" inset="0,0,0,0">
                  <w:txbxContent>
                    <w:p w:rsidR="00565EA6" w:rsidRPr="00324409" w:rsidRDefault="00324409" w:rsidP="00565EA6">
                      <w:pPr>
                        <w:pStyle w:val="Beschriftung"/>
                        <w:rPr>
                          <w:rFonts w:asciiTheme="minorHAnsi" w:hAnsiTheme="minorHAnsi"/>
                          <w:b w:val="0"/>
                          <w:color w:val="000000" w:themeColor="text1"/>
                          <w:lang w:val="en-US" w:eastAsia="pt-BR"/>
                        </w:rPr>
                      </w:pPr>
                      <w:r>
                        <w:rPr>
                          <w:rFonts w:asciiTheme="minorHAnsi" w:hAnsiTheme="minorHAnsi"/>
                          <w:color w:val="000000" w:themeColor="text1"/>
                        </w:rPr>
                        <w:t>Figure</w:t>
                      </w:r>
                      <w:r w:rsidR="00565EA6" w:rsidRPr="00324409">
                        <w:rPr>
                          <w:rFonts w:asciiTheme="minorHAnsi" w:hAnsiTheme="minorHAnsi"/>
                          <w:color w:val="000000" w:themeColor="text1"/>
                        </w:rPr>
                        <w:t xml:space="preserve"> </w:t>
                      </w:r>
                      <w:r w:rsidR="00565EA6" w:rsidRPr="00324409">
                        <w:rPr>
                          <w:rFonts w:asciiTheme="minorHAnsi" w:hAnsiTheme="minorHAnsi"/>
                          <w:color w:val="000000" w:themeColor="text1"/>
                        </w:rPr>
                        <w:fldChar w:fldCharType="begin"/>
                      </w:r>
                      <w:r w:rsidR="00565EA6" w:rsidRPr="00324409">
                        <w:rPr>
                          <w:rFonts w:asciiTheme="minorHAnsi" w:hAnsiTheme="minorHAnsi"/>
                          <w:color w:val="000000" w:themeColor="text1"/>
                        </w:rPr>
                        <w:instrText xml:space="preserve"> SEQ Abbildung \* ARABIC </w:instrText>
                      </w:r>
                      <w:r w:rsidR="00565EA6" w:rsidRPr="00324409">
                        <w:rPr>
                          <w:rFonts w:asciiTheme="minorHAnsi" w:hAnsiTheme="minorHAnsi"/>
                          <w:color w:val="000000" w:themeColor="text1"/>
                        </w:rPr>
                        <w:fldChar w:fldCharType="separate"/>
                      </w:r>
                      <w:r w:rsidR="003949F0">
                        <w:rPr>
                          <w:rFonts w:asciiTheme="minorHAnsi" w:hAnsiTheme="minorHAnsi"/>
                          <w:noProof/>
                          <w:color w:val="000000" w:themeColor="text1"/>
                        </w:rPr>
                        <w:t>1</w:t>
                      </w:r>
                      <w:r w:rsidR="00565EA6" w:rsidRPr="00324409">
                        <w:rPr>
                          <w:rFonts w:asciiTheme="minorHAnsi" w:hAnsiTheme="minorHAnsi"/>
                          <w:color w:val="000000" w:themeColor="text1"/>
                        </w:rPr>
                        <w:fldChar w:fldCharType="end"/>
                      </w:r>
                      <w:r>
                        <w:rPr>
                          <w:rFonts w:asciiTheme="minorHAnsi" w:hAnsiTheme="minorHAnsi"/>
                          <w:b w:val="0"/>
                          <w:color w:val="000000" w:themeColor="text1"/>
                        </w:rPr>
                        <w:t>:</w:t>
                      </w:r>
                      <w:r w:rsidR="00565EA6" w:rsidRPr="00324409">
                        <w:rPr>
                          <w:rFonts w:asciiTheme="minorHAnsi" w:hAnsiTheme="minorHAnsi"/>
                          <w:b w:val="0"/>
                          <w:color w:val="000000" w:themeColor="text1"/>
                        </w:rPr>
                        <w:t xml:space="preserve"> 15 m3 acrylic glass reactor at TUHH</w:t>
                      </w:r>
                    </w:p>
                  </w:txbxContent>
                </v:textbox>
                <w10:wrap type="square" anchorx="margin"/>
              </v:shape>
            </w:pict>
          </mc:Fallback>
        </mc:AlternateContent>
      </w:r>
      <w:r w:rsidR="00545CC9" w:rsidRPr="00545CC9">
        <w:rPr>
          <w:rFonts w:asciiTheme="minorHAnsi" w:hAnsiTheme="minorHAnsi"/>
          <w:sz w:val="22"/>
          <w:szCs w:val="22"/>
        </w:rPr>
        <w:t>To overcome this gap, an acrylic glass reactor has been designed and erected on industrial scale (15 m</w:t>
      </w:r>
      <w:r w:rsidR="00545CC9" w:rsidRPr="00545CC9">
        <w:rPr>
          <w:rFonts w:asciiTheme="minorHAnsi" w:hAnsiTheme="minorHAnsi"/>
          <w:sz w:val="22"/>
          <w:szCs w:val="22"/>
          <w:vertAlign w:val="superscript"/>
        </w:rPr>
        <w:t>3</w:t>
      </w:r>
      <w:r w:rsidR="00545CC9" w:rsidRPr="00545CC9">
        <w:rPr>
          <w:rFonts w:asciiTheme="minorHAnsi" w:hAnsiTheme="minorHAnsi"/>
          <w:sz w:val="22"/>
          <w:szCs w:val="22"/>
        </w:rPr>
        <w:t xml:space="preserve">) at Hamburg University of Technology in cooperation with </w:t>
      </w:r>
      <w:proofErr w:type="spellStart"/>
      <w:r w:rsidR="00545CC9" w:rsidRPr="00545CC9">
        <w:rPr>
          <w:rFonts w:asciiTheme="minorHAnsi" w:hAnsiTheme="minorHAnsi"/>
          <w:sz w:val="22"/>
          <w:szCs w:val="22"/>
        </w:rPr>
        <w:t>Boehringer</w:t>
      </w:r>
      <w:proofErr w:type="spellEnd"/>
      <w:r w:rsidR="00545CC9" w:rsidRPr="00545CC9">
        <w:rPr>
          <w:rFonts w:asciiTheme="minorHAnsi" w:hAnsiTheme="minorHAnsi"/>
          <w:sz w:val="22"/>
          <w:szCs w:val="22"/>
        </w:rPr>
        <w:t xml:space="preserve"> </w:t>
      </w:r>
      <w:proofErr w:type="spellStart"/>
      <w:r w:rsidR="00545CC9" w:rsidRPr="00545CC9">
        <w:rPr>
          <w:rFonts w:asciiTheme="minorHAnsi" w:hAnsiTheme="minorHAnsi"/>
          <w:sz w:val="22"/>
          <w:szCs w:val="22"/>
        </w:rPr>
        <w:t>Ingelheim</w:t>
      </w:r>
      <w:proofErr w:type="spellEnd"/>
      <w:r w:rsidR="00545CC9" w:rsidRPr="00545CC9">
        <w:rPr>
          <w:rFonts w:asciiTheme="minorHAnsi" w:hAnsiTheme="minorHAnsi"/>
          <w:sz w:val="22"/>
          <w:szCs w:val="22"/>
        </w:rPr>
        <w:t xml:space="preserve"> Pharma GmbH &amp; Co.KG. With the help of the acrylic glass reactor (Figure 1) of industrial scale it is possible to visualize global and local flow structures and to investigate the influence of heterogeneities of the flow on the mass transfer as well as the mixing time. Furthermore, it is possible to investigate the influence of different stirrer geometries and configurations on the hydrodynamic behavior of an industrial scale aerated stirred tank reactor. </w:t>
      </w:r>
    </w:p>
    <w:p w:rsidR="00545CC9" w:rsidRDefault="00545CC9" w:rsidP="00545CC9">
      <w:pPr>
        <w:pStyle w:val="SectionBody"/>
        <w:ind w:firstLine="284"/>
        <w:rPr>
          <w:rFonts w:asciiTheme="minorHAnsi" w:hAnsiTheme="minorHAnsi"/>
          <w:sz w:val="22"/>
          <w:szCs w:val="22"/>
        </w:rPr>
      </w:pPr>
    </w:p>
    <w:p w:rsidR="00EE0EEE" w:rsidRDefault="00EE0EEE" w:rsidP="00545CC9">
      <w:pPr>
        <w:pStyle w:val="SectionBody"/>
        <w:ind w:firstLine="284"/>
        <w:rPr>
          <w:rFonts w:asciiTheme="minorHAnsi" w:hAnsiTheme="minorHAnsi"/>
          <w:sz w:val="22"/>
          <w:szCs w:val="22"/>
        </w:rPr>
      </w:pPr>
    </w:p>
    <w:p w:rsidR="00EE0EEE" w:rsidRPr="00545CC9" w:rsidRDefault="00EE0EEE" w:rsidP="00545CC9">
      <w:pPr>
        <w:pStyle w:val="SectionBody"/>
        <w:ind w:firstLine="284"/>
        <w:rPr>
          <w:rFonts w:asciiTheme="minorHAnsi" w:hAnsiTheme="minorHAnsi"/>
          <w:sz w:val="22"/>
          <w:szCs w:val="22"/>
        </w:rPr>
      </w:pPr>
    </w:p>
    <w:p w:rsidR="00704BDF" w:rsidRPr="008D0BEB" w:rsidRDefault="00704BDF" w:rsidP="00C867B1">
      <w:pPr>
        <w:snapToGrid w:val="0"/>
        <w:spacing w:after="120"/>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lastRenderedPageBreak/>
        <w:t>2. Methods</w:t>
      </w:r>
    </w:p>
    <w:p w:rsidR="00324409" w:rsidRPr="00324409" w:rsidRDefault="00545CC9" w:rsidP="00324409">
      <w:pPr>
        <w:pStyle w:val="SectionBody"/>
        <w:ind w:firstLine="284"/>
        <w:rPr>
          <w:rFonts w:asciiTheme="minorHAnsi" w:hAnsiTheme="minorHAnsi"/>
          <w:sz w:val="22"/>
          <w:szCs w:val="22"/>
        </w:rPr>
      </w:pPr>
      <w:r w:rsidRPr="00324409">
        <w:rPr>
          <w:rFonts w:asciiTheme="minorHAnsi" w:hAnsiTheme="minorHAnsi"/>
          <w:bCs/>
          <w:sz w:val="22"/>
          <w:szCs w:val="22"/>
        </w:rPr>
        <w:t xml:space="preserve">The acrylic glass reactor with an inner diameter of </w:t>
      </w:r>
      <w:r w:rsidRPr="00324409">
        <w:rPr>
          <w:rFonts w:asciiTheme="minorHAnsi" w:hAnsiTheme="minorHAnsi"/>
          <w:bCs/>
          <w:i/>
          <w:sz w:val="22"/>
          <w:szCs w:val="22"/>
        </w:rPr>
        <w:t>D</w:t>
      </w:r>
      <w:r w:rsidRPr="00324409">
        <w:rPr>
          <w:rFonts w:asciiTheme="minorHAnsi" w:hAnsiTheme="minorHAnsi"/>
          <w:bCs/>
          <w:sz w:val="22"/>
          <w:szCs w:val="22"/>
        </w:rPr>
        <w:t xml:space="preserve"> = 2 m and a total volume of </w:t>
      </w:r>
      <w:r w:rsidRPr="00324409">
        <w:rPr>
          <w:rFonts w:asciiTheme="minorHAnsi" w:hAnsiTheme="minorHAnsi"/>
          <w:bCs/>
          <w:i/>
          <w:sz w:val="22"/>
          <w:szCs w:val="22"/>
        </w:rPr>
        <w:t>V</w:t>
      </w:r>
      <w:r w:rsidRPr="00324409">
        <w:rPr>
          <w:rFonts w:asciiTheme="minorHAnsi" w:hAnsiTheme="minorHAnsi"/>
          <w:bCs/>
          <w:sz w:val="22"/>
          <w:szCs w:val="22"/>
          <w:vertAlign w:val="subscript"/>
        </w:rPr>
        <w:t>R</w:t>
      </w:r>
      <w:r w:rsidRPr="00324409">
        <w:rPr>
          <w:rFonts w:asciiTheme="minorHAnsi" w:hAnsiTheme="minorHAnsi"/>
          <w:bCs/>
          <w:sz w:val="22"/>
          <w:szCs w:val="22"/>
        </w:rPr>
        <w:t xml:space="preserve"> = 15 m</w:t>
      </w:r>
      <w:r w:rsidRPr="00324409">
        <w:rPr>
          <w:rFonts w:asciiTheme="minorHAnsi" w:hAnsiTheme="minorHAnsi"/>
          <w:bCs/>
          <w:sz w:val="22"/>
          <w:szCs w:val="22"/>
          <w:vertAlign w:val="superscript"/>
        </w:rPr>
        <w:t>3</w:t>
      </w:r>
      <w:r w:rsidRPr="00324409">
        <w:rPr>
          <w:rFonts w:asciiTheme="minorHAnsi" w:hAnsiTheme="minorHAnsi"/>
          <w:bCs/>
          <w:sz w:val="22"/>
          <w:szCs w:val="22"/>
        </w:rPr>
        <w:t xml:space="preserve"> is equipped with a bottom mounted magnetic agitator as well as three baffles. The agitator can be equipped with either up to three Rushton turbines or pitched blade turbines (</w:t>
      </w:r>
      <w:r w:rsidRPr="00324409">
        <w:rPr>
          <w:rFonts w:asciiTheme="minorHAnsi" w:hAnsiTheme="minorHAnsi"/>
          <w:bCs/>
          <w:i/>
          <w:sz w:val="22"/>
          <w:szCs w:val="22"/>
        </w:rPr>
        <w:t>d</w:t>
      </w:r>
      <w:r w:rsidRPr="00324409">
        <w:rPr>
          <w:rFonts w:asciiTheme="minorHAnsi" w:hAnsiTheme="minorHAnsi"/>
          <w:bCs/>
          <w:sz w:val="22"/>
          <w:szCs w:val="22"/>
        </w:rPr>
        <w:t>/</w:t>
      </w:r>
      <w:r w:rsidRPr="00324409">
        <w:rPr>
          <w:rFonts w:asciiTheme="minorHAnsi" w:hAnsiTheme="minorHAnsi"/>
          <w:bCs/>
          <w:i/>
          <w:sz w:val="22"/>
          <w:szCs w:val="22"/>
        </w:rPr>
        <w:t>D</w:t>
      </w:r>
      <w:r w:rsidRPr="00324409">
        <w:rPr>
          <w:rFonts w:asciiTheme="minorHAnsi" w:hAnsiTheme="minorHAnsi"/>
          <w:bCs/>
          <w:sz w:val="22"/>
          <w:szCs w:val="22"/>
        </w:rPr>
        <w:t xml:space="preserve"> = 1/3).</w:t>
      </w:r>
      <w:r w:rsidRPr="00324409">
        <w:rPr>
          <w:rFonts w:asciiTheme="minorHAnsi" w:hAnsiTheme="minorHAnsi" w:cs="Arial"/>
          <w:noProof/>
          <w:sz w:val="22"/>
          <w:szCs w:val="22"/>
        </w:rPr>
        <w:t xml:space="preserve"> </w:t>
      </w:r>
      <w:r w:rsidRPr="00324409">
        <w:rPr>
          <w:rFonts w:asciiTheme="minorHAnsi" w:hAnsiTheme="minorHAnsi"/>
          <w:bCs/>
          <w:sz w:val="22"/>
          <w:szCs w:val="22"/>
        </w:rPr>
        <w:t xml:space="preserve">An open tube </w:t>
      </w:r>
      <w:proofErr w:type="spellStart"/>
      <w:r w:rsidRPr="00324409">
        <w:rPr>
          <w:rFonts w:asciiTheme="minorHAnsi" w:hAnsiTheme="minorHAnsi"/>
          <w:bCs/>
          <w:sz w:val="22"/>
          <w:szCs w:val="22"/>
        </w:rPr>
        <w:t>sparger</w:t>
      </w:r>
      <w:proofErr w:type="spellEnd"/>
      <w:r w:rsidRPr="00324409">
        <w:rPr>
          <w:rFonts w:asciiTheme="minorHAnsi" w:hAnsiTheme="minorHAnsi"/>
          <w:bCs/>
          <w:sz w:val="22"/>
          <w:szCs w:val="22"/>
        </w:rPr>
        <w:t xml:space="preserve"> is used, which is located below the Rushton turbine </w:t>
      </w:r>
      <w:r w:rsidR="00565EA6" w:rsidRPr="00324409">
        <w:rPr>
          <w:rFonts w:asciiTheme="minorHAnsi" w:hAnsiTheme="minorHAnsi"/>
          <w:bCs/>
          <w:sz w:val="22"/>
          <w:szCs w:val="22"/>
        </w:rPr>
        <w:t>[2]</w:t>
      </w:r>
      <w:r w:rsidRPr="00324409">
        <w:rPr>
          <w:rFonts w:asciiTheme="minorHAnsi" w:hAnsiTheme="minorHAnsi"/>
          <w:bCs/>
          <w:sz w:val="22"/>
          <w:szCs w:val="22"/>
        </w:rPr>
        <w:t>.</w:t>
      </w:r>
    </w:p>
    <w:p w:rsidR="00545CC9" w:rsidRPr="00324409" w:rsidRDefault="00545CC9" w:rsidP="00324409">
      <w:pPr>
        <w:pStyle w:val="SectionBody"/>
        <w:ind w:firstLine="284"/>
        <w:rPr>
          <w:rFonts w:asciiTheme="minorHAnsi" w:hAnsiTheme="minorHAnsi"/>
          <w:bCs/>
          <w:sz w:val="22"/>
          <w:szCs w:val="22"/>
        </w:rPr>
      </w:pPr>
      <w:r w:rsidRPr="00324409">
        <w:rPr>
          <w:rFonts w:asciiTheme="minorHAnsi" w:hAnsiTheme="minorHAnsi"/>
          <w:sz w:val="22"/>
          <w:szCs w:val="22"/>
        </w:rPr>
        <w:t xml:space="preserve">The gas flow rate is controlled by an F-203AV mass flow controller from </w:t>
      </w:r>
      <w:proofErr w:type="spellStart"/>
      <w:r w:rsidRPr="00324409">
        <w:rPr>
          <w:rFonts w:asciiTheme="minorHAnsi" w:hAnsiTheme="minorHAnsi"/>
          <w:sz w:val="22"/>
          <w:szCs w:val="22"/>
        </w:rPr>
        <w:t>Bronkhorst</w:t>
      </w:r>
      <w:proofErr w:type="spellEnd"/>
      <w:r w:rsidRPr="00324409">
        <w:rPr>
          <w:rFonts w:asciiTheme="minorHAnsi" w:hAnsiTheme="minorHAnsi"/>
          <w:sz w:val="22"/>
          <w:szCs w:val="22"/>
          <w:vertAlign w:val="superscript"/>
        </w:rPr>
        <w:t>®</w:t>
      </w:r>
      <w:r w:rsidRPr="00324409">
        <w:rPr>
          <w:rFonts w:asciiTheme="minorHAnsi" w:hAnsiTheme="minorHAnsi"/>
          <w:sz w:val="22"/>
          <w:szCs w:val="22"/>
        </w:rPr>
        <w:t>. The power input is measured at the stirrer shaft using a DR-3000 torque measuring instrument from Lorenz</w:t>
      </w:r>
      <w:r w:rsidRPr="00324409">
        <w:rPr>
          <w:rFonts w:asciiTheme="minorHAnsi" w:hAnsiTheme="minorHAnsi"/>
          <w:sz w:val="22"/>
          <w:szCs w:val="22"/>
          <w:vertAlign w:val="superscript"/>
        </w:rPr>
        <w:t>®</w:t>
      </w:r>
      <w:r w:rsidRPr="00324409">
        <w:rPr>
          <w:rFonts w:asciiTheme="minorHAnsi" w:hAnsiTheme="minorHAnsi"/>
          <w:sz w:val="22"/>
          <w:szCs w:val="22"/>
        </w:rPr>
        <w:t>.</w:t>
      </w:r>
    </w:p>
    <w:p w:rsidR="00545CC9" w:rsidRPr="00545CC9" w:rsidRDefault="00545CC9" w:rsidP="00324409">
      <w:pPr>
        <w:pStyle w:val="SectionBody"/>
        <w:ind w:firstLine="284"/>
        <w:rPr>
          <w:rFonts w:asciiTheme="minorHAnsi" w:hAnsiTheme="minorHAnsi"/>
          <w:sz w:val="22"/>
          <w:szCs w:val="22"/>
        </w:rPr>
      </w:pPr>
      <w:r w:rsidRPr="00324409">
        <w:rPr>
          <w:rFonts w:asciiTheme="minorHAnsi" w:hAnsiTheme="minorHAnsi"/>
          <w:bCs/>
          <w:sz w:val="22"/>
          <w:szCs w:val="22"/>
        </w:rPr>
        <w:t>The mixi</w:t>
      </w:r>
      <w:r w:rsidRPr="00545CC9">
        <w:rPr>
          <w:rFonts w:asciiTheme="minorHAnsi" w:hAnsiTheme="minorHAnsi"/>
          <w:sz w:val="22"/>
          <w:szCs w:val="22"/>
        </w:rPr>
        <w:t xml:space="preserve">ng time is determined by a </w:t>
      </w:r>
      <w:proofErr w:type="spellStart"/>
      <w:r w:rsidRPr="00545CC9">
        <w:rPr>
          <w:rFonts w:asciiTheme="minorHAnsi" w:hAnsiTheme="minorHAnsi"/>
          <w:sz w:val="22"/>
          <w:szCs w:val="22"/>
        </w:rPr>
        <w:t>decolorization</w:t>
      </w:r>
      <w:proofErr w:type="spellEnd"/>
      <w:r w:rsidRPr="00545CC9">
        <w:rPr>
          <w:rFonts w:asciiTheme="minorHAnsi" w:hAnsiTheme="minorHAnsi"/>
          <w:sz w:val="22"/>
          <w:szCs w:val="22"/>
        </w:rPr>
        <w:t xml:space="preserve"> method in combination with a high spatial and time resolution image processing </w:t>
      </w:r>
      <w:r w:rsidR="00565EA6" w:rsidRPr="00565EA6">
        <w:rPr>
          <w:rFonts w:asciiTheme="minorHAnsi" w:hAnsiTheme="minorHAnsi"/>
          <w:bCs/>
          <w:sz w:val="22"/>
          <w:szCs w:val="22"/>
        </w:rPr>
        <w:t>[2]</w:t>
      </w:r>
      <w:r w:rsidRPr="00545CC9">
        <w:rPr>
          <w:rFonts w:asciiTheme="minorHAnsi" w:hAnsiTheme="minorHAnsi"/>
          <w:sz w:val="22"/>
          <w:szCs w:val="22"/>
        </w:rPr>
        <w:t>.</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3. Results and discussion</w:t>
      </w:r>
    </w:p>
    <w:p w:rsidR="003949F0" w:rsidRPr="003949F0" w:rsidRDefault="003949F0" w:rsidP="003949F0">
      <w:pPr>
        <w:pStyle w:val="SectionBody"/>
        <w:ind w:firstLine="284"/>
        <w:rPr>
          <w:rFonts w:asciiTheme="minorHAnsi" w:hAnsiTheme="minorHAnsi"/>
          <w:sz w:val="22"/>
          <w:szCs w:val="22"/>
        </w:rPr>
      </w:pPr>
      <w:r>
        <w:rPr>
          <w:noProof/>
          <w:sz w:val="24"/>
          <w:lang w:val="de-DE" w:eastAsia="de-DE"/>
        </w:rPr>
        <w:drawing>
          <wp:anchor distT="0" distB="0" distL="114300" distR="114300" simplePos="0" relativeHeight="251661312" behindDoc="1" locked="0" layoutInCell="1" allowOverlap="1">
            <wp:simplePos x="0" y="0"/>
            <wp:positionH relativeFrom="column">
              <wp:posOffset>2720340</wp:posOffset>
            </wp:positionH>
            <wp:positionV relativeFrom="paragraph">
              <wp:posOffset>263525</wp:posOffset>
            </wp:positionV>
            <wp:extent cx="3086100" cy="2600325"/>
            <wp:effectExtent l="0" t="0" r="0" b="9525"/>
            <wp:wrapTight wrapText="bothSides">
              <wp:wrapPolygon edited="0">
                <wp:start x="1067" y="0"/>
                <wp:lineTo x="1067" y="21521"/>
                <wp:lineTo x="20267" y="21521"/>
                <wp:lineTo x="20267" y="0"/>
                <wp:lineTo x="1067"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b="18752"/>
                    <a:stretch>
                      <a:fillRect/>
                    </a:stretch>
                  </pic:blipFill>
                  <pic:spPr bwMode="auto">
                    <a:xfrm>
                      <a:off x="0" y="0"/>
                      <a:ext cx="30861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CC9" w:rsidRPr="003949F0">
        <w:rPr>
          <w:rFonts w:asciiTheme="minorHAnsi" w:hAnsiTheme="minorHAnsi"/>
          <w:bCs/>
          <w:sz w:val="22"/>
          <w:szCs w:val="22"/>
        </w:rPr>
        <w:t xml:space="preserve">First investigations have been performed with a two stage impeller system. In figure 2 two different mixing processes of two different flow regimes are presented. On the left hand side a homogeneous bubbly flow is present where the bubbles are rising homogeneously dispersed over the cross section. The axial mixing is reduced and two compartments are forming. </w:t>
      </w:r>
    </w:p>
    <w:p w:rsidR="003949F0" w:rsidRDefault="00545CC9" w:rsidP="003949F0">
      <w:pPr>
        <w:pStyle w:val="SectionBody"/>
        <w:ind w:firstLine="284"/>
        <w:rPr>
          <w:rFonts w:asciiTheme="minorHAnsi" w:hAnsiTheme="minorHAnsi"/>
          <w:bCs/>
          <w:sz w:val="22"/>
          <w:szCs w:val="22"/>
        </w:rPr>
      </w:pPr>
      <w:r w:rsidRPr="003949F0">
        <w:rPr>
          <w:rFonts w:asciiTheme="minorHAnsi" w:hAnsiTheme="minorHAnsi"/>
          <w:sz w:val="22"/>
          <w:szCs w:val="22"/>
        </w:rPr>
        <w:t>This leads further to a high mixing time. On the right hand side a heterog</w:t>
      </w:r>
      <w:r w:rsidRPr="003949F0">
        <w:rPr>
          <w:rFonts w:asciiTheme="minorHAnsi" w:hAnsiTheme="minorHAnsi"/>
          <w:bCs/>
          <w:sz w:val="22"/>
          <w:szCs w:val="22"/>
        </w:rPr>
        <w:t xml:space="preserve">eneous flow regime with large bubbles is presented. These large bubbles are rising with a much higher velocity and are not equally dispersed over the cross section of the reactor. This leads to a buoyancy driven flow structure and thus better axial mixing </w:t>
      </w:r>
      <w:r w:rsidR="00565EA6" w:rsidRPr="003949F0">
        <w:rPr>
          <w:rFonts w:asciiTheme="minorHAnsi" w:hAnsiTheme="minorHAnsi"/>
          <w:bCs/>
          <w:sz w:val="22"/>
          <w:szCs w:val="22"/>
        </w:rPr>
        <w:t>[2]</w:t>
      </w:r>
      <w:r w:rsidRPr="003949F0">
        <w:rPr>
          <w:rFonts w:asciiTheme="minorHAnsi" w:hAnsiTheme="minorHAnsi"/>
          <w:bCs/>
          <w:sz w:val="22"/>
          <w:szCs w:val="22"/>
        </w:rPr>
        <w:t>.</w:t>
      </w:r>
    </w:p>
    <w:p w:rsidR="00545CC9" w:rsidRPr="003949F0" w:rsidRDefault="00EE0EEE" w:rsidP="003949F0">
      <w:pPr>
        <w:pStyle w:val="SectionBody"/>
        <w:ind w:firstLine="284"/>
        <w:rPr>
          <w:rFonts w:asciiTheme="minorHAnsi" w:hAnsiTheme="minorHAnsi"/>
          <w:sz w:val="22"/>
          <w:szCs w:val="22"/>
        </w:rPr>
      </w:pPr>
      <w:r>
        <w:rPr>
          <w:noProof/>
          <w:lang w:val="de-DE" w:eastAsia="de-DE"/>
        </w:rPr>
        <mc:AlternateContent>
          <mc:Choice Requires="wps">
            <w:drawing>
              <wp:anchor distT="0" distB="0" distL="114300" distR="114300" simplePos="0" relativeHeight="251663360" behindDoc="1" locked="0" layoutInCell="1" allowOverlap="1" wp14:anchorId="36570565" wp14:editId="4376C9A2">
                <wp:simplePos x="0" y="0"/>
                <wp:positionH relativeFrom="margin">
                  <wp:align>right</wp:align>
                </wp:positionH>
                <wp:positionV relativeFrom="paragraph">
                  <wp:posOffset>313690</wp:posOffset>
                </wp:positionV>
                <wp:extent cx="2638425" cy="428625"/>
                <wp:effectExtent l="0" t="0" r="9525" b="9525"/>
                <wp:wrapTight wrapText="bothSides">
                  <wp:wrapPolygon edited="0">
                    <wp:start x="0" y="0"/>
                    <wp:lineTo x="0" y="21120"/>
                    <wp:lineTo x="21522" y="21120"/>
                    <wp:lineTo x="21522"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2638425" cy="428625"/>
                        </a:xfrm>
                        <a:prstGeom prst="rect">
                          <a:avLst/>
                        </a:prstGeom>
                        <a:solidFill>
                          <a:prstClr val="white"/>
                        </a:solidFill>
                        <a:ln>
                          <a:noFill/>
                        </a:ln>
                        <a:effectLst/>
                      </wps:spPr>
                      <wps:txbx>
                        <w:txbxContent>
                          <w:p w:rsidR="003949F0" w:rsidRPr="003949F0" w:rsidRDefault="003949F0" w:rsidP="003949F0">
                            <w:pPr>
                              <w:pStyle w:val="Beschriftung"/>
                              <w:rPr>
                                <w:rFonts w:asciiTheme="minorHAnsi" w:hAnsiTheme="minorHAnsi"/>
                                <w:b w:val="0"/>
                                <w:noProof/>
                                <w:sz w:val="24"/>
                                <w:szCs w:val="20"/>
                              </w:rPr>
                            </w:pPr>
                            <w:r w:rsidRPr="003949F0">
                              <w:rPr>
                                <w:rFonts w:asciiTheme="minorHAnsi" w:hAnsiTheme="minorHAnsi"/>
                              </w:rPr>
                              <w:t xml:space="preserve">Figure </w:t>
                            </w:r>
                            <w:r w:rsidRPr="003949F0">
                              <w:rPr>
                                <w:rFonts w:asciiTheme="minorHAnsi" w:hAnsiTheme="minorHAnsi"/>
                              </w:rPr>
                              <w:fldChar w:fldCharType="begin"/>
                            </w:r>
                            <w:r w:rsidRPr="003949F0">
                              <w:rPr>
                                <w:rFonts w:asciiTheme="minorHAnsi" w:hAnsiTheme="minorHAnsi"/>
                              </w:rPr>
                              <w:instrText xml:space="preserve"> SEQ Abbildung \* ARABIC </w:instrText>
                            </w:r>
                            <w:r w:rsidRPr="003949F0">
                              <w:rPr>
                                <w:rFonts w:asciiTheme="minorHAnsi" w:hAnsiTheme="minorHAnsi"/>
                              </w:rPr>
                              <w:fldChar w:fldCharType="separate"/>
                            </w:r>
                            <w:r w:rsidRPr="003949F0">
                              <w:rPr>
                                <w:rFonts w:asciiTheme="minorHAnsi" w:hAnsiTheme="minorHAnsi"/>
                                <w:noProof/>
                              </w:rPr>
                              <w:t>2</w:t>
                            </w:r>
                            <w:r w:rsidRPr="003949F0">
                              <w:rPr>
                                <w:rFonts w:asciiTheme="minorHAnsi" w:hAnsiTheme="minorHAnsi"/>
                              </w:rPr>
                              <w:fldChar w:fldCharType="end"/>
                            </w:r>
                            <w:r w:rsidRPr="003949F0">
                              <w:rPr>
                                <w:rFonts w:asciiTheme="minorHAnsi" w:hAnsiTheme="minorHAnsi"/>
                              </w:rPr>
                              <w:t>:</w:t>
                            </w:r>
                            <w:r w:rsidRPr="003949F0">
                              <w:rPr>
                                <w:rFonts w:asciiTheme="minorHAnsi" w:hAnsiTheme="minorHAnsi"/>
                                <w:b w:val="0"/>
                              </w:rPr>
                              <w:t xml:space="preserve"> </w:t>
                            </w:r>
                            <w:r w:rsidRPr="003949F0">
                              <w:rPr>
                                <w:rFonts w:asciiTheme="minorHAnsi" w:hAnsiTheme="minorHAnsi"/>
                                <w:b w:val="0"/>
                              </w:rPr>
                              <w:tab/>
                              <w:t xml:space="preserve">Exemplary decolourization processes after t = </w:t>
                            </w:r>
                            <w:proofErr w:type="spellStart"/>
                            <w:r w:rsidRPr="003949F0">
                              <w:rPr>
                                <w:rFonts w:asciiTheme="minorHAnsi" w:hAnsiTheme="minorHAnsi"/>
                                <w:b w:val="0"/>
                              </w:rPr>
                              <w:t>tmix</w:t>
                            </w:r>
                            <w:proofErr w:type="spellEnd"/>
                            <w:r w:rsidRPr="003949F0">
                              <w:rPr>
                                <w:rFonts w:asciiTheme="minorHAnsi" w:hAnsiTheme="minorHAnsi"/>
                                <w:b w:val="0"/>
                              </w:rPr>
                              <w:t xml:space="preserve"> ∙ 0.5 for two different flow regime: homogeneous (left), heterogeneous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70565" id="_x0000_t202" coordsize="21600,21600" o:spt="202" path="m,l,21600r21600,l21600,xe">
                <v:stroke joinstyle="miter"/>
                <v:path gradientshapeok="t" o:connecttype="rect"/>
              </v:shapetype>
              <v:shape id="Textfeld 4" o:spid="_x0000_s1027" type="#_x0000_t202" style="position:absolute;left:0;text-align:left;margin-left:156.55pt;margin-top:24.7pt;width:207.75pt;height:33.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" stroked="f">
                <v:textbox inset="0,0,0,0">
                  <w:txbxContent>
                    <w:p w:rsidR="003949F0" w:rsidRPr="003949F0" w:rsidRDefault="003949F0" w:rsidP="003949F0">
                      <w:pPr>
                        <w:pStyle w:val="Beschriftung"/>
                        <w:rPr>
                          <w:rFonts w:asciiTheme="minorHAnsi" w:hAnsiTheme="minorHAnsi"/>
                          <w:b w:val="0"/>
                          <w:noProof/>
                          <w:sz w:val="24"/>
                          <w:szCs w:val="20"/>
                        </w:rPr>
                      </w:pPr>
                      <w:r w:rsidRPr="003949F0">
                        <w:rPr>
                          <w:rFonts w:asciiTheme="minorHAnsi" w:hAnsiTheme="minorHAnsi"/>
                        </w:rPr>
                        <w:t xml:space="preserve">Figure </w:t>
                      </w:r>
                      <w:r w:rsidRPr="003949F0">
                        <w:rPr>
                          <w:rFonts w:asciiTheme="minorHAnsi" w:hAnsiTheme="minorHAnsi"/>
                        </w:rPr>
                        <w:fldChar w:fldCharType="begin"/>
                      </w:r>
                      <w:r w:rsidRPr="003949F0">
                        <w:rPr>
                          <w:rFonts w:asciiTheme="minorHAnsi" w:hAnsiTheme="minorHAnsi"/>
                        </w:rPr>
                        <w:instrText xml:space="preserve"> SEQ Abbildung \* ARABIC </w:instrText>
                      </w:r>
                      <w:r w:rsidRPr="003949F0">
                        <w:rPr>
                          <w:rFonts w:asciiTheme="minorHAnsi" w:hAnsiTheme="minorHAnsi"/>
                        </w:rPr>
                        <w:fldChar w:fldCharType="separate"/>
                      </w:r>
                      <w:r w:rsidRPr="003949F0">
                        <w:rPr>
                          <w:rFonts w:asciiTheme="minorHAnsi" w:hAnsiTheme="minorHAnsi"/>
                          <w:noProof/>
                        </w:rPr>
                        <w:t>2</w:t>
                      </w:r>
                      <w:r w:rsidRPr="003949F0">
                        <w:rPr>
                          <w:rFonts w:asciiTheme="minorHAnsi" w:hAnsiTheme="minorHAnsi"/>
                        </w:rPr>
                        <w:fldChar w:fldCharType="end"/>
                      </w:r>
                      <w:r w:rsidRPr="003949F0">
                        <w:rPr>
                          <w:rFonts w:asciiTheme="minorHAnsi" w:hAnsiTheme="minorHAnsi"/>
                        </w:rPr>
                        <w:t>:</w:t>
                      </w:r>
                      <w:r w:rsidRPr="003949F0">
                        <w:rPr>
                          <w:rFonts w:asciiTheme="minorHAnsi" w:hAnsiTheme="minorHAnsi"/>
                          <w:b w:val="0"/>
                        </w:rPr>
                        <w:t xml:space="preserve"> </w:t>
                      </w:r>
                      <w:r w:rsidRPr="003949F0">
                        <w:rPr>
                          <w:rFonts w:asciiTheme="minorHAnsi" w:hAnsiTheme="minorHAnsi"/>
                          <w:b w:val="0"/>
                        </w:rPr>
                        <w:tab/>
                        <w:t xml:space="preserve">Exemplary decolourization processes after t = </w:t>
                      </w:r>
                      <w:proofErr w:type="spellStart"/>
                      <w:r w:rsidRPr="003949F0">
                        <w:rPr>
                          <w:rFonts w:asciiTheme="minorHAnsi" w:hAnsiTheme="minorHAnsi"/>
                          <w:b w:val="0"/>
                        </w:rPr>
                        <w:t>tmix</w:t>
                      </w:r>
                      <w:proofErr w:type="spellEnd"/>
                      <w:r w:rsidRPr="003949F0">
                        <w:rPr>
                          <w:rFonts w:asciiTheme="minorHAnsi" w:hAnsiTheme="minorHAnsi"/>
                          <w:b w:val="0"/>
                        </w:rPr>
                        <w:t xml:space="preserve"> ∙ 0.5 for two different flow regime: homogeneous (left), heterogeneous (right).</w:t>
                      </w:r>
                    </w:p>
                  </w:txbxContent>
                </v:textbox>
                <w10:wrap type="tight" anchorx="margin"/>
              </v:shape>
            </w:pict>
          </mc:Fallback>
        </mc:AlternateContent>
      </w:r>
      <w:r w:rsidR="00545CC9" w:rsidRPr="003949F0">
        <w:rPr>
          <w:rFonts w:asciiTheme="minorHAnsi" w:hAnsiTheme="minorHAnsi"/>
          <w:bCs/>
          <w:sz w:val="22"/>
          <w:szCs w:val="22"/>
        </w:rPr>
        <w:t xml:space="preserve">Further investigation into the hydrodynamics of different impeller combinations will be presented. </w:t>
      </w:r>
    </w:p>
    <w:p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rsidR="00545CC9" w:rsidRDefault="00545CC9" w:rsidP="00545CC9">
      <w:pPr>
        <w:snapToGrid w:val="0"/>
        <w:spacing w:before="240" w:line="240" w:lineRule="auto"/>
        <w:rPr>
          <w:rFonts w:asciiTheme="minorHAnsi" w:eastAsia="MS PGothic" w:hAnsiTheme="minorHAnsi"/>
          <w:color w:val="000000"/>
          <w:sz w:val="22"/>
          <w:szCs w:val="22"/>
          <w:lang w:val="en-US"/>
        </w:rPr>
      </w:pPr>
      <w:r w:rsidRPr="00545CC9">
        <w:rPr>
          <w:rFonts w:asciiTheme="minorHAnsi" w:eastAsia="MS PGothic" w:hAnsiTheme="minorHAnsi"/>
          <w:color w:val="000000"/>
          <w:sz w:val="22"/>
          <w:szCs w:val="22"/>
          <w:lang w:val="en-US"/>
        </w:rPr>
        <w:t>A first characterization can be done by taking into account buoyancy driv</w:t>
      </w:r>
      <w:bookmarkStart w:id="0" w:name="_GoBack"/>
      <w:bookmarkEnd w:id="0"/>
      <w:r w:rsidRPr="00545CC9">
        <w:rPr>
          <w:rFonts w:asciiTheme="minorHAnsi" w:eastAsia="MS PGothic" w:hAnsiTheme="minorHAnsi"/>
          <w:color w:val="000000"/>
          <w:sz w:val="22"/>
          <w:szCs w:val="22"/>
          <w:lang w:val="en-US"/>
        </w:rPr>
        <w:t>en flows superimposing the flow induced by the impeller. A correlation is presented to estimate the transition between a loading and flooding regime on large scale. This correlation enables the calculation of mixing times for a wide range of stirrer frequencies and superficial gas velocities. Furthermore, this presentation will emphasize the challenges of scale-up on the basis of laboratory experiments in small scale.</w:t>
      </w:r>
    </w:p>
    <w:p w:rsidR="00704BDF" w:rsidRPr="008D0BEB" w:rsidRDefault="00DD45D7" w:rsidP="00704BDF">
      <w:pPr>
        <w:snapToGrid w:val="0"/>
        <w:spacing w:before="240" w:line="300" w:lineRule="auto"/>
        <w:rPr>
          <w:rFonts w:asciiTheme="minorHAnsi" w:eastAsia="SimSun" w:hAnsiTheme="minorHAnsi"/>
          <w:b/>
          <w:bCs/>
          <w:color w:val="000000"/>
          <w:sz w:val="20"/>
          <w:lang w:val="en-US" w:eastAsia="zh-CN"/>
        </w:rPr>
      </w:pPr>
      <w:r>
        <w:rPr>
          <w:rFonts w:asciiTheme="minorHAnsi" w:eastAsia="MS PGothic" w:hAnsiTheme="minorHAnsi"/>
          <w:b/>
          <w:bCs/>
          <w:color w:val="000000"/>
          <w:sz w:val="20"/>
          <w:lang w:val="en-US"/>
        </w:rPr>
        <w:t>Reference</w:t>
      </w:r>
    </w:p>
    <w:p w:rsidR="00545CC9" w:rsidRDefault="00545CC9" w:rsidP="00545CC9">
      <w:pPr>
        <w:pStyle w:val="FirstParagraph"/>
        <w:numPr>
          <w:ilvl w:val="0"/>
          <w:numId w:val="17"/>
        </w:numPr>
        <w:tabs>
          <w:tab w:val="left" w:pos="426"/>
        </w:tabs>
        <w:spacing w:line="240" w:lineRule="auto"/>
        <w:rPr>
          <w:rFonts w:asciiTheme="minorHAnsi" w:hAnsiTheme="minorHAnsi"/>
          <w:color w:val="000000"/>
        </w:rPr>
      </w:pPr>
      <w:r w:rsidRPr="00545CC9">
        <w:rPr>
          <w:rFonts w:asciiTheme="minorHAnsi" w:hAnsiTheme="minorHAnsi"/>
          <w:color w:val="000000"/>
        </w:rPr>
        <w:t>Lalonde, M. &amp; Durocher Y. Therapeutic glycoprotein production in mammalian cells, Journal of Biotechnology, Volume 251, 2017, Pages 128-140</w:t>
      </w:r>
    </w:p>
    <w:p w:rsidR="00565EA6" w:rsidRDefault="00565EA6" w:rsidP="00565EA6">
      <w:pPr>
        <w:pStyle w:val="FirstParagraph"/>
        <w:numPr>
          <w:ilvl w:val="0"/>
          <w:numId w:val="17"/>
        </w:numPr>
        <w:tabs>
          <w:tab w:val="left" w:pos="426"/>
        </w:tabs>
        <w:spacing w:line="240" w:lineRule="auto"/>
        <w:rPr>
          <w:rFonts w:asciiTheme="minorHAnsi" w:hAnsiTheme="minorHAnsi"/>
          <w:color w:val="000000"/>
        </w:rPr>
      </w:pPr>
      <w:proofErr w:type="spellStart"/>
      <w:r w:rsidRPr="00565EA6">
        <w:rPr>
          <w:rFonts w:asciiTheme="minorHAnsi" w:hAnsiTheme="minorHAnsi"/>
          <w:color w:val="000000"/>
        </w:rPr>
        <w:t>Rosseburg</w:t>
      </w:r>
      <w:proofErr w:type="spellEnd"/>
      <w:r w:rsidRPr="00565EA6">
        <w:rPr>
          <w:rFonts w:asciiTheme="minorHAnsi" w:hAnsiTheme="minorHAnsi"/>
          <w:color w:val="000000"/>
        </w:rPr>
        <w:t xml:space="preserve">, A., </w:t>
      </w:r>
      <w:proofErr w:type="spellStart"/>
      <w:r w:rsidRPr="00565EA6">
        <w:rPr>
          <w:rFonts w:asciiTheme="minorHAnsi" w:hAnsiTheme="minorHAnsi"/>
          <w:color w:val="000000"/>
        </w:rPr>
        <w:t>Fitschen</w:t>
      </w:r>
      <w:proofErr w:type="spellEnd"/>
      <w:r w:rsidRPr="00565EA6">
        <w:rPr>
          <w:rFonts w:asciiTheme="minorHAnsi" w:hAnsiTheme="minorHAnsi"/>
          <w:color w:val="000000"/>
        </w:rPr>
        <w:t xml:space="preserve"> J., </w:t>
      </w:r>
      <w:proofErr w:type="spellStart"/>
      <w:r w:rsidRPr="00565EA6">
        <w:rPr>
          <w:rFonts w:asciiTheme="minorHAnsi" w:hAnsiTheme="minorHAnsi"/>
          <w:color w:val="000000"/>
        </w:rPr>
        <w:t>Wutz</w:t>
      </w:r>
      <w:proofErr w:type="spellEnd"/>
      <w:r w:rsidRPr="00565EA6">
        <w:rPr>
          <w:rFonts w:asciiTheme="minorHAnsi" w:hAnsiTheme="minorHAnsi"/>
          <w:color w:val="000000"/>
        </w:rPr>
        <w:t xml:space="preserve">, J., </w:t>
      </w:r>
      <w:proofErr w:type="spellStart"/>
      <w:r w:rsidRPr="00565EA6">
        <w:rPr>
          <w:rFonts w:asciiTheme="minorHAnsi" w:hAnsiTheme="minorHAnsi"/>
          <w:color w:val="000000"/>
        </w:rPr>
        <w:t>Wucherpfennig</w:t>
      </w:r>
      <w:proofErr w:type="spellEnd"/>
      <w:r w:rsidRPr="00565EA6">
        <w:rPr>
          <w:rFonts w:asciiTheme="minorHAnsi" w:hAnsiTheme="minorHAnsi"/>
          <w:color w:val="000000"/>
        </w:rPr>
        <w:t xml:space="preserve">, T. &amp; </w:t>
      </w:r>
      <w:proofErr w:type="spellStart"/>
      <w:r w:rsidRPr="00565EA6">
        <w:rPr>
          <w:rFonts w:asciiTheme="minorHAnsi" w:hAnsiTheme="minorHAnsi"/>
          <w:color w:val="000000"/>
        </w:rPr>
        <w:t>Schlüter</w:t>
      </w:r>
      <w:proofErr w:type="spellEnd"/>
      <w:r w:rsidRPr="00565EA6">
        <w:rPr>
          <w:rFonts w:asciiTheme="minorHAnsi" w:hAnsiTheme="minorHAnsi"/>
          <w:color w:val="000000"/>
        </w:rPr>
        <w:t xml:space="preserve">, M. Hydrodynamic </w:t>
      </w:r>
      <w:proofErr w:type="spellStart"/>
      <w:r w:rsidRPr="00565EA6">
        <w:rPr>
          <w:rFonts w:asciiTheme="minorHAnsi" w:hAnsiTheme="minorHAnsi"/>
          <w:color w:val="000000"/>
        </w:rPr>
        <w:t>inhomogeneities</w:t>
      </w:r>
      <w:proofErr w:type="spellEnd"/>
      <w:r w:rsidRPr="00565EA6">
        <w:rPr>
          <w:rFonts w:asciiTheme="minorHAnsi" w:hAnsiTheme="minorHAnsi"/>
          <w:color w:val="000000"/>
        </w:rPr>
        <w:t xml:space="preserve"> in large scale stirred tanks – Influence on mixing time, Chemical Engineering Science, Volume 188, 2018, Pages 208-220</w:t>
      </w:r>
      <w:r w:rsidR="00704BDF" w:rsidRPr="008D0BEB">
        <w:rPr>
          <w:rFonts w:asciiTheme="minorHAnsi" w:hAnsiTheme="minorHAnsi"/>
          <w:color w:val="000000"/>
        </w:rPr>
        <w:t xml:space="preserve"> </w:t>
      </w:r>
    </w:p>
    <w:p w:rsidR="00704BDF" w:rsidRPr="00565EA6" w:rsidRDefault="00565EA6" w:rsidP="00565EA6">
      <w:pPr>
        <w:pStyle w:val="FirstParagraph"/>
        <w:numPr>
          <w:ilvl w:val="0"/>
          <w:numId w:val="17"/>
        </w:numPr>
        <w:tabs>
          <w:tab w:val="left" w:pos="426"/>
        </w:tabs>
        <w:spacing w:line="240" w:lineRule="auto"/>
        <w:rPr>
          <w:rFonts w:asciiTheme="minorHAnsi" w:hAnsiTheme="minorHAnsi"/>
          <w:color w:val="000000"/>
        </w:rPr>
      </w:pPr>
      <w:proofErr w:type="spellStart"/>
      <w:r w:rsidRPr="00565EA6">
        <w:rPr>
          <w:rFonts w:asciiTheme="minorHAnsi" w:hAnsiTheme="minorHAnsi"/>
          <w:color w:val="000000"/>
        </w:rPr>
        <w:t>Nauha</w:t>
      </w:r>
      <w:proofErr w:type="spellEnd"/>
      <w:r w:rsidRPr="00565EA6">
        <w:rPr>
          <w:rFonts w:asciiTheme="minorHAnsi" w:hAnsiTheme="minorHAnsi"/>
          <w:color w:val="000000"/>
        </w:rPr>
        <w:t xml:space="preserve">, E. K., </w:t>
      </w:r>
      <w:proofErr w:type="spellStart"/>
      <w:r w:rsidRPr="00565EA6">
        <w:rPr>
          <w:rFonts w:asciiTheme="minorHAnsi" w:hAnsiTheme="minorHAnsi"/>
          <w:color w:val="000000"/>
        </w:rPr>
        <w:t>Visuri</w:t>
      </w:r>
      <w:proofErr w:type="spellEnd"/>
      <w:r w:rsidRPr="00565EA6">
        <w:rPr>
          <w:rFonts w:asciiTheme="minorHAnsi" w:hAnsiTheme="minorHAnsi"/>
          <w:color w:val="000000"/>
        </w:rPr>
        <w:t xml:space="preserve">, O., </w:t>
      </w:r>
      <w:proofErr w:type="spellStart"/>
      <w:r w:rsidRPr="00565EA6">
        <w:rPr>
          <w:rFonts w:asciiTheme="minorHAnsi" w:hAnsiTheme="minorHAnsi"/>
          <w:color w:val="000000"/>
        </w:rPr>
        <w:t>Vermasvuori</w:t>
      </w:r>
      <w:proofErr w:type="spellEnd"/>
      <w:r w:rsidRPr="00565EA6">
        <w:rPr>
          <w:rFonts w:asciiTheme="minorHAnsi" w:hAnsiTheme="minorHAnsi"/>
          <w:color w:val="000000"/>
        </w:rPr>
        <w:t xml:space="preserve">, R. &amp; </w:t>
      </w:r>
      <w:proofErr w:type="spellStart"/>
      <w:r w:rsidRPr="00565EA6">
        <w:rPr>
          <w:rFonts w:asciiTheme="minorHAnsi" w:hAnsiTheme="minorHAnsi"/>
          <w:color w:val="000000"/>
        </w:rPr>
        <w:t>Alopaeus</w:t>
      </w:r>
      <w:proofErr w:type="spellEnd"/>
      <w:r w:rsidRPr="00565EA6">
        <w:rPr>
          <w:rFonts w:asciiTheme="minorHAnsi" w:hAnsiTheme="minorHAnsi"/>
          <w:color w:val="000000"/>
        </w:rPr>
        <w:t>, V. A new simple approach for the scale-up of aerated stirred tanks, Chemical Engineering Research and Design, Volume 95, 2015, Pages 150-161</w:t>
      </w:r>
    </w:p>
    <w:p w:rsidR="00704BDF" w:rsidRPr="00DE0019" w:rsidRDefault="00704BDF" w:rsidP="00704BDF">
      <w:pPr>
        <w:pStyle w:val="FirstParagraph"/>
        <w:widowControl w:val="0"/>
        <w:tabs>
          <w:tab w:val="left" w:pos="426"/>
        </w:tabs>
        <w:autoSpaceDE w:val="0"/>
        <w:autoSpaceDN w:val="0"/>
        <w:adjustRightInd w:val="0"/>
        <w:spacing w:line="240" w:lineRule="auto"/>
        <w:rPr>
          <w:rFonts w:asciiTheme="minorHAnsi" w:eastAsia="SimSun" w:hAnsiTheme="minorHAnsi"/>
          <w:sz w:val="22"/>
          <w:szCs w:val="22"/>
          <w:lang w:eastAsia="zh-CN"/>
        </w:rPr>
      </w:pPr>
    </w:p>
    <w:p w:rsidR="00704BDF" w:rsidRPr="00704BDF" w:rsidRDefault="00704BDF" w:rsidP="00FE64C1">
      <w:pPr>
        <w:pStyle w:val="FirstParagraph"/>
        <w:widowControl w:val="0"/>
        <w:tabs>
          <w:tab w:val="left" w:pos="426"/>
        </w:tabs>
        <w:autoSpaceDE w:val="0"/>
        <w:autoSpaceDN w:val="0"/>
        <w:adjustRightInd w:val="0"/>
        <w:spacing w:line="240" w:lineRule="auto"/>
        <w:jc w:val="left"/>
        <w:rPr>
          <w:rFonts w:asciiTheme="minorHAnsi" w:eastAsia="SimSun" w:hAnsiTheme="minorHAnsi"/>
          <w:sz w:val="22"/>
          <w:szCs w:val="22"/>
          <w:lang w:eastAsia="zh-CN"/>
        </w:rPr>
      </w:pPr>
    </w:p>
    <w:sectPr w:rsidR="00704BDF" w:rsidRPr="00704BDF"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8D2" w:rsidRDefault="006A58D2" w:rsidP="004F5E36">
      <w:r>
        <w:separator/>
      </w:r>
    </w:p>
  </w:endnote>
  <w:endnote w:type="continuationSeparator" w:id="0">
    <w:p w:rsidR="006A58D2" w:rsidRDefault="006A58D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8D2" w:rsidRDefault="006A58D2" w:rsidP="004F5E36">
      <w:r>
        <w:separator/>
      </w:r>
    </w:p>
  </w:footnote>
  <w:footnote w:type="continuationSeparator" w:id="0">
    <w:p w:rsidR="006A58D2" w:rsidRDefault="006A58D2" w:rsidP="004F5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162" w:rsidRDefault="00594E9F">
    <w:pPr>
      <w:pStyle w:val="Kopfzeile"/>
    </w:pPr>
    <w:r>
      <w:rPr>
        <w:noProof/>
        <w:lang w:val="de-DE" w:eastAsia="de-DE"/>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de-DE" w:eastAsia="de-DE"/>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DF" w:rsidRPr="00DE0019" w:rsidRDefault="00704BDF" w:rsidP="00704BDF">
    <w:pPr>
      <w:ind w:left="-426" w:right="-285"/>
      <w:jc w:val="center"/>
      <w:rPr>
        <w:rFonts w:asciiTheme="minorHAnsi" w:hAnsiTheme="minorHAnsi"/>
        <w:b/>
        <w:i/>
        <w:color w:val="002060"/>
        <w:sz w:val="24"/>
        <w:szCs w:val="24"/>
        <w:lang w:val="en-US"/>
      </w:rPr>
    </w:pPr>
    <w:r>
      <w:rPr>
        <w:noProof/>
        <w:lang w:val="de-DE" w:eastAsia="de-DE"/>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rsidR="00704BDF" w:rsidRDefault="00704BDF">
    <w:pPr>
      <w:pStyle w:val="Kopfzeile"/>
    </w:pPr>
  </w:p>
  <w:p w:rsidR="00704BDF" w:rsidRDefault="00704BDF">
    <w:pPr>
      <w:pStyle w:val="Kopfzeile"/>
    </w:pPr>
    <w:r>
      <w:rPr>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4A"/>
    <w:rsid w:val="000027C0"/>
    <w:rsid w:val="000117CB"/>
    <w:rsid w:val="0003148D"/>
    <w:rsid w:val="00062A9A"/>
    <w:rsid w:val="000A03B2"/>
    <w:rsid w:val="000D34BE"/>
    <w:rsid w:val="000E36F1"/>
    <w:rsid w:val="000E3A73"/>
    <w:rsid w:val="000E414A"/>
    <w:rsid w:val="0013121F"/>
    <w:rsid w:val="00134DE4"/>
    <w:rsid w:val="00150E59"/>
    <w:rsid w:val="00184AD6"/>
    <w:rsid w:val="001B65C1"/>
    <w:rsid w:val="001C684B"/>
    <w:rsid w:val="001D53FC"/>
    <w:rsid w:val="001F2EC7"/>
    <w:rsid w:val="002065DB"/>
    <w:rsid w:val="002447EF"/>
    <w:rsid w:val="00251550"/>
    <w:rsid w:val="0027221A"/>
    <w:rsid w:val="00275B61"/>
    <w:rsid w:val="002D1F12"/>
    <w:rsid w:val="003009B7"/>
    <w:rsid w:val="0030469C"/>
    <w:rsid w:val="00324409"/>
    <w:rsid w:val="003723D4"/>
    <w:rsid w:val="003949F0"/>
    <w:rsid w:val="003A7D1C"/>
    <w:rsid w:val="0046164A"/>
    <w:rsid w:val="00462DCD"/>
    <w:rsid w:val="00471F16"/>
    <w:rsid w:val="004D1162"/>
    <w:rsid w:val="004E4DD6"/>
    <w:rsid w:val="004F5E36"/>
    <w:rsid w:val="005119A5"/>
    <w:rsid w:val="005278B7"/>
    <w:rsid w:val="005346C8"/>
    <w:rsid w:val="00545CC9"/>
    <w:rsid w:val="00565EA6"/>
    <w:rsid w:val="00594E9F"/>
    <w:rsid w:val="005B61E6"/>
    <w:rsid w:val="005C77E1"/>
    <w:rsid w:val="005D6A2F"/>
    <w:rsid w:val="005E1A82"/>
    <w:rsid w:val="005F0A28"/>
    <w:rsid w:val="005F0E5E"/>
    <w:rsid w:val="00620DEE"/>
    <w:rsid w:val="00625639"/>
    <w:rsid w:val="0064184D"/>
    <w:rsid w:val="00660E3E"/>
    <w:rsid w:val="00662E74"/>
    <w:rsid w:val="006A3189"/>
    <w:rsid w:val="006A58D2"/>
    <w:rsid w:val="006C5579"/>
    <w:rsid w:val="00704BDF"/>
    <w:rsid w:val="00736B13"/>
    <w:rsid w:val="007447F3"/>
    <w:rsid w:val="007661C8"/>
    <w:rsid w:val="007D52CD"/>
    <w:rsid w:val="00813288"/>
    <w:rsid w:val="008168FC"/>
    <w:rsid w:val="008479A2"/>
    <w:rsid w:val="0087637F"/>
    <w:rsid w:val="008903F0"/>
    <w:rsid w:val="008A1512"/>
    <w:rsid w:val="008D0BEB"/>
    <w:rsid w:val="008E566E"/>
    <w:rsid w:val="00901EB6"/>
    <w:rsid w:val="009450CE"/>
    <w:rsid w:val="0095164B"/>
    <w:rsid w:val="00996483"/>
    <w:rsid w:val="009E788A"/>
    <w:rsid w:val="00A1763D"/>
    <w:rsid w:val="00A17CEC"/>
    <w:rsid w:val="00A27EF0"/>
    <w:rsid w:val="00A76EFC"/>
    <w:rsid w:val="00A9626B"/>
    <w:rsid w:val="00A97F29"/>
    <w:rsid w:val="00AB0964"/>
    <w:rsid w:val="00AE377D"/>
    <w:rsid w:val="00B16B76"/>
    <w:rsid w:val="00B61DBF"/>
    <w:rsid w:val="00BC30C9"/>
    <w:rsid w:val="00BE3E58"/>
    <w:rsid w:val="00C01616"/>
    <w:rsid w:val="00C0162B"/>
    <w:rsid w:val="00C345B1"/>
    <w:rsid w:val="00C40142"/>
    <w:rsid w:val="00C57182"/>
    <w:rsid w:val="00C655FD"/>
    <w:rsid w:val="00C867B1"/>
    <w:rsid w:val="00C94434"/>
    <w:rsid w:val="00CA1C95"/>
    <w:rsid w:val="00CA5A9C"/>
    <w:rsid w:val="00CD5FE2"/>
    <w:rsid w:val="00D02B4C"/>
    <w:rsid w:val="00D7128D"/>
    <w:rsid w:val="00D84576"/>
    <w:rsid w:val="00DD45D7"/>
    <w:rsid w:val="00DE0019"/>
    <w:rsid w:val="00DE264A"/>
    <w:rsid w:val="00E041E7"/>
    <w:rsid w:val="00E23CA1"/>
    <w:rsid w:val="00E409A8"/>
    <w:rsid w:val="00E7209D"/>
    <w:rsid w:val="00EA50E1"/>
    <w:rsid w:val="00EE0131"/>
    <w:rsid w:val="00EE0EEE"/>
    <w:rsid w:val="00F30C64"/>
    <w:rsid w:val="00FB730C"/>
    <w:rsid w:val="00FC2695"/>
    <w:rsid w:val="00FC3E03"/>
    <w:rsid w:val="00FE64C1"/>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locked/>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Sprechblasentext">
    <w:name w:val="Balloon Text"/>
    <w:basedOn w:val="Standard"/>
    <w:link w:val="SprechblasentextZchn"/>
    <w:uiPriority w:val="99"/>
    <w:semiHidden/>
    <w:unhideWhenUsed/>
    <w:lock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Standard"/>
    <w:next w:val="Standard"/>
    <w:uiPriority w:val="37"/>
    <w:semiHidden/>
    <w:unhideWhenUsed/>
    <w:rsid w:val="0003148D"/>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lock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unhideWhenUsed/>
    <w:qFormat/>
    <w:locked/>
    <w:rsid w:val="0003148D"/>
    <w:pPr>
      <w:spacing w:line="240" w:lineRule="auto"/>
    </w:pPr>
    <w:rPr>
      <w:b/>
      <w:bCs/>
      <w:color w:val="4F81BD" w:themeColor="accent1"/>
      <w:szCs w:val="18"/>
    </w:rPr>
  </w:style>
  <w:style w:type="paragraph" w:styleId="Liste">
    <w:name w:val="List"/>
    <w:basedOn w:val="Standard"/>
    <w:uiPriority w:val="99"/>
    <w:semiHidden/>
    <w:unhideWhenUsed/>
    <w:locked/>
    <w:rsid w:val="0003148D"/>
    <w:pPr>
      <w:ind w:left="283" w:hanging="283"/>
      <w:contextualSpacing/>
    </w:pPr>
  </w:style>
  <w:style w:type="paragraph" w:styleId="Liste2">
    <w:name w:val="List 2"/>
    <w:basedOn w:val="Standard"/>
    <w:uiPriority w:val="99"/>
    <w:semiHidden/>
    <w:unhideWhenUsed/>
    <w:locked/>
    <w:rsid w:val="0003148D"/>
    <w:pPr>
      <w:ind w:left="566" w:hanging="283"/>
      <w:contextualSpacing/>
    </w:pPr>
  </w:style>
  <w:style w:type="paragraph" w:styleId="Liste3">
    <w:name w:val="List 3"/>
    <w:basedOn w:val="Standard"/>
    <w:uiPriority w:val="99"/>
    <w:semiHidden/>
    <w:unhideWhenUsed/>
    <w:locked/>
    <w:rsid w:val="0003148D"/>
    <w:pPr>
      <w:ind w:left="849" w:hanging="283"/>
      <w:contextualSpacing/>
    </w:pPr>
  </w:style>
  <w:style w:type="paragraph" w:styleId="Liste4">
    <w:name w:val="List 4"/>
    <w:basedOn w:val="Standard"/>
    <w:uiPriority w:val="99"/>
    <w:semiHidden/>
    <w:unhideWhenUsed/>
    <w:locked/>
    <w:rsid w:val="0003148D"/>
    <w:pPr>
      <w:ind w:left="1132" w:hanging="283"/>
      <w:contextualSpacing/>
    </w:pPr>
  </w:style>
  <w:style w:type="paragraph" w:styleId="Liste5">
    <w:name w:val="List 5"/>
    <w:basedOn w:val="Standard"/>
    <w:uiPriority w:val="99"/>
    <w:semiHidden/>
    <w:unhideWhenUsed/>
    <w:locked/>
    <w:rsid w:val="0003148D"/>
    <w:pPr>
      <w:ind w:left="1415" w:hanging="283"/>
      <w:contextualSpacing/>
    </w:pPr>
  </w:style>
  <w:style w:type="paragraph" w:styleId="Listenfortsetzung">
    <w:name w:val="List Continue"/>
    <w:basedOn w:val="Standard"/>
    <w:uiPriority w:val="99"/>
    <w:semiHidden/>
    <w:unhideWhenUsed/>
    <w:locked/>
    <w:rsid w:val="0003148D"/>
    <w:pPr>
      <w:spacing w:after="120"/>
      <w:ind w:left="283"/>
      <w:contextualSpacing/>
    </w:pPr>
  </w:style>
  <w:style w:type="paragraph" w:styleId="Listenfortsetzung2">
    <w:name w:val="List Continue 2"/>
    <w:basedOn w:val="Standard"/>
    <w:uiPriority w:val="99"/>
    <w:semiHidden/>
    <w:unhideWhenUsed/>
    <w:locked/>
    <w:rsid w:val="0003148D"/>
    <w:pPr>
      <w:spacing w:after="120"/>
      <w:ind w:left="566"/>
      <w:contextualSpacing/>
    </w:pPr>
  </w:style>
  <w:style w:type="paragraph" w:styleId="Listenfortsetzung3">
    <w:name w:val="List Continue 3"/>
    <w:basedOn w:val="Standard"/>
    <w:uiPriority w:val="99"/>
    <w:semiHidden/>
    <w:unhideWhenUsed/>
    <w:locked/>
    <w:rsid w:val="0003148D"/>
    <w:pPr>
      <w:spacing w:after="120"/>
      <w:ind w:left="849"/>
      <w:contextualSpacing/>
    </w:pPr>
  </w:style>
  <w:style w:type="paragraph" w:styleId="Listenfortsetzung4">
    <w:name w:val="List Continue 4"/>
    <w:basedOn w:val="Standard"/>
    <w:uiPriority w:val="99"/>
    <w:semiHidden/>
    <w:unhideWhenUsed/>
    <w:locked/>
    <w:rsid w:val="0003148D"/>
    <w:pPr>
      <w:spacing w:after="120"/>
      <w:ind w:left="1132"/>
      <w:contextualSpacing/>
    </w:pPr>
  </w:style>
  <w:style w:type="paragraph" w:styleId="Listenfortsetzung5">
    <w:name w:val="List Continue 5"/>
    <w:basedOn w:val="Standard"/>
    <w:uiPriority w:val="99"/>
    <w:semiHidden/>
    <w:unhideWhenUsed/>
    <w:locked/>
    <w:rsid w:val="0003148D"/>
    <w:pPr>
      <w:spacing w:after="120"/>
      <w:ind w:left="1415"/>
      <w:contextualSpacing/>
    </w:pPr>
  </w:style>
  <w:style w:type="paragraph" w:styleId="Unterschrift">
    <w:name w:val="Signature"/>
    <w:basedOn w:val="Standard"/>
    <w:link w:val="UnterschriftZchn"/>
    <w:uiPriority w:val="99"/>
    <w:semiHidden/>
    <w:unhideWhenUsed/>
    <w:lock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lock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lock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lock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locked/>
    <w:rsid w:val="0003148D"/>
    <w:pPr>
      <w:spacing w:line="240" w:lineRule="auto"/>
      <w:ind w:left="220" w:hanging="220"/>
    </w:pPr>
  </w:style>
  <w:style w:type="paragraph" w:styleId="Index2">
    <w:name w:val="index 2"/>
    <w:basedOn w:val="Standard"/>
    <w:next w:val="Standard"/>
    <w:autoRedefine/>
    <w:uiPriority w:val="99"/>
    <w:semiHidden/>
    <w:unhideWhenUsed/>
    <w:locked/>
    <w:rsid w:val="0003148D"/>
    <w:pPr>
      <w:spacing w:line="240" w:lineRule="auto"/>
      <w:ind w:left="440" w:hanging="220"/>
    </w:pPr>
  </w:style>
  <w:style w:type="paragraph" w:styleId="Index3">
    <w:name w:val="index 3"/>
    <w:basedOn w:val="Standard"/>
    <w:next w:val="Standard"/>
    <w:autoRedefine/>
    <w:uiPriority w:val="99"/>
    <w:semiHidden/>
    <w:unhideWhenUsed/>
    <w:locked/>
    <w:rsid w:val="0003148D"/>
    <w:pPr>
      <w:spacing w:line="240" w:lineRule="auto"/>
      <w:ind w:left="660" w:hanging="220"/>
    </w:pPr>
  </w:style>
  <w:style w:type="paragraph" w:styleId="Index4">
    <w:name w:val="index 4"/>
    <w:basedOn w:val="Standard"/>
    <w:next w:val="Standard"/>
    <w:autoRedefine/>
    <w:uiPriority w:val="99"/>
    <w:semiHidden/>
    <w:unhideWhenUsed/>
    <w:locked/>
    <w:rsid w:val="0003148D"/>
    <w:pPr>
      <w:spacing w:line="240" w:lineRule="auto"/>
      <w:ind w:left="880" w:hanging="220"/>
    </w:pPr>
  </w:style>
  <w:style w:type="paragraph" w:styleId="Index5">
    <w:name w:val="index 5"/>
    <w:basedOn w:val="Standard"/>
    <w:next w:val="Standard"/>
    <w:autoRedefine/>
    <w:uiPriority w:val="99"/>
    <w:semiHidden/>
    <w:unhideWhenUsed/>
    <w:locked/>
    <w:rsid w:val="0003148D"/>
    <w:pPr>
      <w:spacing w:line="240" w:lineRule="auto"/>
      <w:ind w:left="1100" w:hanging="220"/>
    </w:pPr>
  </w:style>
  <w:style w:type="paragraph" w:styleId="Index6">
    <w:name w:val="index 6"/>
    <w:basedOn w:val="Standard"/>
    <w:next w:val="Standard"/>
    <w:autoRedefine/>
    <w:uiPriority w:val="99"/>
    <w:semiHidden/>
    <w:unhideWhenUsed/>
    <w:locked/>
    <w:rsid w:val="0003148D"/>
    <w:pPr>
      <w:spacing w:line="240" w:lineRule="auto"/>
      <w:ind w:left="1320" w:hanging="220"/>
    </w:pPr>
  </w:style>
  <w:style w:type="paragraph" w:styleId="Index7">
    <w:name w:val="index 7"/>
    <w:basedOn w:val="Standard"/>
    <w:next w:val="Standard"/>
    <w:autoRedefine/>
    <w:uiPriority w:val="99"/>
    <w:semiHidden/>
    <w:unhideWhenUsed/>
    <w:locked/>
    <w:rsid w:val="0003148D"/>
    <w:pPr>
      <w:spacing w:line="240" w:lineRule="auto"/>
      <w:ind w:left="1540" w:hanging="220"/>
    </w:pPr>
  </w:style>
  <w:style w:type="paragraph" w:styleId="Index8">
    <w:name w:val="index 8"/>
    <w:basedOn w:val="Standard"/>
    <w:next w:val="Standard"/>
    <w:autoRedefine/>
    <w:uiPriority w:val="99"/>
    <w:semiHidden/>
    <w:unhideWhenUsed/>
    <w:locked/>
    <w:rsid w:val="0003148D"/>
    <w:pPr>
      <w:spacing w:line="240" w:lineRule="auto"/>
      <w:ind w:left="1760" w:hanging="220"/>
    </w:pPr>
  </w:style>
  <w:style w:type="paragraph" w:styleId="Index9">
    <w:name w:val="index 9"/>
    <w:basedOn w:val="Standard"/>
    <w:next w:val="Standard"/>
    <w:autoRedefine/>
    <w:uiPriority w:val="99"/>
    <w:semiHidden/>
    <w:unhideWhenUsed/>
    <w:locked/>
    <w:rsid w:val="0003148D"/>
    <w:pPr>
      <w:spacing w:line="240" w:lineRule="auto"/>
      <w:ind w:left="1980" w:hanging="220"/>
    </w:pPr>
  </w:style>
  <w:style w:type="paragraph" w:styleId="Abbildungsverzeichnis">
    <w:name w:val="table of figures"/>
    <w:basedOn w:val="Standard"/>
    <w:next w:val="Standard"/>
    <w:uiPriority w:val="99"/>
    <w:semiHidden/>
    <w:unhideWhenUsed/>
    <w:locked/>
    <w:rsid w:val="0003148D"/>
  </w:style>
  <w:style w:type="paragraph" w:styleId="Rechtsgrundlagenverzeichnis">
    <w:name w:val="table of authorities"/>
    <w:basedOn w:val="Standard"/>
    <w:next w:val="Standard"/>
    <w:uiPriority w:val="99"/>
    <w:semiHidden/>
    <w:unhideWhenUsed/>
    <w:locked/>
    <w:rsid w:val="0003148D"/>
    <w:pPr>
      <w:ind w:left="220" w:hanging="220"/>
    </w:pPr>
  </w:style>
  <w:style w:type="paragraph" w:styleId="Umschlagadresse">
    <w:name w:val="envelope address"/>
    <w:basedOn w:val="Standard"/>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lock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lock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lock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lock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locked/>
    <w:rsid w:val="0003148D"/>
    <w:rPr>
      <w:sz w:val="24"/>
      <w:szCs w:val="24"/>
    </w:rPr>
  </w:style>
  <w:style w:type="paragraph" w:styleId="Listennummer">
    <w:name w:val="List Number"/>
    <w:basedOn w:val="Standard"/>
    <w:uiPriority w:val="99"/>
    <w:semiHidden/>
    <w:unhideWhenUsed/>
    <w:locked/>
    <w:rsid w:val="0003148D"/>
    <w:pPr>
      <w:numPr>
        <w:numId w:val="2"/>
      </w:numPr>
      <w:contextualSpacing/>
    </w:pPr>
  </w:style>
  <w:style w:type="paragraph" w:styleId="Listennummer2">
    <w:name w:val="List Number 2"/>
    <w:basedOn w:val="Standard"/>
    <w:uiPriority w:val="99"/>
    <w:semiHidden/>
    <w:unhideWhenUsed/>
    <w:locked/>
    <w:rsid w:val="0003148D"/>
    <w:pPr>
      <w:numPr>
        <w:numId w:val="3"/>
      </w:numPr>
      <w:contextualSpacing/>
    </w:pPr>
  </w:style>
  <w:style w:type="paragraph" w:styleId="Listennummer3">
    <w:name w:val="List Number 3"/>
    <w:basedOn w:val="Standard"/>
    <w:uiPriority w:val="99"/>
    <w:semiHidden/>
    <w:unhideWhenUsed/>
    <w:locked/>
    <w:rsid w:val="0003148D"/>
    <w:pPr>
      <w:numPr>
        <w:numId w:val="4"/>
      </w:numPr>
      <w:contextualSpacing/>
    </w:pPr>
  </w:style>
  <w:style w:type="paragraph" w:styleId="Listennummer4">
    <w:name w:val="List Number 4"/>
    <w:basedOn w:val="Standard"/>
    <w:uiPriority w:val="99"/>
    <w:semiHidden/>
    <w:unhideWhenUsed/>
    <w:locked/>
    <w:rsid w:val="0003148D"/>
    <w:pPr>
      <w:numPr>
        <w:numId w:val="5"/>
      </w:numPr>
      <w:contextualSpacing/>
    </w:pPr>
  </w:style>
  <w:style w:type="paragraph" w:styleId="Listennummer5">
    <w:name w:val="List Number 5"/>
    <w:basedOn w:val="Standard"/>
    <w:uiPriority w:val="99"/>
    <w:semiHidden/>
    <w:unhideWhenUsed/>
    <w:locked/>
    <w:rsid w:val="0003148D"/>
    <w:pPr>
      <w:numPr>
        <w:numId w:val="6"/>
      </w:numPr>
      <w:contextualSpacing/>
    </w:pPr>
  </w:style>
  <w:style w:type="paragraph" w:styleId="HTMLVorformatiert">
    <w:name w:val="HTML Preformatted"/>
    <w:basedOn w:val="Standard"/>
    <w:link w:val="HTMLVorformatiertZchn"/>
    <w:uiPriority w:val="99"/>
    <w:semiHidden/>
    <w:unhideWhenUsed/>
    <w:lock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lock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lock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lock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locked/>
    <w:rsid w:val="0003148D"/>
    <w:pPr>
      <w:numPr>
        <w:numId w:val="7"/>
      </w:numPr>
      <w:contextualSpacing/>
    </w:pPr>
  </w:style>
  <w:style w:type="paragraph" w:styleId="Aufzhlungszeichen2">
    <w:name w:val="List Bullet 2"/>
    <w:basedOn w:val="Standard"/>
    <w:uiPriority w:val="99"/>
    <w:semiHidden/>
    <w:unhideWhenUsed/>
    <w:locked/>
    <w:rsid w:val="0003148D"/>
    <w:pPr>
      <w:numPr>
        <w:numId w:val="8"/>
      </w:numPr>
      <w:contextualSpacing/>
    </w:pPr>
  </w:style>
  <w:style w:type="paragraph" w:styleId="Aufzhlungszeichen3">
    <w:name w:val="List Bullet 3"/>
    <w:basedOn w:val="Standard"/>
    <w:uiPriority w:val="99"/>
    <w:semiHidden/>
    <w:unhideWhenUsed/>
    <w:locked/>
    <w:rsid w:val="0003148D"/>
    <w:pPr>
      <w:numPr>
        <w:numId w:val="9"/>
      </w:numPr>
      <w:contextualSpacing/>
    </w:pPr>
  </w:style>
  <w:style w:type="paragraph" w:styleId="Aufzhlungszeichen4">
    <w:name w:val="List Bullet 4"/>
    <w:basedOn w:val="Standard"/>
    <w:uiPriority w:val="99"/>
    <w:semiHidden/>
    <w:unhideWhenUsed/>
    <w:locked/>
    <w:rsid w:val="0003148D"/>
    <w:pPr>
      <w:numPr>
        <w:numId w:val="10"/>
      </w:numPr>
      <w:contextualSpacing/>
    </w:pPr>
  </w:style>
  <w:style w:type="paragraph" w:styleId="Aufzhlungszeichen5">
    <w:name w:val="List Bullet 5"/>
    <w:basedOn w:val="Standard"/>
    <w:uiPriority w:val="99"/>
    <w:semiHidden/>
    <w:unhideWhenUsed/>
    <w:locked/>
    <w:rsid w:val="0003148D"/>
    <w:pPr>
      <w:numPr>
        <w:numId w:val="11"/>
      </w:numPr>
      <w:contextualSpacing/>
    </w:pPr>
  </w:style>
  <w:style w:type="paragraph" w:styleId="Textkrper-Einzug2">
    <w:name w:val="Body Text Indent 2"/>
    <w:basedOn w:val="Standard"/>
    <w:link w:val="Textkrper-Einzug2Zchn"/>
    <w:uiPriority w:val="99"/>
    <w:semiHidden/>
    <w:unhideWhenUsed/>
    <w:lock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lock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locked/>
    <w:rsid w:val="0003148D"/>
    <w:pPr>
      <w:ind w:left="720"/>
    </w:pPr>
  </w:style>
  <w:style w:type="paragraph" w:styleId="Kommentartext">
    <w:name w:val="annotation text"/>
    <w:basedOn w:val="Standard"/>
    <w:link w:val="KommentartextZchn"/>
    <w:uiPriority w:val="99"/>
    <w:semiHidden/>
    <w:unhideWhenUsed/>
    <w:locked/>
    <w:rsid w:val="0003148D"/>
    <w:pPr>
      <w:spacing w:line="240" w:lineRule="auto"/>
    </w:pPr>
  </w:style>
  <w:style w:type="character" w:customStyle="1" w:styleId="KommentartextZchn">
    <w:name w:val="Kommentartext Zchn"/>
    <w:basedOn w:val="Absatz-Standardschriftart"/>
    <w:link w:val="Kommentartext"/>
    <w:uiPriority w:val="99"/>
    <w:semiHidden/>
    <w:rsid w:val="0003148D"/>
    <w:rPr>
      <w:sz w:val="20"/>
      <w:szCs w:val="20"/>
    </w:rPr>
  </w:style>
  <w:style w:type="paragraph" w:styleId="Kommentarthema">
    <w:name w:val="annotation subject"/>
    <w:basedOn w:val="Kommentartext"/>
    <w:next w:val="Kommentartext"/>
    <w:link w:val="KommentarthemaZchn"/>
    <w:uiPriority w:val="99"/>
    <w:semiHidden/>
    <w:unhideWhenUsed/>
    <w:lock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locked/>
    <w:rsid w:val="0003148D"/>
    <w:pPr>
      <w:spacing w:after="100"/>
    </w:pPr>
  </w:style>
  <w:style w:type="paragraph" w:styleId="Verzeichnis2">
    <w:name w:val="toc 2"/>
    <w:basedOn w:val="Standard"/>
    <w:next w:val="Standard"/>
    <w:autoRedefine/>
    <w:uiPriority w:val="39"/>
    <w:semiHidden/>
    <w:unhideWhenUsed/>
    <w:locked/>
    <w:rsid w:val="0003148D"/>
    <w:pPr>
      <w:spacing w:after="100"/>
      <w:ind w:left="220"/>
    </w:pPr>
  </w:style>
  <w:style w:type="paragraph" w:styleId="Verzeichnis3">
    <w:name w:val="toc 3"/>
    <w:basedOn w:val="Standard"/>
    <w:next w:val="Standard"/>
    <w:autoRedefine/>
    <w:uiPriority w:val="39"/>
    <w:semiHidden/>
    <w:unhideWhenUsed/>
    <w:locked/>
    <w:rsid w:val="0003148D"/>
    <w:pPr>
      <w:spacing w:after="100"/>
      <w:ind w:left="440"/>
    </w:pPr>
  </w:style>
  <w:style w:type="paragraph" w:styleId="Verzeichnis4">
    <w:name w:val="toc 4"/>
    <w:basedOn w:val="Standard"/>
    <w:next w:val="Standard"/>
    <w:autoRedefine/>
    <w:uiPriority w:val="39"/>
    <w:semiHidden/>
    <w:unhideWhenUsed/>
    <w:locked/>
    <w:rsid w:val="0003148D"/>
    <w:pPr>
      <w:spacing w:after="100"/>
      <w:ind w:left="660"/>
    </w:pPr>
  </w:style>
  <w:style w:type="paragraph" w:styleId="Verzeichnis5">
    <w:name w:val="toc 5"/>
    <w:basedOn w:val="Standard"/>
    <w:next w:val="Standard"/>
    <w:autoRedefine/>
    <w:uiPriority w:val="39"/>
    <w:semiHidden/>
    <w:unhideWhenUsed/>
    <w:locked/>
    <w:rsid w:val="0003148D"/>
    <w:pPr>
      <w:spacing w:after="100"/>
      <w:ind w:left="880"/>
    </w:pPr>
  </w:style>
  <w:style w:type="paragraph" w:styleId="Verzeichnis6">
    <w:name w:val="toc 6"/>
    <w:basedOn w:val="Standard"/>
    <w:next w:val="Standard"/>
    <w:autoRedefine/>
    <w:uiPriority w:val="39"/>
    <w:semiHidden/>
    <w:unhideWhenUsed/>
    <w:locked/>
    <w:rsid w:val="0003148D"/>
    <w:pPr>
      <w:spacing w:after="100"/>
      <w:ind w:left="1100"/>
    </w:pPr>
  </w:style>
  <w:style w:type="paragraph" w:styleId="Verzeichnis7">
    <w:name w:val="toc 7"/>
    <w:basedOn w:val="Standard"/>
    <w:next w:val="Standard"/>
    <w:autoRedefine/>
    <w:uiPriority w:val="39"/>
    <w:semiHidden/>
    <w:unhideWhenUsed/>
    <w:locked/>
    <w:rsid w:val="0003148D"/>
    <w:pPr>
      <w:spacing w:after="100"/>
      <w:ind w:left="1320"/>
    </w:pPr>
  </w:style>
  <w:style w:type="paragraph" w:styleId="Verzeichnis8">
    <w:name w:val="toc 8"/>
    <w:basedOn w:val="Standard"/>
    <w:next w:val="Standard"/>
    <w:autoRedefine/>
    <w:uiPriority w:val="39"/>
    <w:semiHidden/>
    <w:unhideWhenUsed/>
    <w:locked/>
    <w:rsid w:val="0003148D"/>
    <w:pPr>
      <w:spacing w:after="100"/>
      <w:ind w:left="1540"/>
    </w:pPr>
  </w:style>
  <w:style w:type="paragraph" w:styleId="Verzeichnis9">
    <w:name w:val="toc 9"/>
    <w:basedOn w:val="Standard"/>
    <w:next w:val="Standard"/>
    <w:autoRedefine/>
    <w:uiPriority w:val="39"/>
    <w:semiHidden/>
    <w:unhideWhenUsed/>
    <w:locked/>
    <w:rsid w:val="0003148D"/>
    <w:pPr>
      <w:spacing w:after="100"/>
      <w:ind w:left="1760"/>
    </w:pPr>
  </w:style>
  <w:style w:type="paragraph" w:styleId="Blocktext">
    <w:name w:val="Block Text"/>
    <w:basedOn w:val="Standard"/>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lock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lock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lock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lock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Kopfzeile">
    <w:name w:val="header"/>
    <w:basedOn w:val="Standard"/>
    <w:link w:val="KopfzeileZchn"/>
    <w:uiPriority w:val="99"/>
    <w:unhideWhenUsed/>
    <w:lock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lock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Standard"/>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Standard"/>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Standard"/>
    <w:rsid w:val="00704BDF"/>
    <w:pPr>
      <w:tabs>
        <w:tab w:val="clear" w:pos="7100"/>
      </w:tabs>
      <w:spacing w:line="240" w:lineRule="atLeast"/>
    </w:pPr>
    <w:rPr>
      <w:rFonts w:ascii="Times" w:hAnsi="Times"/>
      <w:sz w:val="20"/>
      <w:lang w:val="en-US"/>
    </w:rPr>
  </w:style>
  <w:style w:type="paragraph" w:customStyle="1" w:styleId="SectionBody">
    <w:name w:val="Section Body"/>
    <w:rsid w:val="00545CC9"/>
    <w:pPr>
      <w:spacing w:after="0" w:line="240" w:lineRule="auto"/>
      <w:ind w:firstLine="340"/>
      <w:jc w:val="both"/>
    </w:pPr>
    <w:rPr>
      <w:rFonts w:ascii="Times New Roman" w:eastAsia="Times New Roman" w:hAnsi="Times New Roman" w:cs="Times New Roman"/>
      <w:sz w:val="20"/>
      <w:szCs w:val="20"/>
      <w:lang w:val="en-US" w:eastAsia="pt-BR"/>
    </w:rPr>
  </w:style>
  <w:style w:type="paragraph" w:customStyle="1" w:styleId="EstiloSubttuloLatimArial10ptNegritoesquerdaAntes">
    <w:name w:val="Estilo Subtítulo + (Latim) Arial 10 pt Negrito À esquerda Antes:..."/>
    <w:basedOn w:val="Untertitel"/>
    <w:rsid w:val="00545CC9"/>
    <w:pPr>
      <w:widowControl w:val="0"/>
      <w:numPr>
        <w:ilvl w:val="0"/>
      </w:numPr>
      <w:tabs>
        <w:tab w:val="clear" w:pos="7100"/>
      </w:tabs>
      <w:spacing w:before="240" w:after="240" w:line="240" w:lineRule="auto"/>
      <w:jc w:val="left"/>
    </w:pPr>
    <w:rPr>
      <w:rFonts w:ascii="Arial" w:eastAsia="Times New Roman" w:hAnsi="Arial" w:cs="Times New Roman"/>
      <w:b/>
      <w:bCs/>
      <w:color w:val="auto"/>
      <w:spacing w:val="0"/>
      <w:kern w:val="2"/>
      <w:sz w:val="20"/>
      <w:szCs w:val="20"/>
      <w:lang w:val="en-US" w:eastAsia="ja-JP"/>
    </w:rPr>
  </w:style>
  <w:style w:type="paragraph" w:styleId="Untertitel">
    <w:name w:val="Subtitle"/>
    <w:basedOn w:val="Standard"/>
    <w:next w:val="Standard"/>
    <w:link w:val="UntertitelZchn"/>
    <w:uiPriority w:val="11"/>
    <w:locked/>
    <w:rsid w:val="00545CC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545CC9"/>
    <w:rPr>
      <w:rFonts w:eastAsiaTheme="minorEastAsia"/>
      <w:color w:val="5A5A5A" w:themeColor="text1" w:themeTint="A5"/>
      <w:spacing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143070">
      <w:bodyDiv w:val="1"/>
      <w:marLeft w:val="0"/>
      <w:marRight w:val="0"/>
      <w:marTop w:val="0"/>
      <w:marBottom w:val="0"/>
      <w:divBdr>
        <w:top w:val="none" w:sz="0" w:space="0" w:color="auto"/>
        <w:left w:val="none" w:sz="0" w:space="0" w:color="auto"/>
        <w:bottom w:val="none" w:sz="0" w:space="0" w:color="auto"/>
        <w:right w:val="none" w:sz="0" w:space="0" w:color="auto"/>
      </w:divBdr>
    </w:div>
    <w:div w:id="896209736">
      <w:bodyDiv w:val="1"/>
      <w:marLeft w:val="0"/>
      <w:marRight w:val="0"/>
      <w:marTop w:val="0"/>
      <w:marBottom w:val="0"/>
      <w:divBdr>
        <w:top w:val="none" w:sz="0" w:space="0" w:color="auto"/>
        <w:left w:val="none" w:sz="0" w:space="0" w:color="auto"/>
        <w:bottom w:val="none" w:sz="0" w:space="0" w:color="auto"/>
        <w:right w:val="none" w:sz="0" w:space="0" w:color="auto"/>
      </w:divBdr>
    </w:div>
    <w:div w:id="1349525553">
      <w:bodyDiv w:val="1"/>
      <w:marLeft w:val="0"/>
      <w:marRight w:val="0"/>
      <w:marTop w:val="0"/>
      <w:marBottom w:val="0"/>
      <w:divBdr>
        <w:top w:val="none" w:sz="0" w:space="0" w:color="auto"/>
        <w:left w:val="none" w:sz="0" w:space="0" w:color="auto"/>
        <w:bottom w:val="none" w:sz="0" w:space="0" w:color="auto"/>
        <w:right w:val="none" w:sz="0" w:space="0" w:color="auto"/>
      </w:divBdr>
    </w:div>
    <w:div w:id="165710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8CBFB-2F7C-4C79-950F-551C2D422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683</Words>
  <Characters>4307</Characters>
  <Application>Microsoft Office Word</Application>
  <DocSecurity>0</DocSecurity>
  <Lines>35</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sm1jfi</cp:lastModifiedBy>
  <cp:revision>5</cp:revision>
  <cp:lastPrinted>2015-05-12T18:31:00Z</cp:lastPrinted>
  <dcterms:created xsi:type="dcterms:W3CDTF">2019-01-14T17:06:00Z</dcterms:created>
  <dcterms:modified xsi:type="dcterms:W3CDTF">2019-01-15T16:44:00Z</dcterms:modified>
</cp:coreProperties>
</file>