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EB548"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31FD734F" w14:textId="77777777" w:rsidR="00704BDF" w:rsidRPr="00DE0019" w:rsidRDefault="009900C7"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t>Micro-computed tomography for structural analysis of heterogenous ion-exchange membranes</w:t>
      </w:r>
      <w:r w:rsidR="00704BDF" w:rsidRPr="00DE0019">
        <w:rPr>
          <w:rFonts w:asciiTheme="minorHAnsi" w:eastAsia="MS PGothic" w:hAnsiTheme="minorHAnsi"/>
          <w:b/>
          <w:bCs/>
          <w:sz w:val="28"/>
          <w:szCs w:val="28"/>
          <w:lang w:val="en-US"/>
        </w:rPr>
        <w:t>.</w:t>
      </w:r>
    </w:p>
    <w:p w14:paraId="633D639B" w14:textId="77777777" w:rsidR="009900C7" w:rsidRDefault="009900C7" w:rsidP="00704BDF">
      <w:pPr>
        <w:snapToGrid w:val="0"/>
        <w:spacing w:after="120"/>
        <w:jc w:val="center"/>
        <w:rPr>
          <w:rFonts w:asciiTheme="minorHAnsi" w:eastAsia="SimSun" w:hAnsiTheme="minorHAnsi"/>
          <w:color w:val="000000"/>
          <w:sz w:val="24"/>
          <w:szCs w:val="24"/>
          <w:vertAlign w:val="superscript"/>
          <w:lang w:val="en-US" w:eastAsia="zh-CN"/>
        </w:rPr>
      </w:pPr>
      <w:proofErr w:type="spellStart"/>
      <w:r>
        <w:rPr>
          <w:rFonts w:asciiTheme="minorHAnsi" w:eastAsia="SimSun" w:hAnsiTheme="minorHAnsi"/>
          <w:color w:val="000000"/>
          <w:sz w:val="24"/>
          <w:szCs w:val="24"/>
          <w:u w:val="single"/>
          <w:lang w:val="en-US" w:eastAsia="zh-CN"/>
        </w:rPr>
        <w:t>Miloš</w:t>
      </w:r>
      <w:proofErr w:type="spellEnd"/>
      <w:r>
        <w:rPr>
          <w:rFonts w:asciiTheme="minorHAnsi" w:eastAsia="SimSun" w:hAnsiTheme="minorHAnsi"/>
          <w:color w:val="000000"/>
          <w:sz w:val="24"/>
          <w:szCs w:val="24"/>
          <w:u w:val="single"/>
          <w:lang w:val="en-US" w:eastAsia="zh-CN"/>
        </w:rPr>
        <w:t xml:space="preserve"> Svoboda</w:t>
      </w:r>
      <w:r w:rsidRPr="009900C7">
        <w:rPr>
          <w:rFonts w:asciiTheme="minorHAnsi" w:eastAsia="SimSun" w:hAnsiTheme="minorHAnsi"/>
          <w:color w:val="000000"/>
          <w:sz w:val="24"/>
          <w:szCs w:val="24"/>
          <w:u w:val="single"/>
          <w:vertAlign w:val="superscript"/>
          <w:lang w:val="en-US" w:eastAsia="zh-CN"/>
        </w:rPr>
        <w:t>1,2*</w:t>
      </w:r>
      <w:r w:rsidR="00736B13" w:rsidRPr="00DE0019">
        <w:rPr>
          <w:rFonts w:asciiTheme="minorHAnsi" w:eastAsia="SimSun" w:hAnsiTheme="minorHAnsi"/>
          <w:color w:val="000000"/>
          <w:sz w:val="24"/>
          <w:szCs w:val="24"/>
          <w:lang w:val="en-US" w:eastAsia="zh-CN"/>
        </w:rPr>
        <w:t>,</w:t>
      </w:r>
      <w:r>
        <w:rPr>
          <w:rFonts w:asciiTheme="minorHAnsi" w:eastAsia="SimSun" w:hAnsiTheme="minorHAnsi"/>
          <w:color w:val="000000"/>
          <w:sz w:val="24"/>
          <w:szCs w:val="24"/>
          <w:lang w:val="en-US" w:eastAsia="zh-CN"/>
        </w:rPr>
        <w:t xml:space="preserve"> Jan Beneš</w:t>
      </w:r>
      <w:r w:rsidRPr="009900C7">
        <w:rPr>
          <w:rFonts w:asciiTheme="minorHAnsi" w:eastAsia="SimSun" w:hAnsiTheme="minorHAnsi"/>
          <w:color w:val="000000"/>
          <w:sz w:val="24"/>
          <w:szCs w:val="24"/>
          <w:vertAlign w:val="superscript"/>
          <w:lang w:val="en-US" w:eastAsia="zh-CN"/>
        </w:rPr>
        <w:t>2</w:t>
      </w:r>
      <w:r>
        <w:rPr>
          <w:rFonts w:asciiTheme="minorHAnsi" w:eastAsia="SimSun" w:hAnsiTheme="minorHAnsi"/>
          <w:color w:val="000000"/>
          <w:sz w:val="24"/>
          <w:szCs w:val="24"/>
          <w:lang w:val="en-US" w:eastAsia="zh-CN"/>
        </w:rPr>
        <w:t>, Lucie Vobecká</w:t>
      </w:r>
      <w:r w:rsidRPr="009900C7">
        <w:rPr>
          <w:rFonts w:asciiTheme="minorHAnsi" w:eastAsia="SimSun" w:hAnsiTheme="minorHAnsi"/>
          <w:color w:val="000000"/>
          <w:sz w:val="24"/>
          <w:szCs w:val="24"/>
          <w:vertAlign w:val="superscript"/>
          <w:lang w:val="en-US" w:eastAsia="zh-CN"/>
        </w:rPr>
        <w:t>1</w:t>
      </w:r>
      <w:r>
        <w:rPr>
          <w:rFonts w:asciiTheme="minorHAnsi" w:eastAsia="SimSun" w:hAnsiTheme="minorHAnsi"/>
          <w:color w:val="000000"/>
          <w:sz w:val="24"/>
          <w:szCs w:val="24"/>
          <w:lang w:val="en-US" w:eastAsia="zh-CN"/>
        </w:rPr>
        <w:t xml:space="preserve">, </w:t>
      </w:r>
      <w:proofErr w:type="spellStart"/>
      <w:r>
        <w:rPr>
          <w:rFonts w:asciiTheme="minorHAnsi" w:eastAsia="SimSun" w:hAnsiTheme="minorHAnsi"/>
          <w:color w:val="000000"/>
          <w:sz w:val="24"/>
          <w:szCs w:val="24"/>
          <w:lang w:val="en-US" w:eastAsia="zh-CN"/>
        </w:rPr>
        <w:t>Zdeněk</w:t>
      </w:r>
      <w:proofErr w:type="spellEnd"/>
      <w:r>
        <w:rPr>
          <w:rFonts w:asciiTheme="minorHAnsi" w:eastAsia="SimSun" w:hAnsiTheme="minorHAnsi"/>
          <w:color w:val="000000"/>
          <w:sz w:val="24"/>
          <w:szCs w:val="24"/>
          <w:lang w:val="en-US" w:eastAsia="zh-CN"/>
        </w:rPr>
        <w:t xml:space="preserve"> Slouka</w:t>
      </w:r>
      <w:r w:rsidRPr="009900C7">
        <w:rPr>
          <w:rFonts w:asciiTheme="minorHAnsi" w:eastAsia="SimSun" w:hAnsiTheme="minorHAnsi"/>
          <w:color w:val="000000"/>
          <w:sz w:val="24"/>
          <w:szCs w:val="24"/>
          <w:vertAlign w:val="superscript"/>
          <w:lang w:val="en-US" w:eastAsia="zh-CN"/>
        </w:rPr>
        <w:t>1,2</w:t>
      </w:r>
    </w:p>
    <w:p w14:paraId="45231D35" w14:textId="77777777" w:rsidR="009900C7" w:rsidRDefault="009900C7" w:rsidP="00704BDF">
      <w:pPr>
        <w:snapToGrid w:val="0"/>
        <w:spacing w:after="120"/>
        <w:jc w:val="center"/>
        <w:rPr>
          <w:rFonts w:asciiTheme="minorHAnsi" w:eastAsia="SimSun" w:hAnsiTheme="minorHAnsi"/>
          <w:color w:val="000000"/>
          <w:sz w:val="24"/>
          <w:szCs w:val="24"/>
          <w:lang w:val="en-US" w:eastAsia="zh-CN"/>
        </w:rPr>
      </w:pPr>
    </w:p>
    <w:p w14:paraId="5D370B5C" w14:textId="302957F7" w:rsidR="009900C7" w:rsidRPr="008A5DD7" w:rsidRDefault="009900C7" w:rsidP="009900C7">
      <w:pPr>
        <w:spacing w:before="120" w:after="120" w:line="240" w:lineRule="auto"/>
        <w:rPr>
          <w:rFonts w:asciiTheme="minorHAnsi" w:eastAsia="MS PGothic" w:hAnsiTheme="minorHAnsi" w:cstheme="minorHAnsi"/>
          <w:i/>
          <w:iCs/>
          <w:color w:val="000000"/>
          <w:sz w:val="20"/>
          <w:lang w:val="en-US"/>
        </w:rPr>
      </w:pPr>
      <w:r w:rsidRPr="008A5DD7">
        <w:rPr>
          <w:rFonts w:asciiTheme="minorHAnsi" w:eastAsia="MS PGothic" w:hAnsiTheme="minorHAnsi" w:cstheme="minorHAnsi"/>
          <w:i/>
          <w:iCs/>
          <w:color w:val="000000"/>
          <w:sz w:val="20"/>
          <w:lang w:val="en-US"/>
        </w:rPr>
        <w:t xml:space="preserve">1 University of Chemistry and Technology Prague, Department of Chemical Engineering, </w:t>
      </w:r>
      <w:proofErr w:type="spellStart"/>
      <w:r w:rsidRPr="008A5DD7">
        <w:rPr>
          <w:rFonts w:asciiTheme="minorHAnsi" w:eastAsia="MS PGothic" w:hAnsiTheme="minorHAnsi" w:cstheme="minorHAnsi"/>
          <w:i/>
          <w:iCs/>
          <w:color w:val="000000"/>
          <w:sz w:val="20"/>
          <w:lang w:val="en-US"/>
        </w:rPr>
        <w:t>Technická</w:t>
      </w:r>
      <w:proofErr w:type="spellEnd"/>
      <w:r w:rsidRPr="008A5DD7">
        <w:rPr>
          <w:rFonts w:asciiTheme="minorHAnsi" w:eastAsia="MS PGothic" w:hAnsiTheme="minorHAnsi" w:cstheme="minorHAnsi"/>
          <w:i/>
          <w:iCs/>
          <w:color w:val="000000"/>
          <w:sz w:val="20"/>
          <w:lang w:val="en-US"/>
        </w:rPr>
        <w:t xml:space="preserve"> 3, Prague 6, 16628, Czech Republic</w:t>
      </w:r>
      <w:r w:rsidR="008A5DD7">
        <w:rPr>
          <w:rFonts w:asciiTheme="minorHAnsi" w:eastAsia="MS PGothic" w:hAnsiTheme="minorHAnsi" w:cstheme="minorHAnsi"/>
          <w:i/>
          <w:iCs/>
          <w:color w:val="000000"/>
          <w:sz w:val="20"/>
          <w:lang w:val="en-US"/>
        </w:rPr>
        <w:t xml:space="preserve">, </w:t>
      </w:r>
      <w:r w:rsidRPr="008A5DD7">
        <w:rPr>
          <w:rFonts w:asciiTheme="minorHAnsi" w:eastAsia="MS PGothic" w:hAnsiTheme="minorHAnsi" w:cstheme="minorHAnsi"/>
          <w:i/>
          <w:iCs/>
          <w:color w:val="000000"/>
          <w:sz w:val="20"/>
          <w:lang w:val="en-US"/>
        </w:rPr>
        <w:t xml:space="preserve">2 University of West Bohemia, New Technologies - Research Centre, </w:t>
      </w:r>
      <w:proofErr w:type="spellStart"/>
      <w:r w:rsidRPr="008A5DD7">
        <w:rPr>
          <w:rFonts w:asciiTheme="minorHAnsi" w:eastAsia="MS PGothic" w:hAnsiTheme="minorHAnsi" w:cstheme="minorHAnsi"/>
          <w:i/>
          <w:iCs/>
          <w:color w:val="000000"/>
          <w:sz w:val="20"/>
          <w:lang w:val="en-US"/>
        </w:rPr>
        <w:t>Univerzitní</w:t>
      </w:r>
      <w:proofErr w:type="spellEnd"/>
      <w:r w:rsidRPr="008A5DD7">
        <w:rPr>
          <w:rFonts w:asciiTheme="minorHAnsi" w:eastAsia="MS PGothic" w:hAnsiTheme="minorHAnsi" w:cstheme="minorHAnsi"/>
          <w:i/>
          <w:iCs/>
          <w:color w:val="000000"/>
          <w:sz w:val="20"/>
          <w:lang w:val="en-US"/>
        </w:rPr>
        <w:t xml:space="preserve"> 8, </w:t>
      </w:r>
      <w:proofErr w:type="spellStart"/>
      <w:r w:rsidRPr="008A5DD7">
        <w:rPr>
          <w:rFonts w:asciiTheme="minorHAnsi" w:eastAsia="MS PGothic" w:hAnsiTheme="minorHAnsi" w:cstheme="minorHAnsi"/>
          <w:i/>
          <w:iCs/>
          <w:color w:val="000000"/>
          <w:sz w:val="20"/>
          <w:lang w:val="en-US"/>
        </w:rPr>
        <w:t>Plzeň</w:t>
      </w:r>
      <w:proofErr w:type="spellEnd"/>
      <w:r w:rsidRPr="008A5DD7">
        <w:rPr>
          <w:rFonts w:asciiTheme="minorHAnsi" w:eastAsia="MS PGothic" w:hAnsiTheme="minorHAnsi" w:cstheme="minorHAnsi"/>
          <w:i/>
          <w:iCs/>
          <w:color w:val="000000"/>
          <w:sz w:val="20"/>
          <w:lang w:val="en-US"/>
        </w:rPr>
        <w:t xml:space="preserve"> 30614, Czech Republic</w:t>
      </w:r>
    </w:p>
    <w:p w14:paraId="23BBA45C" w14:textId="77777777" w:rsidR="00704BDF" w:rsidRPr="009900C7" w:rsidRDefault="00DE0019" w:rsidP="009900C7">
      <w:pPr>
        <w:snapToGrid w:val="0"/>
        <w:spacing w:after="120"/>
        <w:jc w:val="center"/>
        <w:rPr>
          <w:rFonts w:eastAsia="SimSun"/>
          <w:color w:val="000000"/>
          <w:lang w:val="en-US" w:eastAsia="zh-CN"/>
        </w:rPr>
      </w:pPr>
      <w:r>
        <w:rPr>
          <w:rFonts w:eastAsia="SimSun"/>
          <w:color w:val="000000"/>
          <w:lang w:val="en-US" w:eastAsia="zh-CN"/>
        </w:rPr>
        <w:t xml:space="preserve"> </w:t>
      </w:r>
      <w:r w:rsidR="00704BDF" w:rsidRPr="00DE0019">
        <w:rPr>
          <w:rFonts w:asciiTheme="minorHAnsi" w:eastAsia="MS PGothic" w:hAnsiTheme="minorHAnsi"/>
          <w:bCs/>
          <w:i/>
          <w:iCs/>
          <w:color w:val="000000"/>
          <w:sz w:val="20"/>
          <w:lang w:val="en-US"/>
        </w:rPr>
        <w:t>*Corresponding author</w:t>
      </w:r>
      <w:r w:rsidR="00704BDF" w:rsidRPr="00DE0019">
        <w:rPr>
          <w:rFonts w:asciiTheme="minorHAnsi" w:eastAsia="MS PGothic" w:hAnsiTheme="minorHAnsi"/>
          <w:bCs/>
          <w:i/>
          <w:iCs/>
          <w:sz w:val="20"/>
          <w:lang w:val="en-US" w:eastAsia="ko-KR"/>
        </w:rPr>
        <w:t>:</w:t>
      </w:r>
      <w:r w:rsidR="00704BDF" w:rsidRPr="00DE0019">
        <w:rPr>
          <w:rFonts w:asciiTheme="minorHAnsi" w:eastAsia="MS PGothic" w:hAnsiTheme="minorHAnsi"/>
          <w:bCs/>
          <w:i/>
          <w:iCs/>
          <w:sz w:val="20"/>
          <w:lang w:val="en-US"/>
        </w:rPr>
        <w:t xml:space="preserve"> </w:t>
      </w:r>
      <w:r w:rsidR="009900C7" w:rsidRPr="009900C7">
        <w:rPr>
          <w:rFonts w:asciiTheme="minorHAnsi" w:eastAsia="MS PGothic" w:hAnsiTheme="minorHAnsi"/>
          <w:bCs/>
          <w:i/>
          <w:iCs/>
          <w:color w:val="000000"/>
          <w:sz w:val="20"/>
          <w:lang w:val="en-US"/>
        </w:rPr>
        <w:t>milossvo@ntc.zcu.cz</w:t>
      </w:r>
    </w:p>
    <w:p w14:paraId="709D3263" w14:textId="77777777"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14:paraId="59A2FF6B" w14:textId="77777777" w:rsidR="00704BDF" w:rsidRPr="00EC66CC" w:rsidRDefault="00DF26D2" w:rsidP="00704BDF">
      <w:pPr>
        <w:pStyle w:val="AbstractBody"/>
        <w:numPr>
          <w:ilvl w:val="0"/>
          <w:numId w:val="16"/>
        </w:numPr>
        <w:rPr>
          <w:rFonts w:asciiTheme="minorHAnsi" w:hAnsiTheme="minorHAnsi"/>
        </w:rPr>
      </w:pPr>
      <w:r>
        <w:rPr>
          <w:rFonts w:asciiTheme="minorHAnsi" w:hAnsiTheme="minorHAnsi"/>
        </w:rPr>
        <w:t>Micro-CT</w:t>
      </w:r>
      <w:r w:rsidR="009900C7">
        <w:rPr>
          <w:rFonts w:asciiTheme="minorHAnsi" w:hAnsiTheme="minorHAnsi"/>
        </w:rPr>
        <w:t xml:space="preserve"> for structural analysis of ion-exchange membranes in their swollen state</w:t>
      </w:r>
      <w:r w:rsidR="00704BDF" w:rsidRPr="00EC66CC">
        <w:rPr>
          <w:rFonts w:asciiTheme="minorHAnsi" w:hAnsiTheme="minorHAnsi"/>
        </w:rPr>
        <w:t>.</w:t>
      </w:r>
    </w:p>
    <w:p w14:paraId="5D2D84A9" w14:textId="77777777" w:rsidR="00704BDF" w:rsidRPr="00EC66CC" w:rsidRDefault="00DF26D2" w:rsidP="00704BDF">
      <w:pPr>
        <w:pStyle w:val="AbstractBody"/>
        <w:numPr>
          <w:ilvl w:val="0"/>
          <w:numId w:val="16"/>
        </w:numPr>
        <w:rPr>
          <w:rFonts w:asciiTheme="minorHAnsi" w:hAnsiTheme="minorHAnsi"/>
        </w:rPr>
      </w:pPr>
      <w:r>
        <w:rPr>
          <w:rFonts w:asciiTheme="minorHAnsi" w:hAnsiTheme="minorHAnsi"/>
        </w:rPr>
        <w:t>Membrane s</w:t>
      </w:r>
      <w:r w:rsidR="009900C7">
        <w:rPr>
          <w:rFonts w:asciiTheme="minorHAnsi" w:hAnsiTheme="minorHAnsi"/>
        </w:rPr>
        <w:t xml:space="preserve">welling caused by </w:t>
      </w:r>
      <w:r w:rsidR="00E07F3D">
        <w:rPr>
          <w:rFonts w:asciiTheme="minorHAnsi" w:hAnsiTheme="minorHAnsi"/>
        </w:rPr>
        <w:t>the</w:t>
      </w:r>
      <w:r w:rsidR="009900C7">
        <w:rPr>
          <w:rFonts w:asciiTheme="minorHAnsi" w:hAnsiTheme="minorHAnsi"/>
        </w:rPr>
        <w:t xml:space="preserve"> resin, </w:t>
      </w:r>
      <w:r w:rsidR="00E07F3D">
        <w:rPr>
          <w:rFonts w:asciiTheme="minorHAnsi" w:hAnsiTheme="minorHAnsi"/>
        </w:rPr>
        <w:t>shrinkage</w:t>
      </w:r>
      <w:r w:rsidR="009900C7">
        <w:rPr>
          <w:rFonts w:asciiTheme="minorHAnsi" w:hAnsiTheme="minorHAnsi"/>
        </w:rPr>
        <w:t xml:space="preserve"> with increasing concentration</w:t>
      </w:r>
      <w:r w:rsidR="00704BDF" w:rsidRPr="00EC66CC">
        <w:rPr>
          <w:rFonts w:asciiTheme="minorHAnsi" w:hAnsiTheme="minorHAnsi"/>
        </w:rPr>
        <w:t xml:space="preserve">. </w:t>
      </w:r>
    </w:p>
    <w:p w14:paraId="36472A9A" w14:textId="77777777" w:rsidR="00704BDF" w:rsidRPr="00EC66CC" w:rsidRDefault="009900C7" w:rsidP="00704BDF">
      <w:pPr>
        <w:pStyle w:val="AbstractBody"/>
        <w:numPr>
          <w:ilvl w:val="0"/>
          <w:numId w:val="16"/>
        </w:numPr>
        <w:rPr>
          <w:rFonts w:asciiTheme="minorHAnsi" w:hAnsiTheme="minorHAnsi"/>
        </w:rPr>
      </w:pPr>
      <w:r>
        <w:rPr>
          <w:rFonts w:asciiTheme="minorHAnsi" w:hAnsiTheme="minorHAnsi"/>
        </w:rPr>
        <w:t>Method allows deter</w:t>
      </w:r>
      <w:r w:rsidR="00DF26D2">
        <w:rPr>
          <w:rFonts w:asciiTheme="minorHAnsi" w:hAnsiTheme="minorHAnsi"/>
        </w:rPr>
        <w:t xml:space="preserve">mination of ion-exchange area </w:t>
      </w:r>
      <w:r>
        <w:rPr>
          <w:rFonts w:asciiTheme="minorHAnsi" w:hAnsiTheme="minorHAnsi"/>
        </w:rPr>
        <w:t xml:space="preserve">of </w:t>
      </w:r>
      <w:r w:rsidR="00E07F3D">
        <w:rPr>
          <w:rFonts w:asciiTheme="minorHAnsi" w:hAnsiTheme="minorHAnsi"/>
        </w:rPr>
        <w:t>heterogenous</w:t>
      </w:r>
      <w:r>
        <w:rPr>
          <w:rFonts w:asciiTheme="minorHAnsi" w:hAnsiTheme="minorHAnsi"/>
        </w:rPr>
        <w:t xml:space="preserve"> membranes</w:t>
      </w:r>
      <w:r w:rsidR="00704BDF" w:rsidRPr="00EC66CC">
        <w:rPr>
          <w:rFonts w:asciiTheme="minorHAnsi" w:hAnsiTheme="minorHAnsi"/>
        </w:rPr>
        <w:t xml:space="preserve">. </w:t>
      </w:r>
    </w:p>
    <w:p w14:paraId="633A1C4D" w14:textId="77777777" w:rsidR="00704BDF" w:rsidRPr="00EC66CC" w:rsidRDefault="00DF26D2" w:rsidP="00704BDF">
      <w:pPr>
        <w:pStyle w:val="AbstractBody"/>
        <w:numPr>
          <w:ilvl w:val="0"/>
          <w:numId w:val="16"/>
        </w:numPr>
        <w:rPr>
          <w:rFonts w:asciiTheme="minorHAnsi" w:hAnsiTheme="minorHAnsi"/>
        </w:rPr>
      </w:pPr>
      <w:r>
        <w:rPr>
          <w:rFonts w:asciiTheme="minorHAnsi" w:hAnsiTheme="minorHAnsi"/>
        </w:rPr>
        <w:t>Sand equation shown not to hold for small pieces of the membranes</w:t>
      </w:r>
      <w:r w:rsidR="00704BDF" w:rsidRPr="00EC66CC">
        <w:rPr>
          <w:rFonts w:asciiTheme="minorHAnsi" w:hAnsiTheme="minorHAnsi"/>
        </w:rPr>
        <w:t>.</w:t>
      </w:r>
    </w:p>
    <w:p w14:paraId="475CA551" w14:textId="77777777" w:rsidR="00704BDF" w:rsidRPr="00A15B93" w:rsidRDefault="00704BDF" w:rsidP="00704BDF">
      <w:pPr>
        <w:snapToGrid w:val="0"/>
        <w:spacing w:after="120"/>
        <w:jc w:val="center"/>
        <w:rPr>
          <w:rFonts w:eastAsia="SimSun"/>
          <w:bCs/>
          <w:i/>
          <w:iCs/>
          <w:color w:val="0000FF"/>
          <w:sz w:val="20"/>
          <w:lang w:val="en-US" w:eastAsia="zh-CN"/>
        </w:rPr>
      </w:pPr>
    </w:p>
    <w:p w14:paraId="483EEB1E" w14:textId="77777777"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14:paraId="20EF5AD4" w14:textId="0A3F4E5A" w:rsidR="00DF6A58" w:rsidRDefault="00DF6A58" w:rsidP="00C867B1">
      <w:pPr>
        <w:snapToGrid w:val="0"/>
        <w:spacing w:after="120"/>
        <w:rPr>
          <w:rFonts w:asciiTheme="minorHAnsi" w:eastAsia="MS PGothic" w:hAnsiTheme="minorHAnsi"/>
          <w:color w:val="000000"/>
          <w:sz w:val="22"/>
          <w:szCs w:val="22"/>
          <w:lang w:val="en-US"/>
        </w:rPr>
      </w:pPr>
      <w:proofErr w:type="spellStart"/>
      <w:r>
        <w:rPr>
          <w:rFonts w:asciiTheme="minorHAnsi" w:eastAsia="MS PGothic" w:hAnsiTheme="minorHAnsi"/>
          <w:color w:val="000000"/>
          <w:sz w:val="22"/>
          <w:szCs w:val="22"/>
          <w:lang w:val="en-US"/>
        </w:rPr>
        <w:t>Electromembrane</w:t>
      </w:r>
      <w:proofErr w:type="spellEnd"/>
      <w:r>
        <w:rPr>
          <w:rFonts w:asciiTheme="minorHAnsi" w:eastAsia="MS PGothic" w:hAnsiTheme="minorHAnsi"/>
          <w:color w:val="000000"/>
          <w:sz w:val="22"/>
          <w:szCs w:val="22"/>
          <w:lang w:val="en-US"/>
        </w:rPr>
        <w:t xml:space="preserve"> separation processes based on the use of ion-exchange membranes (IEM) play a very important role in production of potable water and increasingly in areas of waste water treatments. It is known that the performance of the whole process largely depends on the quality of the IEMs</w:t>
      </w:r>
      <w:r w:rsidR="00C867B1" w:rsidRPr="008D0BEB">
        <w:rPr>
          <w:rFonts w:asciiTheme="minorHAnsi" w:eastAsia="MS PGothic" w:hAnsiTheme="minorHAnsi"/>
          <w:color w:val="000000"/>
          <w:sz w:val="22"/>
          <w:szCs w:val="22"/>
          <w:lang w:val="en-US"/>
        </w:rPr>
        <w:t>.</w:t>
      </w:r>
      <w:r>
        <w:rPr>
          <w:rFonts w:asciiTheme="minorHAnsi" w:eastAsia="MS PGothic" w:hAnsiTheme="minorHAnsi"/>
          <w:color w:val="000000"/>
          <w:sz w:val="22"/>
          <w:szCs w:val="22"/>
          <w:lang w:val="en-US"/>
        </w:rPr>
        <w:t xml:space="preserve"> These membranes can be classified into two major groups: (</w:t>
      </w:r>
      <w:proofErr w:type="spellStart"/>
      <w:r>
        <w:rPr>
          <w:rFonts w:asciiTheme="minorHAnsi" w:eastAsia="MS PGothic" w:hAnsiTheme="minorHAnsi"/>
          <w:color w:val="000000"/>
          <w:sz w:val="22"/>
          <w:szCs w:val="22"/>
          <w:lang w:val="en-US"/>
        </w:rPr>
        <w:t>i</w:t>
      </w:r>
      <w:proofErr w:type="spellEnd"/>
      <w:r>
        <w:rPr>
          <w:rFonts w:asciiTheme="minorHAnsi" w:eastAsia="MS PGothic" w:hAnsiTheme="minorHAnsi"/>
          <w:color w:val="000000"/>
          <w:sz w:val="22"/>
          <w:szCs w:val="22"/>
          <w:lang w:val="en-US"/>
        </w:rPr>
        <w:t>) homogeneous, and (ii) heterogeneous. While homogenous generally posses better electrochemical properties they suffer from low mechanical and chemical stability. In these two aspects, they are outperformed by heterogenous ones which is however, at the expense of electrochemical performance. One of the ways how to improve the properties of heterogenous IEMs is too understand the relation between their structure and the exhibited behavior and later design membranes with optimal properties for a given application. This puts a requirement on having available analytical techniques that would allow to reconstruct 3D structure of these membranes and describe its composition quantitatively and qualitatively. At the same time these analyzed membranes should be practically tested regarding their performance.</w:t>
      </w:r>
    </w:p>
    <w:p w14:paraId="39AD78AF" w14:textId="23909292" w:rsidR="00DF6A58" w:rsidRPr="008D0BEB" w:rsidRDefault="00DF6A58" w:rsidP="00C867B1">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To address the aforementioned </w:t>
      </w:r>
      <w:proofErr w:type="gramStart"/>
      <w:r>
        <w:rPr>
          <w:rFonts w:asciiTheme="minorHAnsi" w:eastAsia="MS PGothic" w:hAnsiTheme="minorHAnsi"/>
          <w:color w:val="000000"/>
          <w:sz w:val="22"/>
          <w:szCs w:val="22"/>
          <w:lang w:val="en-US"/>
        </w:rPr>
        <w:t>problem</w:t>
      </w:r>
      <w:proofErr w:type="gramEnd"/>
      <w:r>
        <w:rPr>
          <w:rFonts w:asciiTheme="minorHAnsi" w:eastAsia="MS PGothic" w:hAnsiTheme="minorHAnsi"/>
          <w:color w:val="000000"/>
          <w:sz w:val="22"/>
          <w:szCs w:val="22"/>
          <w:lang w:val="en-US"/>
        </w:rPr>
        <w:t xml:space="preserve"> we developed a technique which reconstructs 3D structure of membranes by micro-computed tomography </w:t>
      </w:r>
      <w:r w:rsidR="009533B4">
        <w:rPr>
          <w:rFonts w:asciiTheme="minorHAnsi" w:eastAsia="MS PGothic" w:hAnsiTheme="minorHAnsi"/>
          <w:color w:val="000000"/>
          <w:sz w:val="22"/>
          <w:szCs w:val="22"/>
          <w:lang w:val="en-US"/>
        </w:rPr>
        <w:t xml:space="preserve">and quantifies the composition not only in terms of volumetric composition but also in terms of surface composition which in turn provides very important data on the available ion-exchange area. Our method can work with both dry and wet (fully swollen) membranes which also allows one to study structural changes of membranes associated with swelling. We test our approach on testing the suitability of the Sand equation for determination of the fraction of conductive (ion-exchange) domains by combining our analytical technique with electrochemical measurement performed in a specific fluidic cell.  </w:t>
      </w:r>
    </w:p>
    <w:p w14:paraId="065474DC" w14:textId="7C539D76" w:rsidR="00704BDF" w:rsidRDefault="00704BDF" w:rsidP="00C867B1">
      <w:pPr>
        <w:snapToGrid w:val="0"/>
        <w:spacing w:after="120"/>
        <w:rPr>
          <w:rFonts w:asciiTheme="minorHAnsi" w:eastAsia="MS PGothic" w:hAnsiTheme="minorHAnsi"/>
          <w:b/>
          <w:bCs/>
          <w:color w:val="000000"/>
          <w:sz w:val="22"/>
          <w:szCs w:val="22"/>
          <w:lang w:val="en-US"/>
        </w:rPr>
      </w:pPr>
      <w:r w:rsidRPr="008D0BEB">
        <w:rPr>
          <w:rFonts w:asciiTheme="minorHAnsi" w:eastAsia="MS PGothic" w:hAnsiTheme="minorHAnsi"/>
          <w:b/>
          <w:bCs/>
          <w:color w:val="000000"/>
          <w:sz w:val="22"/>
          <w:szCs w:val="22"/>
          <w:lang w:val="en-US"/>
        </w:rPr>
        <w:lastRenderedPageBreak/>
        <w:t>2. Methods</w:t>
      </w:r>
    </w:p>
    <w:p w14:paraId="7113DA69" w14:textId="167B7915" w:rsidR="00704BDF" w:rsidRPr="008D0BEB" w:rsidRDefault="009533B4" w:rsidP="00704BDF">
      <w:pPr>
        <w:snapToGrid w:val="0"/>
        <w:spacing w:after="120"/>
        <w:rPr>
          <w:rFonts w:asciiTheme="minorHAnsi" w:eastAsia="MS PGothic" w:hAnsiTheme="minorHAnsi"/>
          <w:i/>
          <w:color w:val="000000"/>
          <w:sz w:val="22"/>
          <w:szCs w:val="22"/>
          <w:lang w:val="en-US"/>
        </w:rPr>
      </w:pPr>
      <w:r>
        <w:rPr>
          <w:rFonts w:asciiTheme="minorHAnsi" w:eastAsia="MS PGothic" w:hAnsiTheme="minorHAnsi"/>
          <w:color w:val="000000"/>
          <w:sz w:val="22"/>
          <w:szCs w:val="22"/>
          <w:lang w:val="en-US"/>
        </w:rPr>
        <w:t xml:space="preserve">We developed a specific cell which allows </w:t>
      </w:r>
      <w:proofErr w:type="spellStart"/>
      <w:r>
        <w:rPr>
          <w:rFonts w:asciiTheme="minorHAnsi" w:eastAsia="MS PGothic" w:hAnsiTheme="minorHAnsi"/>
          <w:color w:val="000000"/>
          <w:sz w:val="22"/>
          <w:szCs w:val="22"/>
          <w:lang w:val="en-US"/>
        </w:rPr>
        <w:t>microCT</w:t>
      </w:r>
      <w:proofErr w:type="spellEnd"/>
      <w:r>
        <w:rPr>
          <w:rFonts w:asciiTheme="minorHAnsi" w:eastAsia="MS PGothic" w:hAnsiTheme="minorHAnsi"/>
          <w:color w:val="000000"/>
          <w:sz w:val="22"/>
          <w:szCs w:val="22"/>
          <w:lang w:val="en-US"/>
        </w:rPr>
        <w:t xml:space="preserve"> scanning of the samples in both dry and wet state. The details of this technique along with description of the evaluating methods can be found in [1]. Later the same piece of analyzed membrane can be integrated within a fluidic chip that allows electrochemical characterization. In this work, we measured so</w:t>
      </w:r>
      <w:r w:rsidR="00B23D33">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called transition times which are later used in the Sand equation to evaluate fraction of conductive domains. The details can be found in [2].</w:t>
      </w:r>
    </w:p>
    <w:p w14:paraId="36E860EC" w14:textId="240EF062" w:rsidR="009533B4" w:rsidRDefault="00704BDF" w:rsidP="00704BDF">
      <w:pPr>
        <w:snapToGrid w:val="0"/>
        <w:spacing w:before="240" w:line="300" w:lineRule="auto"/>
        <w:rPr>
          <w:rFonts w:asciiTheme="minorHAnsi" w:eastAsia="MS PGothic" w:hAnsiTheme="minorHAnsi"/>
          <w:b/>
          <w:bCs/>
          <w:noProof/>
          <w:color w:val="000000"/>
          <w:sz w:val="22"/>
          <w:szCs w:val="22"/>
          <w:lang w:val="en-US"/>
        </w:rPr>
      </w:pPr>
      <w:r w:rsidRPr="008D0BEB">
        <w:rPr>
          <w:rFonts w:asciiTheme="minorHAnsi" w:eastAsia="MS PGothic" w:hAnsiTheme="minorHAnsi"/>
          <w:b/>
          <w:bCs/>
          <w:color w:val="000000"/>
          <w:sz w:val="22"/>
          <w:szCs w:val="22"/>
          <w:lang w:val="en-US"/>
        </w:rPr>
        <w:t>3. Results and discussio</w:t>
      </w:r>
      <w:r w:rsidR="00B23D33">
        <w:rPr>
          <w:rFonts w:asciiTheme="minorHAnsi" w:eastAsia="MS PGothic" w:hAnsiTheme="minorHAnsi"/>
          <w:b/>
          <w:bCs/>
          <w:color w:val="000000"/>
          <w:sz w:val="22"/>
          <w:szCs w:val="22"/>
          <w:lang w:val="en-US"/>
        </w:rPr>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927"/>
      </w:tblGrid>
      <w:tr w:rsidR="00B23D33" w14:paraId="22D7021C" w14:textId="77777777" w:rsidTr="00C12429">
        <w:tc>
          <w:tcPr>
            <w:tcW w:w="4501" w:type="dxa"/>
          </w:tcPr>
          <w:p w14:paraId="74885C8F" w14:textId="77777777" w:rsidR="00C12429" w:rsidRDefault="00C12429" w:rsidP="00C12429">
            <w:pPr>
              <w:keepNext/>
              <w:snapToGrid w:val="0"/>
              <w:spacing w:before="240" w:line="300" w:lineRule="auto"/>
            </w:pPr>
            <w:r w:rsidRPr="00B23D33">
              <w:rPr>
                <w:rFonts w:asciiTheme="minorHAnsi" w:eastAsia="MS PGothic" w:hAnsiTheme="minorHAnsi"/>
                <w:noProof/>
                <w:color w:val="000000"/>
                <w:sz w:val="22"/>
                <w:szCs w:val="22"/>
                <w:lang w:val="en-US"/>
              </w:rPr>
              <mc:AlternateContent>
                <mc:Choice Requires="wps">
                  <w:drawing>
                    <wp:anchor distT="0" distB="0" distL="0" distR="0" simplePos="0" relativeHeight="251662336" behindDoc="1" locked="0" layoutInCell="1" allowOverlap="1" wp14:anchorId="59A2DE54" wp14:editId="6C4A84BA">
                      <wp:simplePos x="0" y="0"/>
                      <wp:positionH relativeFrom="column">
                        <wp:posOffset>-635</wp:posOffset>
                      </wp:positionH>
                      <wp:positionV relativeFrom="paragraph">
                        <wp:posOffset>199390</wp:posOffset>
                      </wp:positionV>
                      <wp:extent cx="127000" cy="171450"/>
                      <wp:effectExtent l="0" t="0" r="6350" b="0"/>
                      <wp:wrapTight wrapText="bothSides">
                        <wp:wrapPolygon edited="0">
                          <wp:start x="0" y="0"/>
                          <wp:lineTo x="0" y="19200"/>
                          <wp:lineTo x="19440" y="19200"/>
                          <wp:lineTo x="1944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1450"/>
                              </a:xfrm>
                              <a:prstGeom prst="rect">
                                <a:avLst/>
                              </a:prstGeom>
                              <a:solidFill>
                                <a:srgbClr val="FFFFFF"/>
                              </a:solidFill>
                              <a:ln w="9525">
                                <a:noFill/>
                                <a:miter lim="800000"/>
                                <a:headEnd/>
                                <a:tailEnd/>
                              </a:ln>
                            </wps:spPr>
                            <wps:txbx>
                              <w:txbxContent>
                                <w:p w14:paraId="507E6EE5" w14:textId="304584C9" w:rsidR="00B23D33" w:rsidRDefault="00B23D33">
                                  <w: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2DE54" id="_x0000_t202" coordsize="21600,21600" o:spt="202" path="m,l,21600r21600,l21600,xe">
                      <v:stroke joinstyle="miter"/>
                      <v:path gradientshapeok="t" o:connecttype="rect"/>
                    </v:shapetype>
                    <v:shape id="Text Box 2" o:spid="_x0000_s1026" type="#_x0000_t202" style="position:absolute;left:0;text-align:left;margin-left:-.05pt;margin-top:15.7pt;width:10pt;height:13.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" stroked="f">
                      <v:textbox inset="0,0,0,0">
                        <w:txbxContent>
                          <w:p w14:paraId="507E6EE5" w14:textId="304584C9" w:rsidR="00B23D33" w:rsidRDefault="00B23D33">
                            <w:r>
                              <w:t>a)</w:t>
                            </w:r>
                          </w:p>
                        </w:txbxContent>
                      </v:textbox>
                      <w10:wrap type="tight"/>
                    </v:shape>
                  </w:pict>
                </mc:Fallback>
              </mc:AlternateContent>
            </w:r>
            <w:r w:rsidR="00B23D33" w:rsidRPr="00B23D33">
              <w:rPr>
                <w:rFonts w:asciiTheme="minorHAnsi" w:eastAsia="MS PGothic" w:hAnsiTheme="minorHAnsi"/>
                <w:noProof/>
                <w:color w:val="000000"/>
                <w:sz w:val="22"/>
                <w:szCs w:val="22"/>
                <w:lang w:val="en-US"/>
              </w:rPr>
              <w:drawing>
                <wp:inline distT="0" distB="0" distL="0" distR="0" wp14:anchorId="17FE25C1" wp14:editId="752FA8DD">
                  <wp:extent cx="3081600" cy="1512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00" cy="1512000"/>
                          </a:xfrm>
                          <a:prstGeom prst="rect">
                            <a:avLst/>
                          </a:prstGeom>
                          <a:noFill/>
                          <a:ln>
                            <a:noFill/>
                          </a:ln>
                        </pic:spPr>
                      </pic:pic>
                    </a:graphicData>
                  </a:graphic>
                </wp:inline>
              </w:drawing>
            </w:r>
          </w:p>
          <w:p w14:paraId="58804A6A" w14:textId="2913AABD" w:rsidR="00B23D33" w:rsidRPr="001F0116" w:rsidRDefault="00C12429" w:rsidP="00C12429">
            <w:pPr>
              <w:pStyle w:val="Caption"/>
              <w:rPr>
                <w:rFonts w:asciiTheme="minorHAnsi" w:eastAsia="MS PGothic" w:hAnsiTheme="minorHAnsi" w:cstheme="minorHAnsi"/>
                <w:b w:val="0"/>
                <w:color w:val="000000"/>
                <w:sz w:val="22"/>
                <w:szCs w:val="22"/>
                <w:lang w:val="en-US"/>
              </w:rPr>
            </w:pPr>
            <w:r w:rsidRPr="001F0116">
              <w:rPr>
                <w:rFonts w:asciiTheme="minorHAnsi" w:hAnsiTheme="minorHAnsi" w:cstheme="minorHAnsi"/>
                <w:color w:val="auto"/>
              </w:rPr>
              <w:t xml:space="preserve">Figure </w:t>
            </w:r>
            <w:r w:rsidRPr="001F0116">
              <w:rPr>
                <w:rFonts w:asciiTheme="minorHAnsi" w:hAnsiTheme="minorHAnsi" w:cstheme="minorHAnsi"/>
                <w:color w:val="auto"/>
              </w:rPr>
              <w:fldChar w:fldCharType="begin"/>
            </w:r>
            <w:r w:rsidRPr="001F0116">
              <w:rPr>
                <w:rFonts w:asciiTheme="minorHAnsi" w:hAnsiTheme="minorHAnsi" w:cstheme="minorHAnsi"/>
                <w:color w:val="auto"/>
              </w:rPr>
              <w:instrText xml:space="preserve"> SEQ Figure \* ARABIC </w:instrText>
            </w:r>
            <w:r w:rsidRPr="001F0116">
              <w:rPr>
                <w:rFonts w:asciiTheme="minorHAnsi" w:hAnsiTheme="minorHAnsi" w:cstheme="minorHAnsi"/>
                <w:color w:val="auto"/>
              </w:rPr>
              <w:fldChar w:fldCharType="separate"/>
            </w:r>
            <w:r w:rsidRPr="001F0116">
              <w:rPr>
                <w:rFonts w:asciiTheme="minorHAnsi" w:hAnsiTheme="minorHAnsi" w:cstheme="minorHAnsi"/>
                <w:noProof/>
                <w:color w:val="auto"/>
              </w:rPr>
              <w:t>1</w:t>
            </w:r>
            <w:r w:rsidRPr="001F0116">
              <w:rPr>
                <w:rFonts w:asciiTheme="minorHAnsi" w:hAnsiTheme="minorHAnsi" w:cstheme="minorHAnsi"/>
                <w:color w:val="auto"/>
              </w:rPr>
              <w:fldChar w:fldCharType="end"/>
            </w:r>
            <w:r w:rsidR="00A44A24">
              <w:rPr>
                <w:rFonts w:asciiTheme="minorHAnsi" w:hAnsiTheme="minorHAnsi" w:cstheme="minorHAnsi"/>
                <w:color w:val="auto"/>
              </w:rPr>
              <w:t>.</w:t>
            </w:r>
            <w:r w:rsidRPr="001F0116">
              <w:rPr>
                <w:rFonts w:asciiTheme="minorHAnsi" w:hAnsiTheme="minorHAnsi" w:cstheme="minorHAnsi"/>
                <w:b w:val="0"/>
                <w:color w:val="auto"/>
              </w:rPr>
              <w:t xml:space="preserve"> </w:t>
            </w:r>
            <w:proofErr w:type="spellStart"/>
            <w:r w:rsidRPr="001F0116">
              <w:rPr>
                <w:rFonts w:asciiTheme="minorHAnsi" w:hAnsiTheme="minorHAnsi" w:cstheme="minorHAnsi"/>
                <w:b w:val="0"/>
                <w:color w:val="auto"/>
              </w:rPr>
              <w:t>MicroCT</w:t>
            </w:r>
            <w:proofErr w:type="spellEnd"/>
            <w:r w:rsidRPr="001F0116">
              <w:rPr>
                <w:rFonts w:asciiTheme="minorHAnsi" w:hAnsiTheme="minorHAnsi" w:cstheme="minorHAnsi"/>
                <w:b w:val="0"/>
                <w:color w:val="auto"/>
              </w:rPr>
              <w:t xml:space="preserve"> surface analysis of a heterogeneous cation-exchange membrane. </w:t>
            </w:r>
          </w:p>
        </w:tc>
        <w:tc>
          <w:tcPr>
            <w:tcW w:w="4502" w:type="dxa"/>
          </w:tcPr>
          <w:p w14:paraId="7AEFCD37" w14:textId="77777777" w:rsidR="00C12429" w:rsidRDefault="00B23D33" w:rsidP="00C12429">
            <w:pPr>
              <w:keepNext/>
              <w:snapToGrid w:val="0"/>
              <w:spacing w:before="240" w:line="300" w:lineRule="auto"/>
            </w:pPr>
            <w:r w:rsidRPr="00B23D33">
              <w:rPr>
                <w:rFonts w:asciiTheme="minorHAnsi" w:eastAsia="MS PGothic" w:hAnsiTheme="minorHAnsi"/>
                <w:noProof/>
                <w:color w:val="000000"/>
                <w:sz w:val="22"/>
                <w:szCs w:val="22"/>
                <w:lang w:val="en-US"/>
              </w:rPr>
              <w:drawing>
                <wp:inline distT="0" distB="0" distL="0" distR="0" wp14:anchorId="062CF4CC" wp14:editId="0C63048E">
                  <wp:extent cx="2246400" cy="1512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400" cy="1512000"/>
                          </a:xfrm>
                          <a:prstGeom prst="rect">
                            <a:avLst/>
                          </a:prstGeom>
                          <a:noFill/>
                          <a:ln>
                            <a:noFill/>
                          </a:ln>
                        </pic:spPr>
                      </pic:pic>
                    </a:graphicData>
                  </a:graphic>
                </wp:inline>
              </w:drawing>
            </w:r>
          </w:p>
          <w:p w14:paraId="4CB3A53D" w14:textId="2C31487B" w:rsidR="00B23D33" w:rsidRPr="001F0116" w:rsidRDefault="00C12429" w:rsidP="00C12429">
            <w:pPr>
              <w:pStyle w:val="Caption"/>
              <w:rPr>
                <w:rFonts w:asciiTheme="minorHAnsi" w:eastAsia="MS PGothic" w:hAnsiTheme="minorHAnsi" w:cstheme="minorHAnsi"/>
                <w:b w:val="0"/>
                <w:color w:val="000000"/>
                <w:sz w:val="22"/>
                <w:szCs w:val="22"/>
                <w:lang w:val="en-US"/>
              </w:rPr>
            </w:pPr>
            <w:r w:rsidRPr="001F0116">
              <w:rPr>
                <w:rFonts w:asciiTheme="minorHAnsi" w:hAnsiTheme="minorHAnsi" w:cstheme="minorHAnsi"/>
                <w:color w:val="auto"/>
              </w:rPr>
              <w:t xml:space="preserve">Figure </w:t>
            </w:r>
            <w:r w:rsidRPr="001F0116">
              <w:rPr>
                <w:rFonts w:asciiTheme="minorHAnsi" w:hAnsiTheme="minorHAnsi" w:cstheme="minorHAnsi"/>
                <w:color w:val="auto"/>
              </w:rPr>
              <w:fldChar w:fldCharType="begin"/>
            </w:r>
            <w:r w:rsidRPr="001F0116">
              <w:rPr>
                <w:rFonts w:asciiTheme="minorHAnsi" w:hAnsiTheme="minorHAnsi" w:cstheme="minorHAnsi"/>
                <w:color w:val="auto"/>
              </w:rPr>
              <w:instrText xml:space="preserve"> SEQ Figure \* ARABIC </w:instrText>
            </w:r>
            <w:r w:rsidRPr="001F0116">
              <w:rPr>
                <w:rFonts w:asciiTheme="minorHAnsi" w:hAnsiTheme="minorHAnsi" w:cstheme="minorHAnsi"/>
                <w:color w:val="auto"/>
              </w:rPr>
              <w:fldChar w:fldCharType="separate"/>
            </w:r>
            <w:r w:rsidRPr="001F0116">
              <w:rPr>
                <w:rFonts w:asciiTheme="minorHAnsi" w:hAnsiTheme="minorHAnsi" w:cstheme="minorHAnsi"/>
                <w:noProof/>
                <w:color w:val="auto"/>
              </w:rPr>
              <w:t>2</w:t>
            </w:r>
            <w:r w:rsidRPr="001F0116">
              <w:rPr>
                <w:rFonts w:asciiTheme="minorHAnsi" w:hAnsiTheme="minorHAnsi" w:cstheme="minorHAnsi"/>
                <w:color w:val="auto"/>
              </w:rPr>
              <w:fldChar w:fldCharType="end"/>
            </w:r>
            <w:r w:rsidR="00A44A24">
              <w:rPr>
                <w:rFonts w:asciiTheme="minorHAnsi" w:hAnsiTheme="minorHAnsi" w:cstheme="minorHAnsi"/>
                <w:color w:val="auto"/>
              </w:rPr>
              <w:t>.</w:t>
            </w:r>
            <w:r w:rsidRPr="001F0116">
              <w:rPr>
                <w:rFonts w:asciiTheme="minorHAnsi" w:hAnsiTheme="minorHAnsi" w:cstheme="minorHAnsi"/>
                <w:b w:val="0"/>
                <w:color w:val="auto"/>
              </w:rPr>
              <w:t xml:space="preserve"> Measurement of the transition times in the dependence of the applied electric current.</w:t>
            </w:r>
          </w:p>
        </w:tc>
      </w:tr>
    </w:tbl>
    <w:p w14:paraId="2FDF9583" w14:textId="136861E4" w:rsidR="00B23D33" w:rsidRPr="00B23D33" w:rsidRDefault="00C12429" w:rsidP="00704BDF">
      <w:pPr>
        <w:snapToGrid w:val="0"/>
        <w:spacing w:before="240" w:line="300" w:lineRule="auto"/>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Figure 1 and 2 show respective results of our studies focused on estimation of the ion-exchange area with two methods. The first one is based on the analytical reconstruction of the surface area by micro-CT and the other one on electrochemical measurement of transition times and substitution into the Sand equation. While </w:t>
      </w:r>
      <w:proofErr w:type="spellStart"/>
      <w:r>
        <w:rPr>
          <w:rFonts w:asciiTheme="minorHAnsi" w:eastAsia="MS PGothic" w:hAnsiTheme="minorHAnsi"/>
          <w:color w:val="000000"/>
          <w:sz w:val="22"/>
          <w:szCs w:val="22"/>
          <w:lang w:val="en-US"/>
        </w:rPr>
        <w:t>microCT</w:t>
      </w:r>
      <w:proofErr w:type="spellEnd"/>
      <w:r>
        <w:rPr>
          <w:rFonts w:asciiTheme="minorHAnsi" w:eastAsia="MS PGothic" w:hAnsiTheme="minorHAnsi"/>
          <w:color w:val="000000"/>
          <w:sz w:val="22"/>
          <w:szCs w:val="22"/>
          <w:lang w:val="en-US"/>
        </w:rPr>
        <w:t xml:space="preserve"> analysis is a direct technique that can locate the ion exchange-resin particles responsible for the actual ion-exchange (yellow color in Figure 1), the measurement of transition times is indirect technique that relies on several simplifications. Our results show that the electrochemical technique, although it might provide reasonable </w:t>
      </w:r>
      <w:r w:rsidR="005023D7">
        <w:rPr>
          <w:rFonts w:asciiTheme="minorHAnsi" w:eastAsia="MS PGothic" w:hAnsiTheme="minorHAnsi"/>
          <w:color w:val="000000"/>
          <w:sz w:val="22"/>
          <w:szCs w:val="22"/>
          <w:lang w:val="en-US"/>
        </w:rPr>
        <w:t xml:space="preserve">numbers, does not agree with results from </w:t>
      </w:r>
      <w:proofErr w:type="spellStart"/>
      <w:r w:rsidR="005023D7">
        <w:rPr>
          <w:rFonts w:asciiTheme="minorHAnsi" w:eastAsia="MS PGothic" w:hAnsiTheme="minorHAnsi"/>
          <w:color w:val="000000"/>
          <w:sz w:val="22"/>
          <w:szCs w:val="22"/>
          <w:lang w:val="en-US"/>
        </w:rPr>
        <w:t>microCT</w:t>
      </w:r>
      <w:proofErr w:type="spellEnd"/>
      <w:r w:rsidR="005023D7">
        <w:rPr>
          <w:rFonts w:asciiTheme="minorHAnsi" w:eastAsia="MS PGothic" w:hAnsiTheme="minorHAnsi"/>
          <w:color w:val="000000"/>
          <w:sz w:val="22"/>
          <w:szCs w:val="22"/>
          <w:lang w:val="en-US"/>
        </w:rPr>
        <w:t xml:space="preserve"> (compare red lines with black ones in Figure 2).</w:t>
      </w:r>
      <w:r>
        <w:rPr>
          <w:rFonts w:asciiTheme="minorHAnsi" w:eastAsia="MS PGothic" w:hAnsiTheme="minorHAnsi"/>
          <w:color w:val="000000"/>
          <w:sz w:val="22"/>
          <w:szCs w:val="22"/>
          <w:lang w:val="en-US"/>
        </w:rPr>
        <w:t xml:space="preserve"> </w:t>
      </w:r>
      <w:r w:rsidR="00CD3C33">
        <w:rPr>
          <w:rFonts w:asciiTheme="minorHAnsi" w:eastAsia="MS PGothic" w:hAnsiTheme="minorHAnsi"/>
          <w:color w:val="000000"/>
          <w:sz w:val="22"/>
          <w:szCs w:val="22"/>
          <w:lang w:val="en-US"/>
        </w:rPr>
        <w:t xml:space="preserve"> Unlike that the Sand equation works very well for ion-exchange resin particles which can be considered as homogeneous and satisfies conditions under which Sand equation works.</w:t>
      </w:r>
      <w:r>
        <w:rPr>
          <w:rFonts w:asciiTheme="minorHAnsi" w:eastAsia="MS PGothic" w:hAnsiTheme="minorHAnsi"/>
          <w:color w:val="000000"/>
          <w:sz w:val="22"/>
          <w:szCs w:val="22"/>
          <w:lang w:val="en-US"/>
        </w:rPr>
        <w:t xml:space="preserve">   </w:t>
      </w:r>
    </w:p>
    <w:p w14:paraId="0C5A99E3" w14:textId="20033A82"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14:paraId="0ACE5749" w14:textId="049F2F96" w:rsidR="00704BDF" w:rsidRPr="008D0BEB" w:rsidRDefault="005023D7"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Our technique based on micro-computed tomography allows to analyze the volumetric and surface structure of the heterogenous ion-exchange membrane, which are essential in </w:t>
      </w:r>
      <w:proofErr w:type="spellStart"/>
      <w:r>
        <w:rPr>
          <w:rFonts w:asciiTheme="minorHAnsi" w:eastAsia="MS PGothic" w:hAnsiTheme="minorHAnsi"/>
          <w:color w:val="000000"/>
          <w:sz w:val="22"/>
          <w:szCs w:val="22"/>
          <w:lang w:val="en-US"/>
        </w:rPr>
        <w:t>electromembrane</w:t>
      </w:r>
      <w:proofErr w:type="spellEnd"/>
      <w:r>
        <w:rPr>
          <w:rFonts w:asciiTheme="minorHAnsi" w:eastAsia="MS PGothic" w:hAnsiTheme="minorHAnsi"/>
          <w:color w:val="000000"/>
          <w:sz w:val="22"/>
          <w:szCs w:val="22"/>
          <w:lang w:val="en-US"/>
        </w:rPr>
        <w:t xml:space="preserve"> separation processes. By using this technique, we </w:t>
      </w:r>
      <w:proofErr w:type="gramStart"/>
      <w:r>
        <w:rPr>
          <w:rFonts w:asciiTheme="minorHAnsi" w:eastAsia="MS PGothic" w:hAnsiTheme="minorHAnsi"/>
          <w:color w:val="000000"/>
          <w:sz w:val="22"/>
          <w:szCs w:val="22"/>
          <w:lang w:val="en-US"/>
        </w:rPr>
        <w:t>are able to</w:t>
      </w:r>
      <w:proofErr w:type="gramEnd"/>
      <w:r>
        <w:rPr>
          <w:rFonts w:asciiTheme="minorHAnsi" w:eastAsia="MS PGothic" w:hAnsiTheme="minorHAnsi"/>
          <w:color w:val="000000"/>
          <w:sz w:val="22"/>
          <w:szCs w:val="22"/>
          <w:lang w:val="en-US"/>
        </w:rPr>
        <w:t xml:space="preserve"> characterize studied membranes in terms of composition and geometry. When combined with electrochemical measurements, we can relate the behavior of the membranes to the exhibited behavior.</w:t>
      </w:r>
    </w:p>
    <w:p w14:paraId="28F73961" w14:textId="736CE701"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t>References</w:t>
      </w:r>
      <w:bookmarkStart w:id="0" w:name="_Hlk535315999"/>
      <w:bookmarkStart w:id="1" w:name="_GoBack"/>
    </w:p>
    <w:p w14:paraId="2F60F802" w14:textId="77777777" w:rsidR="00E07F3D" w:rsidRDefault="00E07F3D" w:rsidP="00E07F3D">
      <w:pPr>
        <w:pStyle w:val="EndNoteBibliography"/>
        <w:numPr>
          <w:ilvl w:val="0"/>
          <w:numId w:val="17"/>
        </w:numPr>
        <w:spacing w:after="0"/>
        <w:rPr>
          <w:rFonts w:asciiTheme="minorHAnsi" w:eastAsia="Times New Roman" w:hAnsiTheme="minorHAnsi" w:cs="Times New Roman"/>
          <w:noProof w:val="0"/>
          <w:color w:val="000000"/>
          <w:sz w:val="20"/>
          <w:szCs w:val="20"/>
        </w:rPr>
      </w:pPr>
      <w:r w:rsidRPr="00E07F3D">
        <w:rPr>
          <w:rFonts w:asciiTheme="minorHAnsi" w:eastAsia="Times New Roman" w:hAnsiTheme="minorHAnsi" w:cs="Times New Roman"/>
          <w:noProof w:val="0"/>
          <w:color w:val="000000"/>
          <w:sz w:val="20"/>
          <w:szCs w:val="20"/>
        </w:rPr>
        <w:t>L. Vobecka, M. Svoboda, J. Beneš, T. Belloň, Z. Slouka, J. Mem. Sci., 2018. 559: p. 127-137.</w:t>
      </w:r>
    </w:p>
    <w:p w14:paraId="3617404A" w14:textId="77777777" w:rsidR="00E07F3D" w:rsidRPr="00E07F3D" w:rsidRDefault="00E07F3D" w:rsidP="00E07F3D">
      <w:pPr>
        <w:pStyle w:val="FirstParagraph"/>
        <w:widowControl w:val="0"/>
        <w:numPr>
          <w:ilvl w:val="0"/>
          <w:numId w:val="17"/>
        </w:numPr>
        <w:tabs>
          <w:tab w:val="left" w:pos="426"/>
        </w:tabs>
        <w:autoSpaceDE w:val="0"/>
        <w:autoSpaceDN w:val="0"/>
        <w:adjustRightInd w:val="0"/>
        <w:spacing w:line="240" w:lineRule="auto"/>
        <w:rPr>
          <w:rFonts w:asciiTheme="minorHAnsi" w:hAnsiTheme="minorHAnsi"/>
          <w:color w:val="000000"/>
        </w:rPr>
      </w:pPr>
      <w:r w:rsidRPr="00E07F3D">
        <w:rPr>
          <w:rFonts w:asciiTheme="minorHAnsi" w:hAnsiTheme="minorHAnsi"/>
          <w:color w:val="000000"/>
        </w:rPr>
        <w:t xml:space="preserve">M. Svoboda, J. Beneš, L. </w:t>
      </w:r>
      <w:proofErr w:type="spellStart"/>
      <w:r w:rsidRPr="00E07F3D">
        <w:rPr>
          <w:rFonts w:asciiTheme="minorHAnsi" w:hAnsiTheme="minorHAnsi"/>
          <w:color w:val="000000"/>
        </w:rPr>
        <w:t>Vobecká</w:t>
      </w:r>
      <w:proofErr w:type="spellEnd"/>
      <w:r w:rsidRPr="00E07F3D">
        <w:rPr>
          <w:rFonts w:asciiTheme="minorHAnsi" w:hAnsiTheme="minorHAnsi"/>
          <w:color w:val="000000"/>
        </w:rPr>
        <w:t>, Z. Slouka, J. Mem. Sci., 2017. 525: p. 195-201.</w:t>
      </w:r>
    </w:p>
    <w:bookmarkEnd w:id="0"/>
    <w:bookmarkEnd w:id="1"/>
    <w:p w14:paraId="350A2F60" w14:textId="77777777" w:rsidR="00E07F3D" w:rsidRPr="00E07F3D" w:rsidRDefault="00E07F3D" w:rsidP="00E07F3D">
      <w:pPr>
        <w:pStyle w:val="EndNoteBibliography"/>
        <w:spacing w:after="0"/>
        <w:ind w:left="360"/>
        <w:rPr>
          <w:rFonts w:asciiTheme="minorHAnsi" w:eastAsia="Times New Roman" w:hAnsiTheme="minorHAnsi" w:cs="Times New Roman"/>
          <w:noProof w:val="0"/>
          <w:color w:val="000000"/>
          <w:sz w:val="20"/>
          <w:szCs w:val="20"/>
        </w:rPr>
      </w:pPr>
    </w:p>
    <w:p w14:paraId="62C83D34" w14:textId="77777777" w:rsidR="00704BDF" w:rsidRPr="00DE0019"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14:paraId="36E0F119" w14:textId="77777777" w:rsidR="00704BDF" w:rsidRPr="00DE0019"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14:paraId="6E8E1390" w14:textId="77777777" w:rsid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14:paraId="5B916017" w14:textId="77777777" w:rsid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14:paraId="73203808" w14:textId="77777777" w:rsidR="004D1162" w:rsidRDefault="004D1162"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14:paraId="36127767" w14:textId="77777777" w:rsidR="004D1162" w:rsidRDefault="004D1162"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14:paraId="7D7B84DA" w14:textId="77777777" w:rsidR="00704BDF" w:rsidRP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sectPr w:rsidR="00704BDF"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4F83C" w14:textId="77777777" w:rsidR="00FD000E" w:rsidRDefault="00FD000E" w:rsidP="004F5E36">
      <w:r>
        <w:separator/>
      </w:r>
    </w:p>
  </w:endnote>
  <w:endnote w:type="continuationSeparator" w:id="0">
    <w:p w14:paraId="00C9E74D" w14:textId="77777777" w:rsidR="00FD000E" w:rsidRDefault="00FD000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B082B" w14:textId="77777777" w:rsidR="00FD000E" w:rsidRDefault="00FD000E" w:rsidP="004F5E36">
      <w:r>
        <w:separator/>
      </w:r>
    </w:p>
  </w:footnote>
  <w:footnote w:type="continuationSeparator" w:id="0">
    <w:p w14:paraId="2E4EFD53" w14:textId="77777777" w:rsidR="00FD000E" w:rsidRDefault="00FD000E"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633BC" w14:textId="77777777" w:rsidR="004D1162" w:rsidRDefault="00594E9F">
    <w:pPr>
      <w:pStyle w:val="Header"/>
    </w:pPr>
    <w:r>
      <w:rPr>
        <w:noProof/>
        <w:lang w:val="en-US"/>
      </w:rPr>
      <mc:AlternateContent>
        <mc:Choice Requires="wps">
          <w:drawing>
            <wp:anchor distT="0" distB="0" distL="114300" distR="114300" simplePos="0" relativeHeight="251666432" behindDoc="0" locked="0" layoutInCell="1" allowOverlap="1" wp14:anchorId="756F2AC5" wp14:editId="44C8D09C">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40F953F"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66F7D30D" wp14:editId="4C688685">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DF462" w14:textId="77777777"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60FD6C43" wp14:editId="752F3F45">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14:paraId="44B50BB9" w14:textId="77777777" w:rsidR="00704BDF" w:rsidRDefault="00704BDF">
    <w:pPr>
      <w:pStyle w:val="Header"/>
    </w:pPr>
  </w:p>
  <w:p w14:paraId="708F93EB" w14:textId="77777777" w:rsidR="00704BDF" w:rsidRDefault="00704BDF">
    <w:pPr>
      <w:pStyle w:val="Header"/>
    </w:pPr>
    <w:r>
      <w:rPr>
        <w:noProof/>
        <w:lang w:val="en-US"/>
      </w:rPr>
      <mc:AlternateContent>
        <mc:Choice Requires="wps">
          <w:drawing>
            <wp:anchor distT="0" distB="0" distL="114300" distR="114300" simplePos="0" relativeHeight="251660288" behindDoc="0" locked="0" layoutInCell="1" allowOverlap="1" wp14:anchorId="309B40B7" wp14:editId="4F0E6FB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C0835B8"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414A"/>
    <w:rsid w:val="000027C0"/>
    <w:rsid w:val="000117CB"/>
    <w:rsid w:val="00013F25"/>
    <w:rsid w:val="0003148D"/>
    <w:rsid w:val="00062A9A"/>
    <w:rsid w:val="000A03B2"/>
    <w:rsid w:val="000D34BE"/>
    <w:rsid w:val="000D6286"/>
    <w:rsid w:val="000E36F1"/>
    <w:rsid w:val="000E3A73"/>
    <w:rsid w:val="000E414A"/>
    <w:rsid w:val="00111CA6"/>
    <w:rsid w:val="0013121F"/>
    <w:rsid w:val="00134DE4"/>
    <w:rsid w:val="00150E59"/>
    <w:rsid w:val="00184AD6"/>
    <w:rsid w:val="001B65C1"/>
    <w:rsid w:val="001C684B"/>
    <w:rsid w:val="001D4F1A"/>
    <w:rsid w:val="001D53FC"/>
    <w:rsid w:val="001F0116"/>
    <w:rsid w:val="001F2EC7"/>
    <w:rsid w:val="002065DB"/>
    <w:rsid w:val="002447EF"/>
    <w:rsid w:val="00251550"/>
    <w:rsid w:val="0027221A"/>
    <w:rsid w:val="00275B61"/>
    <w:rsid w:val="002D1F12"/>
    <w:rsid w:val="003009B7"/>
    <w:rsid w:val="0030469C"/>
    <w:rsid w:val="003723D4"/>
    <w:rsid w:val="003A7D1C"/>
    <w:rsid w:val="0046164A"/>
    <w:rsid w:val="00462DCD"/>
    <w:rsid w:val="00484648"/>
    <w:rsid w:val="004D1162"/>
    <w:rsid w:val="004E4DD6"/>
    <w:rsid w:val="004F5E36"/>
    <w:rsid w:val="005023D7"/>
    <w:rsid w:val="005119A5"/>
    <w:rsid w:val="005278B7"/>
    <w:rsid w:val="005346C8"/>
    <w:rsid w:val="00594E9F"/>
    <w:rsid w:val="005B61E6"/>
    <w:rsid w:val="005C77E1"/>
    <w:rsid w:val="005D6A2F"/>
    <w:rsid w:val="005E1A82"/>
    <w:rsid w:val="005F0A28"/>
    <w:rsid w:val="005F0E5E"/>
    <w:rsid w:val="00620DEE"/>
    <w:rsid w:val="00625639"/>
    <w:rsid w:val="0064184D"/>
    <w:rsid w:val="00660E3E"/>
    <w:rsid w:val="00662E74"/>
    <w:rsid w:val="006A58D2"/>
    <w:rsid w:val="006C5579"/>
    <w:rsid w:val="00704BDF"/>
    <w:rsid w:val="00736B13"/>
    <w:rsid w:val="007447F3"/>
    <w:rsid w:val="007661C8"/>
    <w:rsid w:val="007D52CD"/>
    <w:rsid w:val="007E5ABD"/>
    <w:rsid w:val="00813288"/>
    <w:rsid w:val="008168FC"/>
    <w:rsid w:val="008479A2"/>
    <w:rsid w:val="0087637F"/>
    <w:rsid w:val="008A1512"/>
    <w:rsid w:val="008A5DD7"/>
    <w:rsid w:val="008D0BEB"/>
    <w:rsid w:val="008E566E"/>
    <w:rsid w:val="00901EB6"/>
    <w:rsid w:val="00916351"/>
    <w:rsid w:val="009450CE"/>
    <w:rsid w:val="0095164B"/>
    <w:rsid w:val="009533B4"/>
    <w:rsid w:val="009900C7"/>
    <w:rsid w:val="00996483"/>
    <w:rsid w:val="009E788A"/>
    <w:rsid w:val="00A1763D"/>
    <w:rsid w:val="00A17CEC"/>
    <w:rsid w:val="00A27EF0"/>
    <w:rsid w:val="00A44A24"/>
    <w:rsid w:val="00A76EFC"/>
    <w:rsid w:val="00A9626B"/>
    <w:rsid w:val="00A97F29"/>
    <w:rsid w:val="00AA2CD3"/>
    <w:rsid w:val="00AB0964"/>
    <w:rsid w:val="00AE02E9"/>
    <w:rsid w:val="00AE377D"/>
    <w:rsid w:val="00B23D33"/>
    <w:rsid w:val="00B61DBF"/>
    <w:rsid w:val="00BC30C9"/>
    <w:rsid w:val="00BE3E58"/>
    <w:rsid w:val="00C01616"/>
    <w:rsid w:val="00C0162B"/>
    <w:rsid w:val="00C12429"/>
    <w:rsid w:val="00C345B1"/>
    <w:rsid w:val="00C40142"/>
    <w:rsid w:val="00C57182"/>
    <w:rsid w:val="00C655FD"/>
    <w:rsid w:val="00C867B1"/>
    <w:rsid w:val="00C94434"/>
    <w:rsid w:val="00CA1C95"/>
    <w:rsid w:val="00CA5A9C"/>
    <w:rsid w:val="00CD1553"/>
    <w:rsid w:val="00CD3C33"/>
    <w:rsid w:val="00CD5FE2"/>
    <w:rsid w:val="00D02B4C"/>
    <w:rsid w:val="00D84576"/>
    <w:rsid w:val="00DE0019"/>
    <w:rsid w:val="00DE264A"/>
    <w:rsid w:val="00DF26D2"/>
    <w:rsid w:val="00DF6A58"/>
    <w:rsid w:val="00E041E7"/>
    <w:rsid w:val="00E07F3D"/>
    <w:rsid w:val="00E23CA1"/>
    <w:rsid w:val="00E409A8"/>
    <w:rsid w:val="00E7209D"/>
    <w:rsid w:val="00EA50E1"/>
    <w:rsid w:val="00EE0131"/>
    <w:rsid w:val="00F30C64"/>
    <w:rsid w:val="00FB730C"/>
    <w:rsid w:val="00FC2695"/>
    <w:rsid w:val="00FC3E03"/>
    <w:rsid w:val="00FD000E"/>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3A246"/>
  <w15:docId w15:val="{FEE1836A-07B4-4952-877A-FDC3A9B7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paragraph" w:customStyle="1" w:styleId="EndNoteBibliography">
    <w:name w:val="EndNote Bibliography"/>
    <w:basedOn w:val="Normal"/>
    <w:link w:val="EndNoteBibliographyChar"/>
    <w:rsid w:val="00E07F3D"/>
    <w:pPr>
      <w:tabs>
        <w:tab w:val="clear" w:pos="7100"/>
      </w:tabs>
      <w:spacing w:after="200" w:line="240" w:lineRule="auto"/>
      <w:jc w:val="left"/>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E07F3D"/>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85D46-4DE9-4419-B3E3-A61A777A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752</Words>
  <Characters>4293</Characters>
  <Application>Microsoft Office Word</Application>
  <DocSecurity>0</DocSecurity>
  <Lines>35</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Zdenek</cp:lastModifiedBy>
  <cp:revision>9</cp:revision>
  <cp:lastPrinted>2015-05-12T18:31:00Z</cp:lastPrinted>
  <dcterms:created xsi:type="dcterms:W3CDTF">2019-01-14T11:44:00Z</dcterms:created>
  <dcterms:modified xsi:type="dcterms:W3CDTF">2019-01-15T11:00:00Z</dcterms:modified>
</cp:coreProperties>
</file>