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0A2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FBE16E6" w14:textId="12A2B9C8" w:rsidR="00704BDF" w:rsidRDefault="00DE13D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Mass </w:t>
      </w:r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Transport </w:t>
      </w:r>
      <w:r w:rsidR="006F6511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Micro- </w:t>
      </w:r>
      <w:r w:rsidR="006F6511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Macro-Molecule Compounds </w:t>
      </w:r>
      <w:r w:rsidR="006F6511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Phosphorous Base Fertilizer Fortified </w:t>
      </w:r>
      <w:proofErr w:type="gramStart"/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>With</w:t>
      </w:r>
      <w:proofErr w:type="gramEnd"/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Protein </w:t>
      </w:r>
      <w:r w:rsidR="006F6511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6F6511" w:rsidRPr="002A611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="006F6511">
        <w:rPr>
          <w:rFonts w:asciiTheme="minorHAnsi" w:eastAsia="MS PGothic" w:hAnsiTheme="minorHAnsi"/>
          <w:b/>
          <w:bCs/>
          <w:sz w:val="28"/>
          <w:szCs w:val="28"/>
          <w:lang w:val="en-US"/>
        </w:rPr>
        <w:t>Soil Matrix.</w:t>
      </w:r>
    </w:p>
    <w:p w14:paraId="2A813206" w14:textId="77777777" w:rsidR="00DE0019" w:rsidRPr="00DD7B0A" w:rsidRDefault="00DD7B0A" w:rsidP="00A40F45">
      <w:pPr>
        <w:snapToGrid w:val="0"/>
        <w:spacing w:after="120"/>
        <w:jc w:val="center"/>
        <w:rPr>
          <w:rFonts w:eastAsia="SimSun"/>
          <w:color w:val="000000"/>
          <w:lang w:val="pl-PL" w:eastAsia="zh-CN"/>
        </w:rPr>
      </w:pPr>
      <w:r w:rsidRPr="00DD7B0A">
        <w:rPr>
          <w:rFonts w:asciiTheme="minorHAnsi" w:eastAsia="SimSun" w:hAnsiTheme="minorHAnsi"/>
          <w:color w:val="000000"/>
          <w:sz w:val="24"/>
          <w:szCs w:val="24"/>
          <w:u w:val="single"/>
          <w:lang w:val="pl-PL" w:eastAsia="zh-CN"/>
        </w:rPr>
        <w:t>Maksymilian  Olbrycht</w:t>
      </w:r>
      <w:r w:rsidR="002A611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l-PL" w:eastAsia="zh-CN"/>
        </w:rPr>
        <w:t>1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, Michał Kołodziej</w:t>
      </w:r>
      <w:r w:rsidR="002A6113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, Roman Bochenek</w:t>
      </w:r>
      <w:r w:rsidR="002A6113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, </w:t>
      </w:r>
      <w:r w:rsidR="00FD063B"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Mateusz Przywara</w:t>
      </w:r>
      <w:r w:rsidR="002A6113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="00FD063B"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, 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Maciej Balawejder</w:t>
      </w:r>
      <w:r w:rsidR="002A6113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2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 xml:space="preserve">, </w:t>
      </w:r>
      <w:r w:rsidR="00A40F45"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Dorota Antos</w:t>
      </w:r>
      <w:r w:rsidR="00A40F45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  <w:r w:rsidR="00A40F45"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*</w:t>
      </w:r>
      <w:r w:rsidR="00A40F45" w:rsidRPr="006F6511">
        <w:rPr>
          <w:rFonts w:eastAsia="SimSun"/>
          <w:color w:val="000000"/>
          <w:lang w:val="pl-PL" w:eastAsia="zh-CN"/>
        </w:rPr>
        <w:t xml:space="preserve">, </w:t>
      </w:r>
      <w:r w:rsidRPr="006F6511">
        <w:rPr>
          <w:rFonts w:asciiTheme="minorHAnsi" w:eastAsia="SimSun" w:hAnsiTheme="minorHAnsi"/>
          <w:color w:val="000000"/>
          <w:sz w:val="24"/>
          <w:szCs w:val="24"/>
          <w:lang w:val="pl-PL" w:eastAsia="zh-CN"/>
        </w:rPr>
        <w:t>Wojciech Piątkowski</w:t>
      </w:r>
      <w:r w:rsidR="002A6113" w:rsidRPr="006F651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l-PL" w:eastAsia="zh-CN"/>
        </w:rPr>
        <w:t>1</w:t>
      </w:r>
    </w:p>
    <w:p w14:paraId="3968DA0F" w14:textId="07BDDAB1" w:rsidR="00704BDF" w:rsidRDefault="00704BDF" w:rsidP="002A6113">
      <w:pPr>
        <w:pStyle w:val="Paragrafoelenco"/>
        <w:ind w:left="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A6113" w:rsidRPr="002A6113">
        <w:rPr>
          <w:rFonts w:asciiTheme="minorHAnsi" w:hAnsiTheme="minorHAnsi"/>
          <w:i/>
          <w:sz w:val="20"/>
        </w:rPr>
        <w:t>Department of Chemical and Process Engineering, Faculty of Chemistry, Rzeszow University of Technology, 35-959 Rzeszow/PL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2A6113" w:rsidRPr="000F33E1">
        <w:rPr>
          <w:rFonts w:asciiTheme="majorHAnsi" w:hAnsiTheme="majorHAnsi"/>
          <w:i/>
          <w:sz w:val="20"/>
        </w:rPr>
        <w:t>Chair of Chemistry and Food Toxicolog</w:t>
      </w:r>
      <w:r w:rsidR="008E1405">
        <w:rPr>
          <w:rFonts w:asciiTheme="majorHAnsi" w:hAnsiTheme="majorHAnsi"/>
          <w:i/>
          <w:sz w:val="20"/>
        </w:rPr>
        <w:t xml:space="preserve">y, University of Rzeszow, </w:t>
      </w:r>
      <w:r w:rsidR="008E1405" w:rsidRPr="008E1405">
        <w:rPr>
          <w:rFonts w:asciiTheme="majorHAnsi" w:hAnsiTheme="majorHAnsi"/>
          <w:i/>
          <w:sz w:val="20"/>
        </w:rPr>
        <w:t>35-601</w:t>
      </w:r>
      <w:r w:rsidR="002A6113" w:rsidRPr="000F33E1">
        <w:rPr>
          <w:rFonts w:asciiTheme="majorHAnsi" w:hAnsiTheme="majorHAnsi"/>
          <w:i/>
          <w:sz w:val="20"/>
        </w:rPr>
        <w:t xml:space="preserve"> Rzeszow/PL</w:t>
      </w:r>
      <w:r w:rsidR="002A6113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14:paraId="197B7226" w14:textId="77777777" w:rsidR="006F6511" w:rsidRPr="002A6113" w:rsidRDefault="006F6511" w:rsidP="002A6113">
      <w:pPr>
        <w:pStyle w:val="Paragrafoelenco"/>
        <w:ind w:left="0"/>
        <w:rPr>
          <w:rFonts w:asciiTheme="majorHAnsi" w:hAnsiTheme="majorHAnsi"/>
          <w:i/>
          <w:sz w:val="20"/>
        </w:rPr>
      </w:pPr>
    </w:p>
    <w:p w14:paraId="06824F0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D063B">
        <w:rPr>
          <w:rFonts w:asciiTheme="minorHAnsi" w:eastAsia="MS PGothic" w:hAnsiTheme="minorHAnsi"/>
          <w:bCs/>
          <w:i/>
          <w:iCs/>
          <w:sz w:val="20"/>
          <w:lang w:val="en-US"/>
        </w:rPr>
        <w:t>doro</w:t>
      </w:r>
      <w:r w:rsidR="002A6113">
        <w:rPr>
          <w:rFonts w:asciiTheme="minorHAnsi" w:eastAsia="MS PGothic" w:hAnsiTheme="minorHAnsi"/>
          <w:bCs/>
          <w:i/>
          <w:iCs/>
          <w:sz w:val="20"/>
          <w:lang w:val="en-US"/>
        </w:rPr>
        <w:t>t</w:t>
      </w:r>
      <w:r w:rsidR="00FD063B">
        <w:rPr>
          <w:rFonts w:asciiTheme="minorHAnsi" w:eastAsia="MS PGothic" w:hAnsiTheme="minorHAnsi"/>
          <w:bCs/>
          <w:i/>
          <w:iCs/>
          <w:sz w:val="20"/>
          <w:lang w:val="en-US"/>
        </w:rPr>
        <w:t>a.antos@prz.edu.pl</w:t>
      </w:r>
    </w:p>
    <w:p w14:paraId="501EE11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BADFA82" w14:textId="77777777" w:rsidR="00FD063B" w:rsidRPr="00B8415B" w:rsidRDefault="002A6113" w:rsidP="00FD063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96CE4">
        <w:rPr>
          <w:rFonts w:asciiTheme="minorHAnsi" w:hAnsiTheme="minorHAnsi"/>
        </w:rPr>
        <w:t xml:space="preserve">icrogranule phosphorous </w:t>
      </w:r>
      <w:r w:rsidR="00FD063B">
        <w:rPr>
          <w:rFonts w:asciiTheme="minorHAnsi" w:hAnsiTheme="minorHAnsi"/>
        </w:rPr>
        <w:t>soil</w:t>
      </w:r>
      <w:r w:rsidR="00FD063B" w:rsidRPr="00FD063B">
        <w:rPr>
          <w:rFonts w:asciiTheme="minorHAnsi" w:hAnsiTheme="minorHAnsi"/>
        </w:rPr>
        <w:t xml:space="preserve"> fertilizer based on </w:t>
      </w:r>
      <w:r w:rsidR="00B8415B">
        <w:rPr>
          <w:rFonts w:asciiTheme="minorHAnsi" w:eastAsiaTheme="minorHAnsi" w:hAnsiTheme="minorHAnsi"/>
        </w:rPr>
        <w:t>a post-production waste</w:t>
      </w:r>
      <w:r w:rsidR="00FD063B">
        <w:rPr>
          <w:rFonts w:asciiTheme="minorHAnsi" w:eastAsiaTheme="minorHAnsi" w:hAnsiTheme="minorHAnsi"/>
        </w:rPr>
        <w:t xml:space="preserve"> was developed</w:t>
      </w:r>
    </w:p>
    <w:p w14:paraId="6C702E2E" w14:textId="77777777" w:rsidR="00B8415B" w:rsidRPr="00FD063B" w:rsidRDefault="00B8415B" w:rsidP="00FD063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Diffusion of </w:t>
      </w:r>
      <w:r w:rsidR="00267DE9">
        <w:rPr>
          <w:rFonts w:asciiTheme="minorHAnsi" w:hAnsiTheme="minorHAnsi"/>
        </w:rPr>
        <w:t>micro</w:t>
      </w:r>
      <w:r w:rsidR="00D96CE4">
        <w:rPr>
          <w:rFonts w:asciiTheme="minorHAnsi" w:hAnsiTheme="minorHAnsi"/>
        </w:rPr>
        <w:t>molecule components of the granule in soil matrixes was measured</w:t>
      </w:r>
    </w:p>
    <w:p w14:paraId="26A89C90" w14:textId="77777777" w:rsidR="00704BDF" w:rsidRDefault="00D96CE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Degradation and diffusion of pro</w:t>
      </w:r>
      <w:r w:rsidR="002A6113">
        <w:rPr>
          <w:rFonts w:asciiTheme="minorHAnsi" w:hAnsiTheme="minorHAnsi"/>
        </w:rPr>
        <w:t>tein components in soli matrix</w:t>
      </w:r>
      <w:r>
        <w:rPr>
          <w:rFonts w:asciiTheme="minorHAnsi" w:hAnsiTheme="minorHAnsi"/>
        </w:rPr>
        <w:t xml:space="preserve"> was determined </w:t>
      </w:r>
    </w:p>
    <w:p w14:paraId="2D8B11E9" w14:textId="77777777" w:rsidR="002A6113" w:rsidRDefault="002A6113" w:rsidP="000326CF">
      <w:pPr>
        <w:pStyle w:val="AbstractBody"/>
        <w:rPr>
          <w:rFonts w:asciiTheme="minorHAnsi" w:hAnsiTheme="minorHAnsi"/>
        </w:rPr>
      </w:pPr>
    </w:p>
    <w:p w14:paraId="4B3AEA1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E326086" w14:textId="77777777" w:rsidR="00D96CE4" w:rsidRPr="005B0BF3" w:rsidRDefault="005B625A" w:rsidP="00397145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/>
          <w:sz w:val="22"/>
          <w:szCs w:val="22"/>
          <w:lang w:val="en-US"/>
        </w:rPr>
      </w:pPr>
      <w:r w:rsidRPr="005B0BF3">
        <w:rPr>
          <w:rFonts w:asciiTheme="minorHAnsi" w:eastAsiaTheme="minorHAnsi" w:hAnsiTheme="minorHAnsi"/>
          <w:sz w:val="22"/>
          <w:szCs w:val="22"/>
          <w:lang w:val="en-US"/>
        </w:rPr>
        <w:t>In recent years there has been a significant increase in the prices of phosphorous fertilizers, which made it necessary to seek alternative, more cost-effective solutions in the field of plant fertilization. Much cheaper fertilizers containing partially</w:t>
      </w:r>
      <w:r w:rsidR="00D96CE4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>decomposed phosphorite, have become an alternative to the existing</w:t>
      </w:r>
      <w:r w:rsidR="00D96CE4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>phosphorus sources, such as superphosphate [1</w:t>
      </w:r>
      <w:r w:rsidR="000326CF">
        <w:rPr>
          <w:rFonts w:asciiTheme="minorHAnsi" w:eastAsiaTheme="minorHAnsi" w:hAnsiTheme="minorHAnsi"/>
          <w:sz w:val="22"/>
          <w:szCs w:val="22"/>
          <w:lang w:val="en-US"/>
        </w:rPr>
        <w:t>-3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>].</w:t>
      </w:r>
    </w:p>
    <w:p w14:paraId="5DADC00E" w14:textId="77777777" w:rsidR="005B625A" w:rsidRPr="005B0BF3" w:rsidRDefault="005B625A" w:rsidP="00E1062C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/>
          <w:sz w:val="22"/>
          <w:szCs w:val="22"/>
          <w:lang w:val="en-US"/>
        </w:rPr>
      </w:pPr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Raw material </w:t>
      </w:r>
      <w:proofErr w:type="gramStart"/>
      <w:r w:rsidRPr="005B0BF3">
        <w:rPr>
          <w:rFonts w:asciiTheme="minorHAnsi" w:eastAsiaTheme="minorHAnsi" w:hAnsiTheme="minorHAnsi"/>
          <w:sz w:val="22"/>
          <w:szCs w:val="22"/>
          <w:lang w:val="en-US"/>
        </w:rPr>
        <w:t>for the production of</w:t>
      </w:r>
      <w:proofErr w:type="gramEnd"/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such fertilizers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can also be obtained from animal bones containing natural hydroxyapatite. 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>The benefit of this natural source is the lack of fluoride in the raw material of animal origin, which greatly simplifies production</w:t>
      </w:r>
      <w:r w:rsidR="002A6113">
        <w:rPr>
          <w:rFonts w:asciiTheme="minorHAnsi" w:eastAsiaTheme="minorHAnsi" w:hAnsiTheme="minorHAnsi"/>
          <w:sz w:val="22"/>
          <w:szCs w:val="22"/>
          <w:lang w:val="en-US"/>
        </w:rPr>
        <w:t>. Therefore, we developed a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proofErr w:type="gramStart"/>
      <w:r w:rsidR="009B4436" w:rsidRPr="002A6113">
        <w:rPr>
          <w:rFonts w:asciiTheme="minorHAnsi" w:eastAsiaTheme="minorHAnsi" w:hAnsiTheme="minorHAnsi"/>
          <w:sz w:val="22"/>
          <w:szCs w:val="22"/>
          <w:lang w:val="en-US"/>
        </w:rPr>
        <w:t>mineral</w:t>
      </w:r>
      <w:r w:rsidR="009B4436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9B4436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>phosphate</w:t>
      </w:r>
      <w:proofErr w:type="gramEnd"/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fertilizer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based on ash obtained by </w:t>
      </w:r>
      <w:r w:rsidR="00EE4C8D">
        <w:rPr>
          <w:rFonts w:asciiTheme="minorHAnsi" w:eastAsiaTheme="minorHAnsi" w:hAnsiTheme="minorHAnsi"/>
          <w:sz w:val="22"/>
          <w:szCs w:val="22"/>
          <w:lang w:val="en-US"/>
        </w:rPr>
        <w:t>incinerating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the meat industry </w:t>
      </w:r>
      <w:r w:rsidR="009B4436" w:rsidRPr="009B4436">
        <w:rPr>
          <w:rFonts w:asciiTheme="minorHAnsi" w:eastAsiaTheme="minorHAnsi" w:hAnsiTheme="minorHAnsi"/>
          <w:sz w:val="22"/>
          <w:szCs w:val="22"/>
          <w:lang w:val="en-US"/>
        </w:rPr>
        <w:t>waste</w:t>
      </w:r>
      <w:r w:rsidR="009B4436">
        <w:rPr>
          <w:rFonts w:asciiTheme="minorHAnsi" w:eastAsiaTheme="minorHAnsi" w:hAnsiTheme="minorHAnsi"/>
          <w:sz w:val="22"/>
          <w:szCs w:val="22"/>
          <w:lang w:val="en-US"/>
        </w:rPr>
        <w:t>s</w:t>
      </w:r>
      <w:r w:rsidR="004D28E8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. </w:t>
      </w:r>
      <w:r w:rsidR="004D28E8" w:rsidRPr="002A6113">
        <w:rPr>
          <w:rFonts w:asciiTheme="minorHAnsi" w:eastAsiaTheme="minorHAnsi" w:hAnsiTheme="minorHAnsi"/>
          <w:sz w:val="22"/>
          <w:szCs w:val="22"/>
          <w:lang w:val="en-US"/>
        </w:rPr>
        <w:t>The</w:t>
      </w:r>
      <w:r w:rsidR="009B4436" w:rsidRPr="002A6113">
        <w:rPr>
          <w:rFonts w:asciiTheme="minorHAnsi" w:eastAsiaTheme="minorHAnsi" w:hAnsiTheme="minorHAnsi"/>
          <w:sz w:val="22"/>
          <w:szCs w:val="22"/>
          <w:lang w:val="en-US"/>
        </w:rPr>
        <w:t xml:space="preserve"> fertilizer in the form of</w:t>
      </w:r>
      <w:r w:rsidR="004D28E8" w:rsidRPr="002A6113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2A6113">
        <w:rPr>
          <w:rFonts w:asciiTheme="minorHAnsi" w:eastAsiaTheme="minorHAnsi" w:hAnsiTheme="minorHAnsi"/>
          <w:sz w:val="22"/>
          <w:szCs w:val="22"/>
          <w:lang w:val="en-US"/>
        </w:rPr>
        <w:t xml:space="preserve">a </w:t>
      </w:r>
      <w:r w:rsidR="004D28E8" w:rsidRPr="002A6113">
        <w:rPr>
          <w:rFonts w:asciiTheme="minorHAnsi" w:eastAsiaTheme="minorHAnsi" w:hAnsiTheme="minorHAnsi"/>
          <w:sz w:val="22"/>
          <w:szCs w:val="22"/>
          <w:lang w:val="en-US"/>
        </w:rPr>
        <w:t xml:space="preserve">microgranule was supplemented with additives </w:t>
      </w:r>
      <w:r w:rsidR="00903F4C" w:rsidRPr="002A6113">
        <w:rPr>
          <w:rFonts w:asciiTheme="minorHAnsi" w:eastAsiaTheme="minorHAnsi" w:hAnsiTheme="minorHAnsi"/>
          <w:sz w:val="22"/>
          <w:szCs w:val="22"/>
          <w:lang w:val="en-US"/>
        </w:rPr>
        <w:t>sourced from natural raw materials</w:t>
      </w:r>
      <w:r w:rsidR="002A6113">
        <w:rPr>
          <w:rFonts w:asciiTheme="minorHAnsi" w:eastAsiaTheme="minorHAnsi" w:hAnsiTheme="minorHAnsi"/>
          <w:sz w:val="22"/>
          <w:szCs w:val="22"/>
          <w:lang w:val="en-US"/>
        </w:rPr>
        <w:t>,</w:t>
      </w:r>
      <w:r w:rsidR="00F37554">
        <w:rPr>
          <w:rFonts w:asciiTheme="minorHAnsi" w:eastAsiaTheme="minorHAnsi" w:hAnsiTheme="minorHAnsi"/>
          <w:sz w:val="22"/>
          <w:szCs w:val="22"/>
          <w:lang w:val="en-US"/>
        </w:rPr>
        <w:t xml:space="preserve"> i.e., </w:t>
      </w:r>
      <w:r w:rsidR="00903F4C" w:rsidRPr="005B0BF3">
        <w:rPr>
          <w:rFonts w:asciiTheme="minorHAnsi" w:eastAsiaTheme="minorHAnsi" w:hAnsiTheme="minorHAnsi"/>
          <w:sz w:val="22"/>
          <w:szCs w:val="22"/>
          <w:lang w:val="en-US"/>
        </w:rPr>
        <w:t>protein preparations based on post-production waste (milk serum, soy paste, egg</w:t>
      </w:r>
      <w:r w:rsidR="007A2F73">
        <w:rPr>
          <w:rFonts w:asciiTheme="minorHAnsi" w:eastAsiaTheme="minorHAnsi" w:hAnsiTheme="minorHAnsi"/>
          <w:sz w:val="22"/>
          <w:szCs w:val="22"/>
          <w:lang w:val="en-US"/>
        </w:rPr>
        <w:t>s</w:t>
      </w:r>
      <w:r w:rsidR="00903F4C"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). </w:t>
      </w:r>
    </w:p>
    <w:p w14:paraId="6DADCEF2" w14:textId="77777777" w:rsidR="00903F4C" w:rsidRPr="00835B32" w:rsidRDefault="00903F4C" w:rsidP="00835B32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/>
          <w:sz w:val="22"/>
          <w:szCs w:val="22"/>
          <w:lang w:val="en-US"/>
        </w:rPr>
      </w:pPr>
      <w:r w:rsidRPr="005B0BF3">
        <w:rPr>
          <w:rFonts w:asciiTheme="minorHAnsi" w:eastAsiaTheme="minorHAnsi" w:hAnsiTheme="minorHAnsi"/>
          <w:sz w:val="22"/>
          <w:szCs w:val="22"/>
          <w:lang w:val="en-US"/>
        </w:rPr>
        <w:t xml:space="preserve">In this project we measured the mass transport of the microgranule components in two different model </w:t>
      </w:r>
      <w:r w:rsidR="002A6113">
        <w:rPr>
          <w:rFonts w:asciiTheme="minorHAnsi" w:eastAsiaTheme="minorHAnsi" w:hAnsiTheme="minorHAnsi"/>
          <w:sz w:val="22"/>
          <w:szCs w:val="22"/>
          <w:lang w:val="en-US"/>
        </w:rPr>
        <w:t xml:space="preserve">solid </w:t>
      </w:r>
      <w:r w:rsidRPr="005B0BF3">
        <w:rPr>
          <w:rFonts w:asciiTheme="minorHAnsi" w:eastAsiaTheme="minorHAnsi" w:hAnsiTheme="minorHAnsi"/>
          <w:sz w:val="22"/>
          <w:szCs w:val="22"/>
          <w:lang w:val="en-US"/>
        </w:rPr>
        <w:t>matrixes composed of sand and standardized soil.</w:t>
      </w:r>
      <w:r w:rsidR="001D2397">
        <w:rPr>
          <w:rFonts w:asciiTheme="minorHAnsi" w:eastAsiaTheme="minorHAnsi" w:hAnsiTheme="minorHAnsi"/>
          <w:sz w:val="22"/>
          <w:szCs w:val="22"/>
          <w:lang w:val="en-US"/>
        </w:rPr>
        <w:t xml:space="preserve"> </w:t>
      </w:r>
      <w:r w:rsidR="001D2397" w:rsidRPr="002A6113">
        <w:rPr>
          <w:rFonts w:asciiTheme="minorHAnsi" w:eastAsiaTheme="minorHAnsi" w:hAnsiTheme="minorHAnsi"/>
          <w:sz w:val="22"/>
          <w:szCs w:val="22"/>
          <w:lang w:val="en-US"/>
        </w:rPr>
        <w:t>The mechanism of protein decomposition during the fertilization process was proposed.</w:t>
      </w:r>
    </w:p>
    <w:p w14:paraId="3FE90F67" w14:textId="77777777" w:rsidR="00704BDF" w:rsidRPr="008D0BEB" w:rsidRDefault="00704BDF" w:rsidP="009F21F8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B00B510" w14:textId="77777777" w:rsidR="00061581" w:rsidRPr="009F21F8" w:rsidRDefault="00E1062C" w:rsidP="009F21F8">
      <w:pPr>
        <w:snapToGrid w:val="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Microgranules were prepared </w:t>
      </w:r>
      <w:r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using a laboratory pan granulator. The granule was composed of incinerated </w:t>
      </w:r>
      <w:r w:rsidR="009B4436"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and grounded </w:t>
      </w:r>
      <w:r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bones, lake chalk and protein isolates from milk serum, soy </w:t>
      </w:r>
      <w:proofErr w:type="gramStart"/>
      <w:r w:rsidRPr="009F21F8">
        <w:rPr>
          <w:rFonts w:asciiTheme="minorHAnsi" w:hAnsiTheme="minorHAnsi" w:cstheme="minorHAnsi"/>
          <w:sz w:val="22"/>
          <w:szCs w:val="22"/>
          <w:lang w:val="en-US"/>
        </w:rPr>
        <w:t>and  chicken</w:t>
      </w:r>
      <w:proofErr w:type="gramEnd"/>
      <w:r w:rsidR="001D2397"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 egg</w:t>
      </w:r>
      <w:r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 protein</w:t>
      </w:r>
      <w:r w:rsidR="00A5179A" w:rsidRPr="009F21F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9F21F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microgranule </w:t>
      </w:r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0.5</w:t>
      </w:r>
      <w:r w:rsidR="00A5179A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g mass</w:t>
      </w:r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) </w:t>
      </w:r>
      <w:r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was 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placed on the bottom of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15-ML 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cylinder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</w:t>
      </w:r>
      <w:r w:rsidR="008A422A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</w:t>
      </w:r>
      <w:r w:rsidR="00A5179A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iston and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matric scale on the </w:t>
      </w:r>
      <w:proofErr w:type="gramStart"/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side-wall</w:t>
      </w:r>
      <w:proofErr w:type="gramEnd"/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F37554" w:rsidRPr="009F21F8">
        <w:rPr>
          <w:rStyle w:val="tlid-translation"/>
          <w:rFonts w:asciiTheme="minorHAnsi" w:hAnsiTheme="minorHAnsi" w:cstheme="minorHAnsi"/>
          <w:sz w:val="22"/>
          <w:szCs w:val="22"/>
        </w:rPr>
        <w:t xml:space="preserve">Seven identical cylinders were used for the experiments. </w:t>
      </w:r>
      <w:r w:rsidR="005B538E" w:rsidRPr="009F21F8">
        <w:rPr>
          <w:rStyle w:val="tlid-translation"/>
          <w:rFonts w:asciiTheme="minorHAnsi" w:hAnsiTheme="minorHAnsi" w:cstheme="minorHAnsi"/>
          <w:sz w:val="22"/>
          <w:szCs w:val="22"/>
        </w:rPr>
        <w:t xml:space="preserve">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c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ylinder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 were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filled with wet sand or wet standardized soil (both with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predefined moisture content) with </w:t>
      </w:r>
      <w:r w:rsidR="00F37554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height of 4.5 cm. The </w:t>
      </w:r>
      <w:proofErr w:type="gramStart"/>
      <w:r w:rsidR="00EE4C8D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samples </w:t>
      </w:r>
      <w:r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of</w:t>
      </w:r>
      <w:proofErr w:type="gramEnd"/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solid matrixes (sand and 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soil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 were withdrawn at different time intervals</w:t>
      </w:r>
      <w:r w:rsidR="002A6113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;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5 mL slices of matrixes were acquired at different distances from the microgranule (</w:t>
      </w:r>
      <w:r w:rsidR="002A6113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from 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bottom  of the cylinder). Next, the samples were mixed with</w:t>
      </w:r>
      <w:r w:rsidR="008A422A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5</w:t>
      </w:r>
      <w:r w:rsidR="008B3ECF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mL </w:t>
      </w:r>
      <w:r w:rsidR="008B3ECF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 xml:space="preserve">of 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0.1 M </w:t>
      </w:r>
      <w:r w:rsidR="008B3ECF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NaCl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solution</w:t>
      </w:r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gramStart"/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vortex-homogenized</w:t>
      </w:r>
      <w:proofErr w:type="gramEnd"/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T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supernatants </w:t>
      </w:r>
      <w:proofErr w:type="gramStart"/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obtained  were</w:t>
      </w:r>
      <w:proofErr w:type="gramEnd"/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subjected to HPLC</w:t>
      </w:r>
      <w:r w:rsidR="008B3ECF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HPLC-SEC </w:t>
      </w:r>
      <w:r w:rsidR="00777F17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8B3ECF" w:rsidRPr="009F21F8">
        <w:rPr>
          <w:rFonts w:asciiTheme="minorHAnsi" w:hAnsiTheme="minorHAnsi" w:cstheme="minorHAnsi"/>
          <w:sz w:val="22"/>
          <w:szCs w:val="22"/>
        </w:rPr>
        <w:t>Lowry</w:t>
      </w:r>
      <w:r w:rsidR="005B538E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B3ECF" w:rsidRPr="009F21F8">
        <w:rPr>
          <w:rFonts w:asciiTheme="minorHAnsi" w:hAnsiTheme="minorHAnsi" w:cstheme="minorHAnsi"/>
          <w:sz w:val="22"/>
          <w:szCs w:val="22"/>
        </w:rPr>
        <w:t>method</w:t>
      </w:r>
      <w:r w:rsidR="008B3ECF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analyses</w:t>
      </w:r>
      <w:r w:rsidR="008A0698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061581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determine the mass transport of ions a</w:t>
      </w:r>
      <w:r w:rsidR="00207000" w:rsidRPr="009F21F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nd proteins through the matrix.</w:t>
      </w:r>
    </w:p>
    <w:p w14:paraId="152F0E11" w14:textId="77777777" w:rsidR="00704BDF" w:rsidRPr="008D0BEB" w:rsidRDefault="00704BDF" w:rsidP="009F21F8">
      <w:pPr>
        <w:snapToGrid w:val="0"/>
        <w:spacing w:before="24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93B6157" w14:textId="77777777" w:rsidR="00704BDF" w:rsidRPr="000326CF" w:rsidRDefault="00835B32" w:rsidP="000326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35B32">
        <w:rPr>
          <w:rFonts w:asciiTheme="minorHAnsi" w:eastAsia="MS PGothic" w:hAnsiTheme="minorHAnsi"/>
          <w:noProof/>
          <w:color w:val="00000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F7EF7" wp14:editId="6736BE9E">
                <wp:simplePos x="0" y="0"/>
                <wp:positionH relativeFrom="column">
                  <wp:posOffset>40005</wp:posOffset>
                </wp:positionH>
                <wp:positionV relativeFrom="paragraph">
                  <wp:posOffset>1163955</wp:posOffset>
                </wp:positionV>
                <wp:extent cx="2703195" cy="1821180"/>
                <wp:effectExtent l="0" t="0" r="2095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4FF7" w14:textId="77777777" w:rsidR="00835B32" w:rsidRPr="00835B32" w:rsidRDefault="00524EF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71E277C1" wp14:editId="181921B3">
                                  <wp:extent cx="2472690" cy="1676400"/>
                                  <wp:effectExtent l="0" t="0" r="3810" b="0"/>
                                  <wp:docPr id="8" name="Wykres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15pt;margin-top:91.65pt;width:212.85pt;height:1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" strokecolor="white [3212]">
                <v:textbox>
                  <w:txbxContent>
                    <w:p w:rsidR="00835B32" w:rsidRPr="00835B32" w:rsidRDefault="00524EFC">
                      <w:pPr>
                        <w:rPr>
                          <w:lang w:val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576410E2" wp14:editId="34E88AA4">
                            <wp:extent cx="2472690" cy="1676400"/>
                            <wp:effectExtent l="0" t="0" r="3810" b="0"/>
                            <wp:docPr id="8" name="Wykres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Typical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A611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milk serum isolate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micromolecule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components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microgranules in the matrix samples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were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acquired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6113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different distances from micro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granule and different time </w:t>
      </w:r>
      <w:proofErr w:type="gramStart"/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intervals 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proofErr w:type="gramEnd"/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Fig.1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Table 1</w:t>
      </w:r>
      <w:r w:rsidR="0006158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can be observed </w:t>
      </w:r>
      <w:proofErr w:type="gramStart"/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 the</w:t>
      </w:r>
      <w:proofErr w:type="gramEnd"/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maximum of the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 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is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after 48 h at the distance of 1.5 cm from the microgranule. The </w:t>
      </w:r>
      <w:proofErr w:type="gramStart"/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</w:t>
      </w:r>
      <w:r w:rsidR="0077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proofErr w:type="gramEnd"/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protein drops rapidly with 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distance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practically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vanish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4.5 cm 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away from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microgranule. Moreover, the 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protein decreases in time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caused by its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degradation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latter is confirmed by increasing ammonia ion 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with increase in time</w:t>
      </w:r>
      <w:r w:rsidR="00BD22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(Table 1)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concentration of other ions reaches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quickly</w:t>
      </w:r>
      <w:r w:rsidR="007E01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maximum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fast diffusivity of small ions in the solid matrix.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</w:t>
      </w:r>
      <w:r w:rsidR="008A0698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obtained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other protein isolates were </w:t>
      </w:r>
      <w:proofErr w:type="gramStart"/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 to</w:t>
      </w:r>
      <w:proofErr w:type="gramEnd"/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those reported above</w:t>
      </w:r>
      <w:r w:rsidR="008A069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612252B" w14:textId="77777777" w:rsidR="00524EFC" w:rsidRDefault="00704BDF" w:rsidP="00524EFC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77F17">
        <w:rPr>
          <w:rFonts w:asciiTheme="minorHAnsi" w:eastAsia="MS PGothic" w:hAnsiTheme="minorHAnsi"/>
          <w:color w:val="000000"/>
          <w:szCs w:val="18"/>
          <w:lang w:val="en-US"/>
        </w:rPr>
        <w:t xml:space="preserve">Protein concentration at different distances from </w:t>
      </w:r>
      <w:r w:rsidR="00777F17" w:rsidRPr="00835B32">
        <w:rPr>
          <w:rFonts w:asciiTheme="minorHAnsi" w:eastAsia="MS PGothic" w:hAnsiTheme="minorHAnsi"/>
          <w:color w:val="000000"/>
          <w:szCs w:val="18"/>
          <w:lang w:val="en-US"/>
        </w:rPr>
        <w:t xml:space="preserve">microgranule </w:t>
      </w:r>
      <w:r w:rsidR="00835B32" w:rsidRPr="00835B32">
        <w:rPr>
          <w:rFonts w:asciiTheme="minorHAnsi" w:eastAsia="MS PGothic" w:hAnsiTheme="minorHAnsi"/>
          <w:color w:val="000000"/>
          <w:szCs w:val="18"/>
          <w:lang w:val="en-US"/>
        </w:rPr>
        <w:t>containing milk serum isolate</w:t>
      </w:r>
      <w:r w:rsidR="008A0698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1289EF1" w14:textId="77777777" w:rsidR="00524EFC" w:rsidRDefault="00524EFC" w:rsidP="00524EFC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207000">
        <w:rPr>
          <w:rFonts w:asciiTheme="minorHAnsi" w:eastAsia="MS PGothic" w:hAnsiTheme="minorHAnsi"/>
          <w:b/>
          <w:color w:val="000000"/>
          <w:szCs w:val="18"/>
          <w:lang w:val="en-US"/>
        </w:rPr>
        <w:t>Table 1</w:t>
      </w:r>
      <w:r>
        <w:rPr>
          <w:rFonts w:asciiTheme="minorHAnsi" w:eastAsia="MS PGothic" w:hAnsiTheme="minorHAnsi"/>
          <w:color w:val="000000"/>
          <w:szCs w:val="18"/>
          <w:lang w:val="en-US"/>
        </w:rPr>
        <w:t>. Concentration of ions at the distance of 1.5 cm away from the microgranule measured at different time intervals.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983"/>
        <w:gridCol w:w="897"/>
        <w:gridCol w:w="989"/>
        <w:gridCol w:w="700"/>
        <w:gridCol w:w="635"/>
        <w:gridCol w:w="920"/>
        <w:gridCol w:w="772"/>
      </w:tblGrid>
      <w:tr w:rsidR="00777F17" w:rsidRPr="000326CF" w14:paraId="4D1431BE" w14:textId="77777777" w:rsidTr="0020700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63F7F" w14:textId="77777777" w:rsidR="00777F17" w:rsidRPr="000326CF" w:rsidRDefault="00777F17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EAA9B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ammonium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3B583" w14:textId="77777777" w:rsidR="00777F17" w:rsidRPr="000326CF" w:rsidRDefault="00777F17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potas</w:t>
            </w:r>
            <w:r w:rsidR="007E0120"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sium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769CD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magnesium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29B71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calcium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1F9D9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nitrate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AB5C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phosphate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CC4BD" w14:textId="77777777" w:rsidR="00777F17" w:rsidRPr="000326CF" w:rsidRDefault="007E0120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sulphate</w:t>
            </w:r>
          </w:p>
        </w:tc>
      </w:tr>
      <w:tr w:rsidR="00283389" w:rsidRPr="000326CF" w14:paraId="42739F93" w14:textId="77777777" w:rsidTr="003C3329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530E0" w14:textId="77777777" w:rsidR="00283389" w:rsidRPr="000326CF" w:rsidRDefault="00283389" w:rsidP="006110EE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[h]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19F0B59A" w14:textId="77777777" w:rsidR="00283389" w:rsidRPr="000326CF" w:rsidRDefault="00524EFC" w:rsidP="00283389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m</w:t>
            </w:r>
            <w:r w:rsidR="00283389" w:rsidRPr="00283389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 xml:space="preserve">g of </w:t>
            </w:r>
            <w:r w:rsidR="00283389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ion</w:t>
            </w:r>
            <w:r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 xml:space="preserve"> </w:t>
            </w:r>
            <w:r w:rsidR="00283389" w:rsidRPr="00283389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L</w:t>
            </w:r>
            <w:r w:rsidR="00283389" w:rsidRPr="00283389">
              <w:rPr>
                <w:rFonts w:asciiTheme="minorHAnsi" w:hAnsiTheme="minorHAnsi" w:cs="Calibri"/>
                <w:color w:val="000000"/>
                <w:szCs w:val="18"/>
                <w:vertAlign w:val="superscript"/>
                <w:lang w:eastAsia="pl-PL"/>
              </w:rPr>
              <w:t>-1</w:t>
            </w:r>
            <w:r w:rsidR="00283389" w:rsidRPr="00283389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 xml:space="preserve"> of </w:t>
            </w:r>
            <w:r w:rsidR="00283389">
              <w:rPr>
                <w:rFonts w:asciiTheme="minorHAnsi" w:eastAsiaTheme="minorHAnsi" w:hAnsiTheme="minorHAnsi"/>
                <w:szCs w:val="18"/>
                <w:lang w:val="en-US"/>
              </w:rPr>
              <w:t>matrix</w:t>
            </w:r>
          </w:p>
        </w:tc>
      </w:tr>
      <w:tr w:rsidR="00FC1070" w:rsidRPr="000326CF" w14:paraId="3B79E050" w14:textId="77777777" w:rsidTr="00FC1070">
        <w:trPr>
          <w:trHeight w:val="37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DA0F1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435E3" w14:textId="77777777" w:rsidR="00FC1070" w:rsidRPr="00F26A16" w:rsidRDefault="00FC1070" w:rsidP="00FC1070">
            <w:pPr>
              <w:tabs>
                <w:tab w:val="clear" w:pos="710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18"/>
                <w:lang w:val="pl-PL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4145D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62.46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17E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7531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1</w:t>
            </w:r>
            <w:r w:rsidRPr="00F26A16">
              <w:rPr>
                <w:rFonts w:ascii="Calibri" w:hAnsi="Calibri" w:cs="Calibri"/>
                <w:color w:val="000000"/>
                <w:szCs w:val="18"/>
              </w:rPr>
              <w:t>5.95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B0A86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F6B82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C0FE1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449</w:t>
            </w:r>
          </w:p>
        </w:tc>
      </w:tr>
      <w:tr w:rsidR="00FC1070" w:rsidRPr="000326CF" w14:paraId="7BD07B52" w14:textId="77777777" w:rsidTr="00FC107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F3208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F35FE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505A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79.48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268EE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8</w:t>
            </w:r>
            <w:r w:rsidRPr="00F26A16">
              <w:rPr>
                <w:rFonts w:ascii="Calibri" w:hAnsi="Calibri" w:cs="Calibri"/>
                <w:color w:val="000000"/>
                <w:szCs w:val="18"/>
              </w:rPr>
              <w:t>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0634D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19.69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7018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0A81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3</w:t>
            </w:r>
            <w:r w:rsidRPr="00F26A16">
              <w:rPr>
                <w:rFonts w:ascii="Calibri" w:hAnsi="Calibri" w:cs="Calibri"/>
                <w:color w:val="000000"/>
                <w:szCs w:val="18"/>
              </w:rPr>
              <w:t>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2E323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366</w:t>
            </w:r>
          </w:p>
        </w:tc>
      </w:tr>
      <w:tr w:rsidR="00FC1070" w:rsidRPr="000326CF" w14:paraId="083F7E8C" w14:textId="77777777" w:rsidTr="00FC107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7EF2E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F6AE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462A1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72.09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87E00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9.42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92B9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27.45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7C369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064E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B5F30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334</w:t>
            </w:r>
          </w:p>
        </w:tc>
      </w:tr>
      <w:tr w:rsidR="00FC1070" w:rsidRPr="000326CF" w14:paraId="28A03982" w14:textId="77777777" w:rsidTr="00FC107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666A1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D09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DB069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68.18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55C2D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10.72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DEE63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24.57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EFCBF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2E862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9A588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354</w:t>
            </w:r>
          </w:p>
        </w:tc>
      </w:tr>
      <w:tr w:rsidR="00FC1070" w:rsidRPr="000326CF" w14:paraId="5590B1BB" w14:textId="77777777" w:rsidTr="00FC107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B07AB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203FC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FC4B8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71.33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AAF84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26.91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C51B7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34.02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7AF7F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4890F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C9E9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391</w:t>
            </w:r>
          </w:p>
        </w:tc>
      </w:tr>
      <w:tr w:rsidR="00FC1070" w:rsidRPr="000326CF" w14:paraId="74DBD241" w14:textId="77777777" w:rsidTr="00FC1070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F34B7" w14:textId="77777777" w:rsidR="00FC1070" w:rsidRPr="000326CF" w:rsidRDefault="00FC1070" w:rsidP="00FC107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Cs w:val="18"/>
                <w:lang w:eastAsia="pl-PL"/>
              </w:rPr>
            </w:pPr>
            <w:r w:rsidRPr="000326CF">
              <w:rPr>
                <w:rFonts w:asciiTheme="minorHAnsi" w:hAnsiTheme="minorHAnsi" w:cs="Calibri"/>
                <w:color w:val="000000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62BE5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EBABE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66.87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F00F7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31.86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4B39C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43.75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B4422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1ABBD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62DE7" w14:textId="77777777" w:rsidR="00FC1070" w:rsidRPr="00F26A16" w:rsidRDefault="00FC1070" w:rsidP="00FC1070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F26A16">
              <w:rPr>
                <w:rFonts w:ascii="Calibri" w:hAnsi="Calibri" w:cs="Calibri"/>
                <w:color w:val="000000"/>
                <w:szCs w:val="18"/>
              </w:rPr>
              <w:t>544</w:t>
            </w:r>
          </w:p>
        </w:tc>
      </w:tr>
    </w:tbl>
    <w:p w14:paraId="301DF19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7C8F529" w14:textId="77777777" w:rsidR="00704BDF" w:rsidRPr="001244CF" w:rsidRDefault="00835B32" w:rsidP="00207000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macromolecule components of the microgranule fertilizer diffuse through the solid matrix very slowly. The transport of the protein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accompanied with their degradation, which induces formation of ammonium ions. The maximum of the protein concentration and ammonia ions is reached at very close dista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microgranule,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the fertilizer </w:t>
      </w:r>
      <w:r w:rsidR="00BE3C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granule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should be </w:t>
      </w:r>
      <w:r w:rsidR="00BE3C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placed 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vicinity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plant</w:t>
      </w:r>
      <w:r w:rsidR="00BE3C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grain</w:t>
      </w:r>
      <w:r w:rsidR="001244C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371E330" w14:textId="77777777" w:rsidR="00704BDF" w:rsidRPr="008D0BEB" w:rsidRDefault="00207000" w:rsidP="00207000">
      <w:pPr>
        <w:snapToGrid w:val="0"/>
        <w:spacing w:line="24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325723F" w14:textId="77777777" w:rsidR="00BE3CD8" w:rsidRPr="00BE3CD8" w:rsidRDefault="001244CF" w:rsidP="0059112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jc w:val="left"/>
        <w:rPr>
          <w:rFonts w:asciiTheme="minorHAnsi" w:eastAsiaTheme="minorHAnsi" w:hAnsiTheme="minorHAnsi"/>
          <w:iCs/>
        </w:rPr>
      </w:pPr>
      <w:r w:rsidRPr="00BE3CD8">
        <w:rPr>
          <w:rFonts w:asciiTheme="minorHAnsi" w:eastAsiaTheme="minorHAnsi" w:hAnsiTheme="minorHAnsi"/>
        </w:rPr>
        <w:t>S.H.</w:t>
      </w:r>
      <w:r>
        <w:rPr>
          <w:rFonts w:asciiTheme="minorHAnsi" w:eastAsiaTheme="minorHAnsi" w:hAnsiTheme="minorHAnsi"/>
        </w:rPr>
        <w:t xml:space="preserve"> </w:t>
      </w:r>
      <w:proofErr w:type="spellStart"/>
      <w:proofErr w:type="gramStart"/>
      <w:r w:rsidR="00BE3CD8" w:rsidRPr="00BE3CD8">
        <w:rPr>
          <w:rFonts w:asciiTheme="minorHAnsi" w:eastAsiaTheme="minorHAnsi" w:hAnsiTheme="minorHAnsi"/>
        </w:rPr>
        <w:t>Chien</w:t>
      </w:r>
      <w:proofErr w:type="spellEnd"/>
      <w:r w:rsidR="00BE3CD8" w:rsidRPr="00BE3CD8">
        <w:rPr>
          <w:rFonts w:asciiTheme="minorHAnsi" w:eastAsiaTheme="minorHAnsi" w:hAnsiTheme="minorHAnsi"/>
        </w:rPr>
        <w:t xml:space="preserve">,  </w:t>
      </w:r>
      <w:r>
        <w:rPr>
          <w:rFonts w:asciiTheme="minorHAnsi" w:eastAsiaTheme="minorHAnsi" w:hAnsiTheme="minorHAnsi"/>
        </w:rPr>
        <w:t>L.I.</w:t>
      </w:r>
      <w:proofErr w:type="gramEnd"/>
      <w:r>
        <w:rPr>
          <w:rFonts w:asciiTheme="minorHAnsi" w:eastAsiaTheme="minorHAnsi" w:hAnsiTheme="minorHAnsi"/>
        </w:rPr>
        <w:t xml:space="preserve"> </w:t>
      </w:r>
      <w:proofErr w:type="spellStart"/>
      <w:r w:rsidR="00BE3CD8" w:rsidRPr="00BE3CD8">
        <w:rPr>
          <w:rFonts w:asciiTheme="minorHAnsi" w:eastAsiaTheme="minorHAnsi" w:hAnsiTheme="minorHAnsi"/>
        </w:rPr>
        <w:t>Prochnow</w:t>
      </w:r>
      <w:proofErr w:type="spellEnd"/>
      <w:r w:rsidR="00BE3CD8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>S. Tu</w:t>
      </w:r>
      <w:r w:rsidR="000326CF">
        <w:rPr>
          <w:rFonts w:asciiTheme="minorHAnsi" w:eastAsiaTheme="minorHAnsi" w:hAnsiTheme="minorHAnsi"/>
        </w:rPr>
        <w:t>, Snyder C.S., Nut. Cyc.</w:t>
      </w:r>
      <w:r w:rsidR="00BE3CD8" w:rsidRPr="00BE3CD8">
        <w:rPr>
          <w:rFonts w:asciiTheme="minorHAnsi" w:eastAsiaTheme="minorHAnsi" w:hAnsiTheme="minorHAnsi"/>
        </w:rPr>
        <w:t xml:space="preserve"> </w:t>
      </w:r>
      <w:proofErr w:type="spellStart"/>
      <w:r w:rsidR="000326CF">
        <w:rPr>
          <w:rFonts w:asciiTheme="minorHAnsi" w:eastAsiaTheme="minorHAnsi" w:hAnsiTheme="minorHAnsi"/>
        </w:rPr>
        <w:t>Agroecosys</w:t>
      </w:r>
      <w:proofErr w:type="spellEnd"/>
      <w:r w:rsidR="000326CF">
        <w:rPr>
          <w:rFonts w:asciiTheme="minorHAnsi" w:eastAsiaTheme="minorHAnsi" w:hAnsiTheme="minorHAnsi"/>
        </w:rPr>
        <w:t>.</w:t>
      </w:r>
      <w:r w:rsidR="00BE3CD8" w:rsidRPr="00BE3CD8">
        <w:rPr>
          <w:rFonts w:asciiTheme="minorHAnsi" w:eastAsiaTheme="minorHAnsi" w:hAnsiTheme="minorHAnsi"/>
        </w:rPr>
        <w:t xml:space="preserve">  89 (2011) 229-255</w:t>
      </w:r>
      <w:r w:rsidR="000326CF">
        <w:rPr>
          <w:rFonts w:asciiTheme="minorHAnsi" w:eastAsiaTheme="minorHAnsi" w:hAnsiTheme="minorHAnsi"/>
        </w:rPr>
        <w:t>.</w:t>
      </w:r>
    </w:p>
    <w:p w14:paraId="4E9C8B24" w14:textId="77777777" w:rsidR="00BE3CD8" w:rsidRDefault="001244CF" w:rsidP="00BE3CD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jc w:val="left"/>
        <w:rPr>
          <w:rFonts w:asciiTheme="minorHAnsi" w:eastAsiaTheme="minorHAnsi" w:hAnsiTheme="minorHAnsi"/>
          <w:iCs/>
        </w:rPr>
      </w:pPr>
      <w:r w:rsidRPr="00BE3CD8">
        <w:rPr>
          <w:rFonts w:asciiTheme="minorHAnsi" w:eastAsiaTheme="minorHAnsi" w:hAnsiTheme="minorHAnsi"/>
        </w:rPr>
        <w:t>P.K.</w:t>
      </w:r>
      <w:r>
        <w:rPr>
          <w:rFonts w:asciiTheme="minorHAnsi" w:eastAsiaTheme="minorHAnsi" w:hAnsiTheme="minorHAnsi"/>
        </w:rPr>
        <w:t>, Ghosh</w:t>
      </w:r>
      <w:r w:rsidR="00C35C21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K.K. </w:t>
      </w:r>
      <w:r w:rsidR="00C35C21" w:rsidRPr="00BE3CD8">
        <w:rPr>
          <w:rFonts w:asciiTheme="minorHAnsi" w:eastAsiaTheme="minorHAnsi" w:hAnsiTheme="minorHAnsi"/>
        </w:rPr>
        <w:t xml:space="preserve">Bandyopadhyay, </w:t>
      </w:r>
      <w:r>
        <w:rPr>
          <w:rFonts w:asciiTheme="minorHAnsi" w:eastAsiaTheme="minorHAnsi" w:hAnsiTheme="minorHAnsi"/>
        </w:rPr>
        <w:t xml:space="preserve">R.H. </w:t>
      </w:r>
      <w:proofErr w:type="spellStart"/>
      <w:r w:rsidR="00C35C21" w:rsidRPr="00BE3CD8">
        <w:rPr>
          <w:rFonts w:asciiTheme="minorHAnsi" w:eastAsiaTheme="minorHAnsi" w:hAnsiTheme="minorHAnsi"/>
        </w:rPr>
        <w:t>Wanjari</w:t>
      </w:r>
      <w:proofErr w:type="spellEnd"/>
      <w:r w:rsidR="00C35C21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M.C. </w:t>
      </w:r>
      <w:r w:rsidR="00C35C21" w:rsidRPr="00BE3CD8">
        <w:rPr>
          <w:rFonts w:asciiTheme="minorHAnsi" w:eastAsiaTheme="minorHAnsi" w:hAnsiTheme="minorHAnsi"/>
        </w:rPr>
        <w:t xml:space="preserve">Manna, </w:t>
      </w:r>
      <w:r>
        <w:rPr>
          <w:rFonts w:asciiTheme="minorHAnsi" w:eastAsiaTheme="minorHAnsi" w:hAnsiTheme="minorHAnsi"/>
        </w:rPr>
        <w:t xml:space="preserve">A.K. </w:t>
      </w:r>
      <w:proofErr w:type="spellStart"/>
      <w:r w:rsidR="00C35C21" w:rsidRPr="00BE3CD8">
        <w:rPr>
          <w:rFonts w:asciiTheme="minorHAnsi" w:eastAsiaTheme="minorHAnsi" w:hAnsiTheme="minorHAnsi"/>
        </w:rPr>
        <w:t>Misra</w:t>
      </w:r>
      <w:proofErr w:type="spellEnd"/>
      <w:r w:rsidR="00C35C21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M. </w:t>
      </w:r>
      <w:r w:rsidR="00C35C21" w:rsidRPr="00BE3CD8">
        <w:rPr>
          <w:rFonts w:asciiTheme="minorHAnsi" w:eastAsiaTheme="minorHAnsi" w:hAnsiTheme="minorHAnsi"/>
        </w:rPr>
        <w:t xml:space="preserve">Mohanty, </w:t>
      </w:r>
      <w:r>
        <w:rPr>
          <w:rFonts w:asciiTheme="minorHAnsi" w:eastAsiaTheme="minorHAnsi" w:hAnsiTheme="minorHAnsi"/>
        </w:rPr>
        <w:t xml:space="preserve">A.S. </w:t>
      </w:r>
      <w:r w:rsidR="00C35C21" w:rsidRPr="00BE3CD8">
        <w:rPr>
          <w:rFonts w:asciiTheme="minorHAnsi" w:eastAsiaTheme="minorHAnsi" w:hAnsiTheme="minorHAnsi"/>
        </w:rPr>
        <w:t>Rao, J</w:t>
      </w:r>
      <w:r w:rsidR="000326CF">
        <w:rPr>
          <w:rFonts w:asciiTheme="minorHAnsi" w:eastAsiaTheme="minorHAnsi" w:hAnsiTheme="minorHAnsi"/>
        </w:rPr>
        <w:t>.</w:t>
      </w:r>
      <w:r w:rsidR="000326CF" w:rsidRPr="00BE3CD8">
        <w:rPr>
          <w:rFonts w:asciiTheme="minorHAnsi" w:eastAsiaTheme="minorHAnsi" w:hAnsiTheme="minorHAnsi"/>
        </w:rPr>
        <w:t xml:space="preserve"> </w:t>
      </w:r>
      <w:r w:rsidR="000326CF">
        <w:rPr>
          <w:rFonts w:asciiTheme="minorHAnsi" w:eastAsiaTheme="minorHAnsi" w:hAnsiTheme="minorHAnsi"/>
        </w:rPr>
        <w:t xml:space="preserve">Sustain. </w:t>
      </w:r>
      <w:proofErr w:type="spellStart"/>
      <w:r w:rsidR="000326CF">
        <w:rPr>
          <w:rFonts w:asciiTheme="minorHAnsi" w:eastAsiaTheme="minorHAnsi" w:hAnsiTheme="minorHAnsi"/>
        </w:rPr>
        <w:t>Agr</w:t>
      </w:r>
      <w:proofErr w:type="spellEnd"/>
      <w:r w:rsidR="000326CF">
        <w:rPr>
          <w:rFonts w:asciiTheme="minorHAnsi" w:eastAsiaTheme="minorHAnsi" w:hAnsiTheme="minorHAnsi"/>
        </w:rPr>
        <w:t>.</w:t>
      </w:r>
      <w:r w:rsidR="00BE3CD8" w:rsidRPr="00BE3CD8">
        <w:rPr>
          <w:rFonts w:asciiTheme="minorHAnsi" w:eastAsiaTheme="minorHAnsi" w:hAnsiTheme="minorHAnsi"/>
        </w:rPr>
        <w:t>, 30 (2007)</w:t>
      </w:r>
      <w:r w:rsidR="00C35C21" w:rsidRPr="00BE3CD8">
        <w:rPr>
          <w:rFonts w:asciiTheme="minorHAnsi" w:eastAsiaTheme="minorHAnsi" w:hAnsiTheme="minorHAnsi"/>
        </w:rPr>
        <w:t xml:space="preserve"> 61-86</w:t>
      </w:r>
      <w:r w:rsidR="000326CF">
        <w:rPr>
          <w:rFonts w:asciiTheme="minorHAnsi" w:eastAsiaTheme="minorHAnsi" w:hAnsiTheme="minorHAnsi"/>
        </w:rPr>
        <w:t>.</w:t>
      </w:r>
    </w:p>
    <w:p w14:paraId="6692BD05" w14:textId="77777777" w:rsidR="00704BDF" w:rsidRPr="007A2F73" w:rsidRDefault="000326C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jc w:val="left"/>
        <w:rPr>
          <w:rFonts w:asciiTheme="minorHAnsi" w:eastAsiaTheme="minorHAnsi" w:hAnsiTheme="minorHAnsi"/>
          <w:iCs/>
        </w:rPr>
      </w:pPr>
      <w:r>
        <w:rPr>
          <w:rFonts w:asciiTheme="minorHAnsi" w:eastAsiaTheme="minorHAnsi" w:hAnsiTheme="minorHAnsi"/>
        </w:rPr>
        <w:t xml:space="preserve">A.J. </w:t>
      </w:r>
      <w:proofErr w:type="spellStart"/>
      <w:r w:rsidR="00C35C21" w:rsidRPr="00BE3CD8">
        <w:rPr>
          <w:rFonts w:asciiTheme="minorHAnsi" w:eastAsiaTheme="minorHAnsi" w:hAnsiTheme="minorHAnsi"/>
        </w:rPr>
        <w:t>Weatherley</w:t>
      </w:r>
      <w:proofErr w:type="spellEnd"/>
      <w:r w:rsidR="00C35C21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B.F. </w:t>
      </w:r>
      <w:r w:rsidR="00C35C21" w:rsidRPr="00BE3CD8">
        <w:rPr>
          <w:rFonts w:asciiTheme="minorHAnsi" w:eastAsiaTheme="minorHAnsi" w:hAnsiTheme="minorHAnsi"/>
        </w:rPr>
        <w:t xml:space="preserve">Quin, </w:t>
      </w:r>
      <w:r>
        <w:rPr>
          <w:rFonts w:asciiTheme="minorHAnsi" w:eastAsiaTheme="minorHAnsi" w:hAnsiTheme="minorHAnsi"/>
        </w:rPr>
        <w:t xml:space="preserve">K.B. </w:t>
      </w:r>
      <w:proofErr w:type="spellStart"/>
      <w:r w:rsidR="00C35C21" w:rsidRPr="00BE3CD8">
        <w:rPr>
          <w:rFonts w:asciiTheme="minorHAnsi" w:eastAsiaTheme="minorHAnsi" w:hAnsiTheme="minorHAnsi"/>
        </w:rPr>
        <w:t>Dassanayake</w:t>
      </w:r>
      <w:proofErr w:type="spellEnd"/>
      <w:r w:rsidR="00C35C21" w:rsidRPr="00BE3CD8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 xml:space="preserve">J.S. </w:t>
      </w:r>
      <w:proofErr w:type="spellStart"/>
      <w:r w:rsidR="00C35C21" w:rsidRPr="00BE3CD8">
        <w:rPr>
          <w:rFonts w:asciiTheme="minorHAnsi" w:eastAsiaTheme="minorHAnsi" w:hAnsiTheme="minorHAnsi"/>
        </w:rPr>
        <w:t>Rowarth</w:t>
      </w:r>
      <w:proofErr w:type="spellEnd"/>
      <w:r w:rsidR="00C35C21" w:rsidRPr="00BE3CD8">
        <w:rPr>
          <w:rFonts w:asciiTheme="minorHAnsi" w:eastAsiaTheme="minorHAnsi" w:hAnsiTheme="minorHAnsi"/>
        </w:rPr>
        <w:t xml:space="preserve">, </w:t>
      </w:r>
      <w:r w:rsidR="00BE3CD8">
        <w:rPr>
          <w:rFonts w:asciiTheme="minorHAnsi" w:eastAsiaTheme="minorHAnsi" w:hAnsiTheme="minorHAnsi"/>
        </w:rPr>
        <w:t>Chemical Industry 92</w:t>
      </w:r>
      <w:r w:rsidR="00C35C21" w:rsidRPr="00BE3CD8">
        <w:rPr>
          <w:rFonts w:asciiTheme="minorHAnsi" w:eastAsiaTheme="minorHAnsi" w:hAnsiTheme="minorHAnsi"/>
        </w:rPr>
        <w:t xml:space="preserve"> </w:t>
      </w:r>
      <w:r w:rsidR="00BE3CD8">
        <w:rPr>
          <w:rFonts w:asciiTheme="minorHAnsi" w:eastAsiaTheme="minorHAnsi" w:hAnsiTheme="minorHAnsi"/>
        </w:rPr>
        <w:t>(2013)</w:t>
      </w:r>
      <w:r w:rsidR="00C35C21" w:rsidRPr="00BE3CD8">
        <w:rPr>
          <w:rFonts w:asciiTheme="minorHAnsi" w:eastAsiaTheme="minorHAnsi" w:hAnsiTheme="minorHAnsi"/>
        </w:rPr>
        <w:t xml:space="preserve"> 1289-1295</w:t>
      </w:r>
    </w:p>
    <w:p w14:paraId="266A4A9A" w14:textId="77777777" w:rsidR="007A2F73" w:rsidRDefault="007A2F73" w:rsidP="007A2F73">
      <w:pPr>
        <w:widowControl w:val="0"/>
        <w:spacing w:line="240" w:lineRule="auto"/>
        <w:rPr>
          <w:rFonts w:ascii="Times New Roman" w:hAnsi="Times New Roman"/>
          <w:i/>
          <w:szCs w:val="18"/>
          <w:lang w:val="en-US"/>
        </w:rPr>
      </w:pPr>
    </w:p>
    <w:p w14:paraId="4864FE60" w14:textId="2FD6D7F9" w:rsidR="00620F56" w:rsidRPr="006F6511" w:rsidRDefault="007A2F73" w:rsidP="007A2F73">
      <w:pPr>
        <w:widowControl w:val="0"/>
        <w:spacing w:line="240" w:lineRule="auto"/>
        <w:rPr>
          <w:rFonts w:ascii="Times New Roman" w:hAnsi="Times New Roman"/>
          <w:i/>
          <w:szCs w:val="18"/>
          <w:lang w:val="en-US"/>
        </w:rPr>
      </w:pPr>
      <w:r w:rsidRPr="007A2F73">
        <w:rPr>
          <w:rFonts w:ascii="Times New Roman" w:hAnsi="Times New Roman"/>
          <w:i/>
          <w:szCs w:val="18"/>
          <w:lang w:val="en-US"/>
        </w:rPr>
        <w:t>Financial support of this work by National Center for Research and Development, Poland (project BIOSTRATEG1/270963/6/ NCBR/2015) is gratefully acknowledged.</w:t>
      </w:r>
      <w:bookmarkStart w:id="0" w:name="_GoBack"/>
      <w:bookmarkEnd w:id="0"/>
    </w:p>
    <w:sectPr w:rsidR="00620F56" w:rsidRPr="006F651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BCC2" w14:textId="77777777" w:rsidR="00B83978" w:rsidRDefault="00B83978" w:rsidP="004F5E36">
      <w:r>
        <w:separator/>
      </w:r>
    </w:p>
  </w:endnote>
  <w:endnote w:type="continuationSeparator" w:id="0">
    <w:p w14:paraId="6BE823E5" w14:textId="77777777" w:rsidR="00B83978" w:rsidRDefault="00B8397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BDD2" w14:textId="77777777" w:rsidR="00B83978" w:rsidRDefault="00B83978" w:rsidP="004F5E36">
      <w:r>
        <w:separator/>
      </w:r>
    </w:p>
  </w:footnote>
  <w:footnote w:type="continuationSeparator" w:id="0">
    <w:p w14:paraId="2DA7386A" w14:textId="77777777" w:rsidR="00B83978" w:rsidRDefault="00B8397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3A96" w14:textId="77777777" w:rsidR="004D1162" w:rsidRDefault="00594E9F">
    <w:pPr>
      <w:pStyle w:val="Intestazione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9D8106" wp14:editId="526B8F3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6EA7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362B24A" wp14:editId="7C5E6AE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18F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388F63" wp14:editId="0DE1B6E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E68668B" w14:textId="77777777" w:rsidR="00704BDF" w:rsidRDefault="00704BDF">
    <w:pPr>
      <w:pStyle w:val="Intestazione"/>
    </w:pPr>
  </w:p>
  <w:p w14:paraId="6632CB05" w14:textId="77777777" w:rsidR="00704BDF" w:rsidRDefault="00704BDF">
    <w:pPr>
      <w:pStyle w:val="Intestazione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1E7DA" wp14:editId="4098515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0FDF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5A2C"/>
    <w:rsid w:val="000117CB"/>
    <w:rsid w:val="0003148D"/>
    <w:rsid w:val="000326CF"/>
    <w:rsid w:val="00061581"/>
    <w:rsid w:val="00062A9A"/>
    <w:rsid w:val="000A03B2"/>
    <w:rsid w:val="000A4668"/>
    <w:rsid w:val="000D34BE"/>
    <w:rsid w:val="000E36F1"/>
    <w:rsid w:val="000E3A73"/>
    <w:rsid w:val="000E414A"/>
    <w:rsid w:val="00110D56"/>
    <w:rsid w:val="001244CF"/>
    <w:rsid w:val="0013121F"/>
    <w:rsid w:val="00131AC8"/>
    <w:rsid w:val="00134DE4"/>
    <w:rsid w:val="00150E59"/>
    <w:rsid w:val="00184AD6"/>
    <w:rsid w:val="001B65C1"/>
    <w:rsid w:val="001C684B"/>
    <w:rsid w:val="001D2397"/>
    <w:rsid w:val="001D53FC"/>
    <w:rsid w:val="001F2EC7"/>
    <w:rsid w:val="002065DB"/>
    <w:rsid w:val="00207000"/>
    <w:rsid w:val="002447EF"/>
    <w:rsid w:val="00251550"/>
    <w:rsid w:val="00267DE9"/>
    <w:rsid w:val="0027221A"/>
    <w:rsid w:val="00275B61"/>
    <w:rsid w:val="00283389"/>
    <w:rsid w:val="002A6113"/>
    <w:rsid w:val="002C2803"/>
    <w:rsid w:val="002D1F12"/>
    <w:rsid w:val="002E33E2"/>
    <w:rsid w:val="003009B7"/>
    <w:rsid w:val="0030469C"/>
    <w:rsid w:val="0031375E"/>
    <w:rsid w:val="00332588"/>
    <w:rsid w:val="003723D4"/>
    <w:rsid w:val="003946DB"/>
    <w:rsid w:val="003960D7"/>
    <w:rsid w:val="00397145"/>
    <w:rsid w:val="003A11EE"/>
    <w:rsid w:val="003A7D1C"/>
    <w:rsid w:val="0046164A"/>
    <w:rsid w:val="00462DCD"/>
    <w:rsid w:val="004D1162"/>
    <w:rsid w:val="004D28E8"/>
    <w:rsid w:val="004E4DD6"/>
    <w:rsid w:val="004F5E36"/>
    <w:rsid w:val="005119A5"/>
    <w:rsid w:val="00524EFC"/>
    <w:rsid w:val="005278B7"/>
    <w:rsid w:val="005346C8"/>
    <w:rsid w:val="00594E9F"/>
    <w:rsid w:val="005B0BF3"/>
    <w:rsid w:val="005B538E"/>
    <w:rsid w:val="005B61E6"/>
    <w:rsid w:val="005B625A"/>
    <w:rsid w:val="005C77E1"/>
    <w:rsid w:val="005D6A2F"/>
    <w:rsid w:val="005E1A82"/>
    <w:rsid w:val="005F0A28"/>
    <w:rsid w:val="005F0E5E"/>
    <w:rsid w:val="00620DEE"/>
    <w:rsid w:val="00620F56"/>
    <w:rsid w:val="00625639"/>
    <w:rsid w:val="0064184D"/>
    <w:rsid w:val="00660E3E"/>
    <w:rsid w:val="00662E74"/>
    <w:rsid w:val="006A58D2"/>
    <w:rsid w:val="006C5579"/>
    <w:rsid w:val="006F6511"/>
    <w:rsid w:val="00704BDF"/>
    <w:rsid w:val="00736B13"/>
    <w:rsid w:val="007447F3"/>
    <w:rsid w:val="007661C8"/>
    <w:rsid w:val="00777F17"/>
    <w:rsid w:val="007A2F73"/>
    <w:rsid w:val="007A60E3"/>
    <w:rsid w:val="007B6757"/>
    <w:rsid w:val="007D52CD"/>
    <w:rsid w:val="007E0120"/>
    <w:rsid w:val="00813288"/>
    <w:rsid w:val="008168FC"/>
    <w:rsid w:val="00835B32"/>
    <w:rsid w:val="008479A2"/>
    <w:rsid w:val="0087637F"/>
    <w:rsid w:val="008A0698"/>
    <w:rsid w:val="008A1512"/>
    <w:rsid w:val="008A422A"/>
    <w:rsid w:val="008A7D75"/>
    <w:rsid w:val="008B2C8C"/>
    <w:rsid w:val="008B3ECF"/>
    <w:rsid w:val="008D0BEB"/>
    <w:rsid w:val="008E1405"/>
    <w:rsid w:val="008E566E"/>
    <w:rsid w:val="00901EB6"/>
    <w:rsid w:val="00903F4C"/>
    <w:rsid w:val="009450CE"/>
    <w:rsid w:val="00946AE2"/>
    <w:rsid w:val="0095164B"/>
    <w:rsid w:val="00957B9D"/>
    <w:rsid w:val="00996483"/>
    <w:rsid w:val="009B4436"/>
    <w:rsid w:val="009E788A"/>
    <w:rsid w:val="009F21F8"/>
    <w:rsid w:val="00A0661B"/>
    <w:rsid w:val="00A1763D"/>
    <w:rsid w:val="00A17CEC"/>
    <w:rsid w:val="00A27EF0"/>
    <w:rsid w:val="00A40F45"/>
    <w:rsid w:val="00A5179A"/>
    <w:rsid w:val="00A51B9C"/>
    <w:rsid w:val="00A5401B"/>
    <w:rsid w:val="00A76EFC"/>
    <w:rsid w:val="00A9626B"/>
    <w:rsid w:val="00A97F29"/>
    <w:rsid w:val="00AB0964"/>
    <w:rsid w:val="00AC1934"/>
    <w:rsid w:val="00AD2409"/>
    <w:rsid w:val="00AE377D"/>
    <w:rsid w:val="00B61DBF"/>
    <w:rsid w:val="00B83978"/>
    <w:rsid w:val="00B8415B"/>
    <w:rsid w:val="00BC30C9"/>
    <w:rsid w:val="00BD225F"/>
    <w:rsid w:val="00BE3CD8"/>
    <w:rsid w:val="00BE3E58"/>
    <w:rsid w:val="00C01616"/>
    <w:rsid w:val="00C0162B"/>
    <w:rsid w:val="00C345B1"/>
    <w:rsid w:val="00C35C21"/>
    <w:rsid w:val="00C40142"/>
    <w:rsid w:val="00C43B7D"/>
    <w:rsid w:val="00C558B4"/>
    <w:rsid w:val="00C57182"/>
    <w:rsid w:val="00C655FD"/>
    <w:rsid w:val="00C867B1"/>
    <w:rsid w:val="00C94434"/>
    <w:rsid w:val="00CA1C95"/>
    <w:rsid w:val="00CA5A9C"/>
    <w:rsid w:val="00CD5FE2"/>
    <w:rsid w:val="00D02B4C"/>
    <w:rsid w:val="00D422E5"/>
    <w:rsid w:val="00D61EE9"/>
    <w:rsid w:val="00D65A99"/>
    <w:rsid w:val="00D84576"/>
    <w:rsid w:val="00D96CE4"/>
    <w:rsid w:val="00DD7B0A"/>
    <w:rsid w:val="00DE0019"/>
    <w:rsid w:val="00DE13D8"/>
    <w:rsid w:val="00DE264A"/>
    <w:rsid w:val="00E041E7"/>
    <w:rsid w:val="00E1062C"/>
    <w:rsid w:val="00E23CA1"/>
    <w:rsid w:val="00E409A8"/>
    <w:rsid w:val="00E7209D"/>
    <w:rsid w:val="00EA50E1"/>
    <w:rsid w:val="00EE0131"/>
    <w:rsid w:val="00EE4C8D"/>
    <w:rsid w:val="00F30C64"/>
    <w:rsid w:val="00F37554"/>
    <w:rsid w:val="00FB730C"/>
    <w:rsid w:val="00FC1070"/>
    <w:rsid w:val="00FC2695"/>
    <w:rsid w:val="00FC3E03"/>
    <w:rsid w:val="00FD063B"/>
    <w:rsid w:val="00FE6A2D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CD7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locked/>
    <w:rsid w:val="00FD063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A6113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st">
    <w:name w:val="st"/>
    <w:basedOn w:val="Carpredefinitoparagrafo"/>
    <w:rsid w:val="000326CF"/>
  </w:style>
  <w:style w:type="character" w:styleId="Enfasicorsivo">
    <w:name w:val="Emphasis"/>
    <w:basedOn w:val="Carpredefinitoparagrafo"/>
    <w:uiPriority w:val="20"/>
    <w:qFormat/>
    <w:locked/>
    <w:rsid w:val="000326CF"/>
    <w:rPr>
      <w:i/>
      <w:iCs/>
    </w:rPr>
  </w:style>
  <w:style w:type="character" w:customStyle="1" w:styleId="tlid-translation">
    <w:name w:val="tlid-translation"/>
    <w:basedOn w:val="Carpredefinitoparagrafo"/>
    <w:rsid w:val="005B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0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al\Documents\doktorat\grant\Grant%20-%20Nawozy\wyniki%20do%20artyku&#322;u\Badania%20nad%20dyfuzj&#261;%20granul\2.%20Piasek\D5%20-%20wilg.%2020%25%20-%20bia&#322;ko%20serwatkowe\Analiza%20stezeniowa%20bialka\Analiza%20stezeniowa%20bialk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hal\Documents\doktorat\grant\Grant%20-%20Nawozy\wyniki%20do%20artyku&#322;u\Badania%20nad%20dyfuzj&#261;%20granul\2.%20Piasek\D5%20-%20wilg.%2020%25%20-%20bia&#322;ko%20serwatkowe\Analiza%20stezeniowa%20bialka\Analiza%20stezeniowa%20bial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4571782148187"/>
          <c:y val="0.16908723874104972"/>
          <c:w val="0.79759007396802672"/>
          <c:h val="0.63790011376056743"/>
        </c:manualLayout>
      </c:layout>
      <c:barChart>
        <c:barDir val="col"/>
        <c:grouping val="clustered"/>
        <c:varyColors val="0"/>
        <c:ser>
          <c:idx val="0"/>
          <c:order val="0"/>
          <c:tx>
            <c:v>1 h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bialka.xlsx]Wykresy'!$D$3:$D$5</c:f>
              <c:numCache>
                <c:formatCode>0</c:formatCode>
                <c:ptCount val="3"/>
                <c:pt idx="0">
                  <c:v>4.2109699999999304</c:v>
                </c:pt>
                <c:pt idx="1">
                  <c:v>2.3957062000000144</c:v>
                </c:pt>
                <c:pt idx="2">
                  <c:v>0.39772699999997141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C-4755-BA1B-BEA03C3D5E3E}"/>
            </c:ext>
          </c:extLst>
        </c:ser>
        <c:ser>
          <c:idx val="1"/>
          <c:order val="1"/>
          <c:tx>
            <c:v>2h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bialka.xlsx]Wykresy'!$D$6:$D$8</c:f>
              <c:numCache>
                <c:formatCode>0</c:formatCode>
                <c:ptCount val="3"/>
                <c:pt idx="0">
                  <c:v>155.89043999999996</c:v>
                </c:pt>
                <c:pt idx="1">
                  <c:v>5.8830687999999602</c:v>
                </c:pt>
                <c:pt idx="2">
                  <c:v>3.1174440000000034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6C-4755-BA1B-BEA03C3D5E3E}"/>
            </c:ext>
          </c:extLst>
        </c:ser>
        <c:ser>
          <c:idx val="2"/>
          <c:order val="2"/>
          <c:tx>
            <c:v>24h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bialka.xlsx]Wykresy'!$D$9:$D$11</c:f>
              <c:numCache>
                <c:formatCode>0</c:formatCode>
                <c:ptCount val="3"/>
                <c:pt idx="0">
                  <c:v>310.12993199999988</c:v>
                </c:pt>
                <c:pt idx="1">
                  <c:v>13.79874239999997</c:v>
                </c:pt>
                <c:pt idx="2">
                  <c:v>5.0586170000000159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6C-4755-BA1B-BEA03C3D5E3E}"/>
            </c:ext>
          </c:extLst>
        </c:ser>
        <c:ser>
          <c:idx val="3"/>
          <c:order val="3"/>
          <c:tx>
            <c:v>48h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bialka.xlsx]Wykresy'!$D$12:$D$14</c:f>
              <c:numCache>
                <c:formatCode>0</c:formatCode>
                <c:ptCount val="3"/>
                <c:pt idx="0">
                  <c:v>488.40661659999995</c:v>
                </c:pt>
                <c:pt idx="1">
                  <c:v>21.88057860000001</c:v>
                </c:pt>
                <c:pt idx="2">
                  <c:v>11.562879399999989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6C-4755-BA1B-BEA03C3D5E3E}"/>
            </c:ext>
          </c:extLst>
        </c:ser>
        <c:ser>
          <c:idx val="4"/>
          <c:order val="4"/>
          <c:tx>
            <c:v>72h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bialka.xlsx]Wykresy'!$D$15:$D$17</c:f>
              <c:numCache>
                <c:formatCode>0</c:formatCode>
                <c:ptCount val="3"/>
                <c:pt idx="0">
                  <c:v>404.79083520000006</c:v>
                </c:pt>
                <c:pt idx="1">
                  <c:v>45.830553599999966</c:v>
                </c:pt>
                <c:pt idx="2">
                  <c:v>19.560119999999976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6C-4755-BA1B-BEA03C3D5E3E}"/>
            </c:ext>
          </c:extLst>
        </c:ser>
        <c:ser>
          <c:idx val="5"/>
          <c:order val="5"/>
          <c:tx>
            <c:v>120h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bialka.xlsx]Wykresy'!$D$18:$D$20</c:f>
              <c:numCache>
                <c:formatCode>0</c:formatCode>
                <c:ptCount val="3"/>
                <c:pt idx="0">
                  <c:v>327.70923360000006</c:v>
                </c:pt>
                <c:pt idx="1">
                  <c:v>55.543535999999982</c:v>
                </c:pt>
                <c:pt idx="2">
                  <c:v>27.767162400000039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6C-4755-BA1B-BEA03C3D5E3E}"/>
            </c:ext>
          </c:extLst>
        </c:ser>
        <c:ser>
          <c:idx val="6"/>
          <c:order val="6"/>
          <c:tx>
            <c:v>168h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bialka.xlsx]Wykresy'!$D$21:$D$23</c:f>
              <c:numCache>
                <c:formatCode>0</c:formatCode>
                <c:ptCount val="3"/>
                <c:pt idx="0">
                  <c:v>201.55103100000002</c:v>
                </c:pt>
                <c:pt idx="1">
                  <c:v>103.34443139999996</c:v>
                </c:pt>
                <c:pt idx="2">
                  <c:v>83.684983200000005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6C-4755-BA1B-BEA03C3D5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183488"/>
        <c:axId val="271444800"/>
      </c:barChart>
      <c:catAx>
        <c:axId val="293183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/>
                  <a:t>Distance [cm]</a:t>
                </a:r>
              </a:p>
            </c:rich>
          </c:tx>
          <c:layout>
            <c:manualLayout>
              <c:xMode val="edge"/>
              <c:yMode val="edge"/>
              <c:x val="0.41261096215053245"/>
              <c:y val="0.880518502821708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71444800"/>
        <c:crosses val="autoZero"/>
        <c:auto val="1"/>
        <c:lblAlgn val="ctr"/>
        <c:lblOffset val="100"/>
        <c:noMultiLvlLbl val="0"/>
      </c:catAx>
      <c:valAx>
        <c:axId val="271444800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aseline="0"/>
                  <a:t>x [mg of protein  L</a:t>
                </a:r>
                <a:r>
                  <a:rPr lang="pl-PL" sz="800" baseline="30000"/>
                  <a:t>-1</a:t>
                </a:r>
                <a:r>
                  <a:rPr lang="pl-PL" sz="800" baseline="0"/>
                  <a:t>  of matrix</a:t>
                </a:r>
                <a:endParaRPr lang="pl-PL" sz="800"/>
              </a:p>
            </c:rich>
          </c:tx>
          <c:layout>
            <c:manualLayout>
              <c:xMode val="edge"/>
              <c:yMode val="edge"/>
              <c:x val="4.8752573108638781E-3"/>
              <c:y val="0.1764250775471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93183488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4.486369096004756E-2"/>
          <c:y val="1.559746603912472E-3"/>
          <c:w val="0.9"/>
          <c:h val="0.12389954559644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4571782148187"/>
          <c:y val="0.16908723874104972"/>
          <c:w val="0.79759007396802672"/>
          <c:h val="0.63790011376056743"/>
        </c:manualLayout>
      </c:layout>
      <c:barChart>
        <c:barDir val="col"/>
        <c:grouping val="clustered"/>
        <c:varyColors val="0"/>
        <c:ser>
          <c:idx val="0"/>
          <c:order val="0"/>
          <c:tx>
            <c:v>1 h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bialka.xlsx]Wykresy'!$D$3:$D$5</c:f>
              <c:numCache>
                <c:formatCode>0</c:formatCode>
                <c:ptCount val="3"/>
                <c:pt idx="0">
                  <c:v>4.2109699999999304</c:v>
                </c:pt>
                <c:pt idx="1">
                  <c:v>2.3957062000000144</c:v>
                </c:pt>
                <c:pt idx="2">
                  <c:v>0.39772699999997141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C-4755-BA1B-BEA03C3D5E3E}"/>
            </c:ext>
          </c:extLst>
        </c:ser>
        <c:ser>
          <c:idx val="1"/>
          <c:order val="1"/>
          <c:tx>
            <c:v>2h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bialka.xlsx]Wykresy'!$D$6:$D$8</c:f>
              <c:numCache>
                <c:formatCode>0</c:formatCode>
                <c:ptCount val="3"/>
                <c:pt idx="0">
                  <c:v>155.89043999999996</c:v>
                </c:pt>
                <c:pt idx="1">
                  <c:v>5.8830687999999602</c:v>
                </c:pt>
                <c:pt idx="2">
                  <c:v>3.1174440000000034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6C-4755-BA1B-BEA03C3D5E3E}"/>
            </c:ext>
          </c:extLst>
        </c:ser>
        <c:ser>
          <c:idx val="2"/>
          <c:order val="2"/>
          <c:tx>
            <c:v>24h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bialka.xlsx]Wykresy'!$D$9:$D$11</c:f>
              <c:numCache>
                <c:formatCode>0</c:formatCode>
                <c:ptCount val="3"/>
                <c:pt idx="0">
                  <c:v>310.12993199999988</c:v>
                </c:pt>
                <c:pt idx="1">
                  <c:v>13.79874239999997</c:v>
                </c:pt>
                <c:pt idx="2">
                  <c:v>5.0586170000000159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6C-4755-BA1B-BEA03C3D5E3E}"/>
            </c:ext>
          </c:extLst>
        </c:ser>
        <c:ser>
          <c:idx val="3"/>
          <c:order val="3"/>
          <c:tx>
            <c:v>48h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bialka.xlsx]Wykresy'!$D$12:$D$14</c:f>
              <c:numCache>
                <c:formatCode>0</c:formatCode>
                <c:ptCount val="3"/>
                <c:pt idx="0">
                  <c:v>488.40661659999995</c:v>
                </c:pt>
                <c:pt idx="1">
                  <c:v>21.88057860000001</c:v>
                </c:pt>
                <c:pt idx="2">
                  <c:v>11.562879399999989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6C-4755-BA1B-BEA03C3D5E3E}"/>
            </c:ext>
          </c:extLst>
        </c:ser>
        <c:ser>
          <c:idx val="4"/>
          <c:order val="4"/>
          <c:tx>
            <c:v>72h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bialka.xlsx]Wykresy'!$D$15:$D$17</c:f>
              <c:numCache>
                <c:formatCode>0</c:formatCode>
                <c:ptCount val="3"/>
                <c:pt idx="0">
                  <c:v>404.79083520000006</c:v>
                </c:pt>
                <c:pt idx="1">
                  <c:v>45.830553599999966</c:v>
                </c:pt>
                <c:pt idx="2">
                  <c:v>19.560119999999976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6C-4755-BA1B-BEA03C3D5E3E}"/>
            </c:ext>
          </c:extLst>
        </c:ser>
        <c:ser>
          <c:idx val="5"/>
          <c:order val="5"/>
          <c:tx>
            <c:v>120h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bialka.xlsx]Wykresy'!$D$18:$D$20</c:f>
              <c:numCache>
                <c:formatCode>0</c:formatCode>
                <c:ptCount val="3"/>
                <c:pt idx="0">
                  <c:v>327.70923360000006</c:v>
                </c:pt>
                <c:pt idx="1">
                  <c:v>55.543535999999982</c:v>
                </c:pt>
                <c:pt idx="2">
                  <c:v>27.767162400000039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6C-4755-BA1B-BEA03C3D5E3E}"/>
            </c:ext>
          </c:extLst>
        </c:ser>
        <c:ser>
          <c:idx val="6"/>
          <c:order val="6"/>
          <c:tx>
            <c:v>168h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'[Analiza stezeniowa bialka.xlsx]Wykresy'!$C$3:$C$5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cat>
          <c:val>
            <c:numRef>
              <c:f>'[Analiza stezeniowa bialka.xlsx]Wykresy'!$D$21:$D$23</c:f>
              <c:numCache>
                <c:formatCode>0</c:formatCode>
                <c:ptCount val="3"/>
                <c:pt idx="0">
                  <c:v>201.55103100000002</c:v>
                </c:pt>
                <c:pt idx="1">
                  <c:v>103.34443139999996</c:v>
                </c:pt>
                <c:pt idx="2">
                  <c:v>83.684983200000005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6C-4755-BA1B-BEA03C3D5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183488"/>
        <c:axId val="271444800"/>
      </c:barChart>
      <c:catAx>
        <c:axId val="293183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/>
                  <a:t>Distance [cm]</a:t>
                </a:r>
              </a:p>
            </c:rich>
          </c:tx>
          <c:layout>
            <c:manualLayout>
              <c:xMode val="edge"/>
              <c:yMode val="edge"/>
              <c:x val="0.41261096215053245"/>
              <c:y val="0.880518502821708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1444800"/>
        <c:crosses val="autoZero"/>
        <c:auto val="1"/>
        <c:lblAlgn val="ctr"/>
        <c:lblOffset val="100"/>
        <c:noMultiLvlLbl val="0"/>
      </c:catAx>
      <c:valAx>
        <c:axId val="271444800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aseline="0"/>
                  <a:t>x [mg of protein  L</a:t>
                </a:r>
                <a:r>
                  <a:rPr lang="pl-PL" sz="800" baseline="30000"/>
                  <a:t>-1</a:t>
                </a:r>
                <a:r>
                  <a:rPr lang="pl-PL" sz="800" baseline="0"/>
                  <a:t>  of matrix</a:t>
                </a:r>
                <a:endParaRPr lang="pl-PL" sz="800"/>
              </a:p>
            </c:rich>
          </c:tx>
          <c:layout>
            <c:manualLayout>
              <c:xMode val="edge"/>
              <c:yMode val="edge"/>
              <c:x val="4.8752573108638781E-3"/>
              <c:y val="0.17642507754712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183488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4.486369096004756E-2"/>
          <c:y val="1.559746603912472E-3"/>
          <c:w val="0.9"/>
          <c:h val="0.12389954559644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F81A-5D2D-441E-9A69-20DAB60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11</cp:revision>
  <cp:lastPrinted>2015-05-12T18:31:00Z</cp:lastPrinted>
  <dcterms:created xsi:type="dcterms:W3CDTF">2019-01-07T15:39:00Z</dcterms:created>
  <dcterms:modified xsi:type="dcterms:W3CDTF">2019-08-23T07:18:00Z</dcterms:modified>
</cp:coreProperties>
</file>