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6009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43" w:right="1418" w:bottom="1276" w:left="1418" w:header="709" w:footer="0" w:gutter="0"/>
          <w:cols w:space="708"/>
          <w:titlePg/>
          <w:docGrid w:linePitch="360"/>
        </w:sectPr>
      </w:pPr>
    </w:p>
    <w:p w:rsidR="00704BDF" w:rsidRPr="00DE0019" w:rsidRDefault="00C137D0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C137D0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lastRenderedPageBreak/>
        <w:t>Crystallization in Complex Multicomponent Chiral Systems</w:t>
      </w:r>
    </w:p>
    <w:p w:rsidR="00DE0019" w:rsidRPr="00DE0019" w:rsidRDefault="00C137D0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Joop H.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ter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Horst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C137D0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C137D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EPSRC Centre for Innovative Manufacturing in Continuous Manufacturing and </w:t>
      </w:r>
      <w:proofErr w:type="spellStart"/>
      <w:r w:rsidRPr="00C137D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Crystallisation</w:t>
      </w:r>
      <w:proofErr w:type="spellEnd"/>
      <w:r w:rsidRPr="00C137D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(CMAC), Strathclyde Institute of Pharmacy and Biomedical Sciences (SIPBS), Technology &amp; Innovation Centre (TIC), University of Strathclyde, Glasgow, G1 1XQ, United Kingdom</w:t>
      </w:r>
    </w:p>
    <w:p w:rsidR="00704BDF" w:rsidRPr="00DE0019" w:rsidRDefault="00C137D0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C137D0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Joop.terHorst@strath.ac.uk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C137D0" w:rsidRDefault="00C137D0" w:rsidP="00C137D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C137D0">
        <w:rPr>
          <w:rFonts w:asciiTheme="minorHAnsi" w:hAnsiTheme="minorHAnsi"/>
        </w:rPr>
        <w:t>Resolution Control in a Continuous Preferential Crystallization Process</w:t>
      </w:r>
    </w:p>
    <w:p w:rsidR="00C137D0" w:rsidRDefault="00C137D0" w:rsidP="00C137D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Continuous </w:t>
      </w:r>
      <w:proofErr w:type="spellStart"/>
      <w:r>
        <w:rPr>
          <w:rFonts w:asciiTheme="minorHAnsi" w:hAnsiTheme="minorHAnsi"/>
        </w:rPr>
        <w:t>Antisolvent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Deracemization</w:t>
      </w:r>
      <w:proofErr w:type="spellEnd"/>
    </w:p>
    <w:p w:rsidR="00704BDF" w:rsidRPr="00C137D0" w:rsidRDefault="00C137D0" w:rsidP="005C086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C137D0">
        <w:rPr>
          <w:rFonts w:asciiTheme="minorHAnsi" w:hAnsiTheme="minorHAnsi"/>
        </w:rPr>
        <w:t xml:space="preserve">Semi-continuous </w:t>
      </w:r>
      <w:proofErr w:type="spellStart"/>
      <w:r w:rsidRPr="00C137D0">
        <w:rPr>
          <w:rFonts w:asciiTheme="minorHAnsi" w:hAnsiTheme="minorHAnsi"/>
        </w:rPr>
        <w:t>Deracemization</w:t>
      </w:r>
      <w:proofErr w:type="spellEnd"/>
      <w:r w:rsidRPr="00C137D0">
        <w:rPr>
          <w:rFonts w:asciiTheme="minorHAnsi" w:hAnsiTheme="minorHAnsi"/>
        </w:rPr>
        <w:t xml:space="preserve"> via Racemic Crystal Transformation monitored by in-situ Raman Spectroscopy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C137D0" w:rsidRPr="00C137D0" w:rsidRDefault="00C137D0" w:rsidP="00C137D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biological activity of a chiral compound often depends on its handedness. However, the physical properties of left- and right handed molecules are the same. The manufacture of just one of the two chiral forms, therefore, is a challenge. Crystallization is an extremely powerful technology to enable the manufacture of </w:t>
      </w:r>
      <w:proofErr w:type="spellStart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enantiopure</w:t>
      </w:r>
      <w:proofErr w:type="spellEnd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crystalline products: </w:t>
      </w:r>
      <w:proofErr w:type="spellStart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Enantiopure</w:t>
      </w:r>
      <w:proofErr w:type="spellEnd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crystals are highly selective towards incorporation of enantiomer solutes with the same handedness. Therefore, chiral separation of the enantiomers through crystallization can lead to high </w:t>
      </w:r>
      <w:proofErr w:type="spellStart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enantiopurities</w:t>
      </w:r>
      <w:proofErr w:type="spellEnd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for instance through preferential crystallization. The extension of the crystallization process with a racemization reaction in the solution (</w:t>
      </w:r>
      <w:proofErr w:type="spellStart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deracemization</w:t>
      </w:r>
      <w:proofErr w:type="spellEnd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has additional benefits for yield as well as process stability: the counter enantiomer is </w:t>
      </w:r>
      <w:proofErr w:type="spellStart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racemized</w:t>
      </w:r>
      <w:proofErr w:type="spellEnd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towards the preferred one (higher yield) so that the </w:t>
      </w:r>
      <w:proofErr w:type="spellStart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supersaturation</w:t>
      </w:r>
      <w:proofErr w:type="spellEnd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counter enantiomer remains low (no crystal nucleation of the counter enantiomer crystals). In addition, for continuous manufacturing of </w:t>
      </w:r>
      <w:proofErr w:type="spellStart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enantiopure</w:t>
      </w:r>
      <w:proofErr w:type="spellEnd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compounds these crystallization processes can be beneficial due to steady state operation and continuous control opportunities. </w:t>
      </w:r>
    </w:p>
    <w:p w:rsidR="00C137D0" w:rsidRPr="00C137D0" w:rsidRDefault="00C137D0" w:rsidP="00C137D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 will discuss a number of process configurations in which controlled crystallization is used to obtain an </w:t>
      </w:r>
      <w:proofErr w:type="spellStart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enantiopure</w:t>
      </w:r>
      <w:proofErr w:type="spellEnd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 from complex multicomponent racemic systems. </w:t>
      </w:r>
    </w:p>
    <w:p w:rsidR="00C137D0" w:rsidRPr="008D0BEB" w:rsidRDefault="00C137D0" w:rsidP="00C137D0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Acknowledgements</w:t>
      </w:r>
    </w:p>
    <w:p w:rsidR="00704BDF" w:rsidRPr="008D0BEB" w:rsidRDefault="00C137D0" w:rsidP="00C137D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research received funding as part of the CORE project (October 2016−September 2020) from the European Union’s Horizon 2020 research and innovation </w:t>
      </w:r>
      <w:proofErr w:type="spellStart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programme</w:t>
      </w:r>
      <w:proofErr w:type="spellEnd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the Marie </w:t>
      </w:r>
      <w:proofErr w:type="spellStart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Sklodowska</w:t>
      </w:r>
      <w:proofErr w:type="spellEnd"/>
      <w:r w:rsidRPr="00C13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-Curie grant agreement No. 722456 CORE ITN (www.coreitn.eu) and as part of the EPSRC Centre for Innovative Manufacturing in Continuous Manufacturing and Crystallization (www.cmac.ac.uk) (EPSRC funding under Grant Reference: EP/I033459/1).</w:t>
      </w: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bookmarkStart w:id="0" w:name="_GoBack"/>
      <w:bookmarkEnd w:id="0"/>
    </w:p>
    <w:sectPr w:rsidR="00704BDF" w:rsidRPr="00704BDF" w:rsidSect="006009B0">
      <w:type w:val="continuous"/>
      <w:pgSz w:w="11906" w:h="16838" w:code="9"/>
      <w:pgMar w:top="2835" w:right="1418" w:bottom="426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BA" w:rsidRDefault="00E656BA" w:rsidP="004F5E36">
      <w:r>
        <w:separator/>
      </w:r>
    </w:p>
  </w:endnote>
  <w:endnote w:type="continuationSeparator" w:id="0">
    <w:p w:rsidR="00E656BA" w:rsidRDefault="00E656B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78" w:rsidRDefault="005C7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78" w:rsidRDefault="005C74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78" w:rsidRDefault="005C7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BA" w:rsidRDefault="00E656BA" w:rsidP="004F5E36">
      <w:r>
        <w:separator/>
      </w:r>
    </w:p>
  </w:footnote>
  <w:footnote w:type="continuationSeparator" w:id="0">
    <w:p w:rsidR="00E656BA" w:rsidRDefault="00E656B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78" w:rsidRDefault="005C7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C2112F" w:rsidRDefault="00C2112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</w:p>
  <w:p w:rsidR="00704BDF" w:rsidRDefault="00C2112F" w:rsidP="00C2112F">
    <w:pPr>
      <w:ind w:left="-426" w:right="-285"/>
      <w:jc w:val="center"/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     </w:t>
    </w:r>
    <w:r w:rsidRPr="00C2112F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Workshop on </w:t>
    </w:r>
    <w:r w:rsidR="005C7478">
      <w:rPr>
        <w:rFonts w:asciiTheme="minorHAnsi" w:hAnsiTheme="minorHAnsi"/>
        <w:b/>
        <w:i/>
        <w:color w:val="002060"/>
        <w:sz w:val="24"/>
        <w:szCs w:val="24"/>
        <w:lang w:val="en-US"/>
      </w:rPr>
      <w:t>Crystallization Science and Engineering</w:t>
    </w:r>
  </w:p>
  <w:p w:rsidR="00704BDF" w:rsidRDefault="00704BD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750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B30FB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A082C"/>
    <w:rsid w:val="005B2922"/>
    <w:rsid w:val="005B61E6"/>
    <w:rsid w:val="005C7478"/>
    <w:rsid w:val="005C77E1"/>
    <w:rsid w:val="005D6A2F"/>
    <w:rsid w:val="005E1A82"/>
    <w:rsid w:val="005F0A28"/>
    <w:rsid w:val="005F0E5E"/>
    <w:rsid w:val="006009B0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137D0"/>
    <w:rsid w:val="00C2112F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23CA1"/>
    <w:rsid w:val="00E409A8"/>
    <w:rsid w:val="00E656BA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0081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6C38-A1AA-41FA-98C3-F9C67F7F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Joop Ter Horst</cp:lastModifiedBy>
  <cp:revision>3</cp:revision>
  <cp:lastPrinted>2015-05-12T18:31:00Z</cp:lastPrinted>
  <dcterms:created xsi:type="dcterms:W3CDTF">2019-08-12T08:47:00Z</dcterms:created>
  <dcterms:modified xsi:type="dcterms:W3CDTF">2019-08-12T08:56:00Z</dcterms:modified>
</cp:coreProperties>
</file>