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DE0019" w:rsidRDefault="00B9086F"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The effect of improved liquid distribution on the gas-liquid contacting in a rotating packed bed</w:t>
      </w:r>
    </w:p>
    <w:p w:rsidR="00DE0019" w:rsidRPr="00B9086F" w:rsidRDefault="00B9086F" w:rsidP="00704BDF">
      <w:pPr>
        <w:snapToGrid w:val="0"/>
        <w:spacing w:after="120"/>
        <w:jc w:val="center"/>
        <w:rPr>
          <w:rFonts w:eastAsia="SimSun"/>
          <w:color w:val="000000"/>
          <w:lang w:val="nl-NL" w:eastAsia="zh-CN"/>
        </w:rPr>
      </w:pPr>
      <w:r w:rsidRPr="00B9086F">
        <w:rPr>
          <w:rFonts w:asciiTheme="minorHAnsi" w:eastAsia="SimSun" w:hAnsiTheme="minorHAnsi"/>
          <w:color w:val="000000"/>
          <w:sz w:val="24"/>
          <w:szCs w:val="24"/>
          <w:u w:val="single"/>
          <w:lang w:val="nl-NL" w:eastAsia="zh-CN"/>
        </w:rPr>
        <w:t>Jasper Hacking</w:t>
      </w:r>
      <w:r w:rsidR="00704BDF" w:rsidRPr="00B9086F">
        <w:rPr>
          <w:rFonts w:asciiTheme="minorHAnsi" w:eastAsia="SimSun" w:hAnsiTheme="minorHAnsi"/>
          <w:color w:val="000000"/>
          <w:sz w:val="24"/>
          <w:szCs w:val="24"/>
          <w:u w:val="single"/>
          <w:vertAlign w:val="superscript"/>
          <w:lang w:val="nl-NL" w:eastAsia="zh-CN"/>
        </w:rPr>
        <w:t>1</w:t>
      </w:r>
      <w:r>
        <w:rPr>
          <w:rFonts w:asciiTheme="minorHAnsi" w:eastAsia="SimSun" w:hAnsiTheme="minorHAnsi"/>
          <w:color w:val="000000"/>
          <w:sz w:val="24"/>
          <w:szCs w:val="24"/>
          <w:u w:val="single"/>
          <w:vertAlign w:val="superscript"/>
          <w:lang w:val="nl-NL" w:eastAsia="zh-CN"/>
        </w:rPr>
        <w:t xml:space="preserve"> *</w:t>
      </w:r>
      <w:r w:rsidR="00736B13" w:rsidRPr="00B9086F">
        <w:rPr>
          <w:rFonts w:asciiTheme="minorHAnsi" w:eastAsia="SimSun" w:hAnsiTheme="minorHAnsi"/>
          <w:color w:val="000000"/>
          <w:sz w:val="24"/>
          <w:szCs w:val="24"/>
          <w:lang w:val="nl-NL" w:eastAsia="zh-CN"/>
        </w:rPr>
        <w:t>,</w:t>
      </w:r>
      <w:r w:rsidRPr="00B9086F">
        <w:rPr>
          <w:rFonts w:asciiTheme="minorHAnsi" w:eastAsia="SimSun" w:hAnsiTheme="minorHAnsi"/>
          <w:color w:val="000000"/>
          <w:sz w:val="24"/>
          <w:szCs w:val="24"/>
          <w:lang w:val="nl-NL" w:eastAsia="zh-CN"/>
        </w:rPr>
        <w:t xml:space="preserve"> Michiel de </w:t>
      </w:r>
      <w:r>
        <w:rPr>
          <w:rFonts w:asciiTheme="minorHAnsi" w:eastAsia="SimSun" w:hAnsiTheme="minorHAnsi"/>
          <w:color w:val="000000"/>
          <w:sz w:val="24"/>
          <w:szCs w:val="24"/>
          <w:lang w:val="nl-NL" w:eastAsia="zh-CN"/>
        </w:rPr>
        <w:t>B</w:t>
      </w:r>
      <w:r w:rsidRPr="00B9086F">
        <w:rPr>
          <w:rFonts w:asciiTheme="minorHAnsi" w:eastAsia="SimSun" w:hAnsiTheme="minorHAnsi"/>
          <w:color w:val="000000"/>
          <w:sz w:val="24"/>
          <w:szCs w:val="24"/>
          <w:lang w:val="nl-NL" w:eastAsia="zh-CN"/>
        </w:rPr>
        <w:t>eer</w:t>
      </w:r>
      <w:r>
        <w:rPr>
          <w:rFonts w:asciiTheme="minorHAnsi" w:eastAsia="SimSun" w:hAnsiTheme="minorHAnsi"/>
          <w:color w:val="000000"/>
          <w:sz w:val="24"/>
          <w:szCs w:val="24"/>
          <w:vertAlign w:val="superscript"/>
          <w:lang w:val="nl-NL" w:eastAsia="zh-CN"/>
        </w:rPr>
        <w:t>2</w:t>
      </w:r>
      <w:r>
        <w:rPr>
          <w:rFonts w:asciiTheme="minorHAnsi" w:eastAsia="SimSun" w:hAnsiTheme="minorHAnsi"/>
          <w:color w:val="000000"/>
          <w:sz w:val="24"/>
          <w:szCs w:val="24"/>
          <w:lang w:val="nl-NL" w:eastAsia="zh-CN"/>
        </w:rPr>
        <w:t>, John van der Schaaf</w:t>
      </w:r>
      <w:r>
        <w:rPr>
          <w:rFonts w:asciiTheme="minorHAnsi" w:eastAsia="SimSun" w:hAnsiTheme="minorHAnsi"/>
          <w:color w:val="000000"/>
          <w:sz w:val="24"/>
          <w:szCs w:val="24"/>
          <w:vertAlign w:val="superscript"/>
          <w:lang w:val="nl-NL" w:eastAsia="zh-CN"/>
        </w:rPr>
        <w:t>1</w:t>
      </w:r>
      <w:r w:rsidR="00DE0019" w:rsidRPr="00B9086F">
        <w:rPr>
          <w:rFonts w:eastAsia="SimSun"/>
          <w:color w:val="000000"/>
          <w:lang w:val="nl-NL" w:eastAsia="zh-CN"/>
        </w:rPr>
        <w:t xml:space="preserve"> </w:t>
      </w:r>
    </w:p>
    <w:p w:rsidR="00704BDF" w:rsidRPr="00DE0019" w:rsidRDefault="00704BDF" w:rsidP="00704BDF">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00B9086F" w:rsidRPr="00B9086F">
        <w:rPr>
          <w:rFonts w:asciiTheme="minorHAnsi" w:eastAsia="MS PGothic" w:hAnsiTheme="minorHAnsi"/>
          <w:i/>
          <w:iCs/>
          <w:color w:val="000000"/>
          <w:sz w:val="20"/>
          <w:lang w:val="en-US"/>
        </w:rPr>
        <w:t>- Chemical Reactor Engineering group, Department of Chemical Engineering and Chemistry, TU Eindhoven, De Rondom 70, 5612AZ Eindhoven, The Netherlands</w:t>
      </w:r>
      <w:r w:rsidRPr="00DE0019">
        <w:rPr>
          <w:rFonts w:asciiTheme="minorHAnsi" w:eastAsia="MS PGothic" w:hAnsiTheme="minorHAnsi"/>
          <w:i/>
          <w:iCs/>
          <w:color w:val="000000"/>
          <w:sz w:val="20"/>
          <w:lang w:val="en-US"/>
        </w:rPr>
        <w:t xml:space="preserve">; 2 </w:t>
      </w:r>
      <w:r w:rsidR="00B9086F" w:rsidRPr="00B9086F">
        <w:rPr>
          <w:rFonts w:asciiTheme="minorHAnsi" w:eastAsia="MS PGothic" w:hAnsiTheme="minorHAnsi"/>
          <w:i/>
          <w:iCs/>
          <w:color w:val="000000"/>
          <w:sz w:val="20"/>
          <w:lang w:val="en-US"/>
        </w:rPr>
        <w:t>– Expert Capability Group – Process Technology, Akzo Nobel Chemicals B.V., Zutphenseweg 10, 7418AJ Deventer, The Netherlands</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B9086F">
        <w:rPr>
          <w:rFonts w:asciiTheme="minorHAnsi" w:eastAsia="MS PGothic" w:hAnsiTheme="minorHAnsi"/>
          <w:bCs/>
          <w:i/>
          <w:iCs/>
          <w:sz w:val="20"/>
          <w:lang w:val="en-US"/>
        </w:rPr>
        <w:t>j.hacking</w:t>
      </w:r>
      <w:r w:rsidRPr="00DE0019">
        <w:rPr>
          <w:rFonts w:asciiTheme="minorHAnsi" w:eastAsia="MS PGothic" w:hAnsiTheme="minorHAnsi"/>
          <w:bCs/>
          <w:i/>
          <w:iCs/>
          <w:sz w:val="20"/>
          <w:lang w:val="en-US"/>
        </w:rPr>
        <w:t>@</w:t>
      </w:r>
      <w:r w:rsidR="00B9086F">
        <w:rPr>
          <w:rFonts w:asciiTheme="minorHAnsi" w:eastAsia="MS PGothic" w:hAnsiTheme="minorHAnsi"/>
          <w:bCs/>
          <w:i/>
          <w:iCs/>
          <w:sz w:val="20"/>
          <w:lang w:val="en-US"/>
        </w:rPr>
        <w:t>tue.nl</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Pr="00EC66CC" w:rsidRDefault="00157327" w:rsidP="00704BDF">
      <w:pPr>
        <w:pStyle w:val="AbstractBody"/>
        <w:numPr>
          <w:ilvl w:val="0"/>
          <w:numId w:val="16"/>
        </w:numPr>
        <w:rPr>
          <w:rFonts w:asciiTheme="minorHAnsi" w:hAnsiTheme="minorHAnsi"/>
        </w:rPr>
      </w:pPr>
      <w:r>
        <w:rPr>
          <w:rFonts w:asciiTheme="minorHAnsi" w:hAnsiTheme="minorHAnsi"/>
        </w:rPr>
        <w:t>Introduction of redistribution rings in a rotating packed bed reactor.</w:t>
      </w:r>
    </w:p>
    <w:p w:rsidR="00704BDF" w:rsidRPr="00EC66CC" w:rsidRDefault="00157327" w:rsidP="00704BDF">
      <w:pPr>
        <w:pStyle w:val="AbstractBody"/>
        <w:numPr>
          <w:ilvl w:val="0"/>
          <w:numId w:val="16"/>
        </w:numPr>
        <w:rPr>
          <w:rFonts w:asciiTheme="minorHAnsi" w:hAnsiTheme="minorHAnsi"/>
        </w:rPr>
      </w:pPr>
      <w:r>
        <w:rPr>
          <w:rFonts w:asciiTheme="minorHAnsi" w:hAnsiTheme="minorHAnsi"/>
        </w:rPr>
        <w:t>Improved liquid distribution in angular and axial direction.</w:t>
      </w:r>
    </w:p>
    <w:p w:rsidR="00704BDF" w:rsidRPr="0084644C" w:rsidRDefault="00157327" w:rsidP="00704BDF">
      <w:pPr>
        <w:pStyle w:val="AbstractBody"/>
        <w:numPr>
          <w:ilvl w:val="0"/>
          <w:numId w:val="16"/>
        </w:numPr>
        <w:rPr>
          <w:rFonts w:asciiTheme="minorHAnsi" w:hAnsiTheme="minorHAnsi"/>
        </w:rPr>
      </w:pPr>
      <w:r>
        <w:rPr>
          <w:rFonts w:asciiTheme="minorHAnsi" w:hAnsiTheme="minorHAnsi"/>
        </w:rPr>
        <w:t xml:space="preserve">Results show that </w:t>
      </w:r>
      <w:r w:rsidR="00D91954">
        <w:rPr>
          <w:rFonts w:asciiTheme="minorHAnsi" w:hAnsiTheme="minorHAnsi"/>
        </w:rPr>
        <w:t xml:space="preserve">angular </w:t>
      </w:r>
      <w:r>
        <w:rPr>
          <w:rFonts w:asciiTheme="minorHAnsi" w:hAnsiTheme="minorHAnsi"/>
        </w:rPr>
        <w:t>maldistributions of up to 90° can be mitigated.</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2E179D" w:rsidRDefault="003A4A67" w:rsidP="00C867B1">
      <w:pPr>
        <w:snapToGrid w:val="0"/>
        <w:spacing w:after="120"/>
        <w:rPr>
          <w:rFonts w:asciiTheme="minorHAnsi" w:eastAsia="MS PGothic" w:hAnsiTheme="minorHAnsi"/>
          <w:color w:val="000000"/>
          <w:sz w:val="22"/>
          <w:szCs w:val="22"/>
          <w:lang w:val="en-US"/>
        </w:rPr>
      </w:pPr>
      <w:r w:rsidRPr="003A4A67">
        <w:rPr>
          <w:rFonts w:asciiTheme="minorHAnsi" w:eastAsia="MS PGothic" w:hAnsiTheme="minorHAnsi"/>
          <w:color w:val="000000"/>
          <w:sz w:val="22"/>
          <w:szCs w:val="22"/>
          <w:lang w:val="en-US"/>
        </w:rPr>
        <w:t>Rotating packed beds (RPB) have been a promising technology for process intensification since their introduction [1][2], enabling increased gas-liquid mass transfer rates [3] due to the application of a centrifugal field. Although a significant amount of possible applications have been reported in literature [4], a major challenge in industrial application of the technology is the absence of proper design correlations leading to ineffective scale-up of the RPB. The effectiveness of gas-liquid mass transfer  decreases  with increasing radius [3], mainly due to severe maldistribution in the tangential direction at large radii [5][6]. In the current work, a novel design rotating packed bed reactor is proposed, which employs redistribution rings at regular radial intervals, similar to redistributor plates in conventional columns.</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8"/>
        <w:gridCol w:w="4389"/>
      </w:tblGrid>
      <w:tr w:rsidR="00A650B6" w:rsidTr="00A650B6">
        <w:tc>
          <w:tcPr>
            <w:tcW w:w="4388" w:type="dxa"/>
            <w:vAlign w:val="center"/>
          </w:tcPr>
          <w:p w:rsidR="00A650B6" w:rsidRDefault="00FE0556" w:rsidP="00A650B6">
            <w:pPr>
              <w:snapToGrid w:val="0"/>
              <w:spacing w:after="120"/>
              <w:jc w:val="left"/>
              <w:rPr>
                <w:rFonts w:asciiTheme="minorHAnsi" w:eastAsia="MS PGothic" w:hAnsiTheme="minorHAnsi"/>
                <w:color w:val="000000"/>
                <w:sz w:val="22"/>
                <w:szCs w:val="22"/>
                <w:lang w:val="en-US"/>
              </w:rPr>
            </w:pPr>
            <w:r>
              <w:rPr>
                <w:rFonts w:asciiTheme="minorHAnsi" w:eastAsia="MS PGothic" w:hAnsiTheme="minorHAnsi"/>
                <w:noProof/>
                <w:color w:val="000000"/>
                <w:sz w:val="22"/>
                <w:szCs w:val="22"/>
                <w:lang w:val="en-US"/>
              </w:rPr>
              <w:drawing>
                <wp:inline distT="0" distB="0" distL="0" distR="0" wp14:anchorId="0D095A17">
                  <wp:extent cx="2736000" cy="1980000"/>
                  <wp:effectExtent l="0" t="0" r="7620" b="12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000" cy="1980000"/>
                          </a:xfrm>
                          <a:prstGeom prst="rect">
                            <a:avLst/>
                          </a:prstGeom>
                          <a:noFill/>
                        </pic:spPr>
                      </pic:pic>
                    </a:graphicData>
                  </a:graphic>
                </wp:inline>
              </w:drawing>
            </w:r>
          </w:p>
        </w:tc>
        <w:tc>
          <w:tcPr>
            <w:tcW w:w="4389" w:type="dxa"/>
            <w:vAlign w:val="center"/>
          </w:tcPr>
          <w:p w:rsidR="00A650B6" w:rsidRDefault="00FE0556" w:rsidP="00A650B6">
            <w:pPr>
              <w:snapToGrid w:val="0"/>
              <w:spacing w:after="120"/>
              <w:jc w:val="right"/>
              <w:rPr>
                <w:rFonts w:asciiTheme="minorHAnsi" w:eastAsia="MS PGothic" w:hAnsiTheme="minorHAnsi"/>
                <w:color w:val="000000"/>
                <w:sz w:val="22"/>
                <w:szCs w:val="22"/>
                <w:lang w:val="en-US"/>
              </w:rPr>
            </w:pPr>
            <w:r>
              <w:rPr>
                <w:rFonts w:asciiTheme="minorHAnsi" w:eastAsia="MS PGothic" w:hAnsiTheme="minorHAnsi"/>
                <w:noProof/>
                <w:color w:val="000000"/>
                <w:sz w:val="22"/>
                <w:szCs w:val="22"/>
                <w:lang w:val="en-US"/>
              </w:rPr>
              <w:drawing>
                <wp:inline distT="0" distB="0" distL="0" distR="0" wp14:anchorId="792441B8">
                  <wp:extent cx="2736000" cy="1980000"/>
                  <wp:effectExtent l="0" t="0" r="7620" b="12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1980000"/>
                          </a:xfrm>
                          <a:prstGeom prst="rect">
                            <a:avLst/>
                          </a:prstGeom>
                          <a:noFill/>
                        </pic:spPr>
                      </pic:pic>
                    </a:graphicData>
                  </a:graphic>
                </wp:inline>
              </w:drawing>
            </w:r>
          </w:p>
        </w:tc>
      </w:tr>
    </w:tbl>
    <w:p w:rsidR="003A4A67" w:rsidRPr="008D0BEB" w:rsidRDefault="003A4A67" w:rsidP="00A650B6">
      <w:pPr>
        <w:snapToGrid w:val="0"/>
        <w:spacing w:after="120"/>
        <w:jc w:val="center"/>
        <w:rPr>
          <w:rFonts w:asciiTheme="minorHAnsi" w:eastAsia="MS PGothic" w:hAnsiTheme="minorHAnsi"/>
          <w:color w:val="000000"/>
          <w:sz w:val="22"/>
          <w:szCs w:val="22"/>
          <w:lang w:val="en-US"/>
        </w:rPr>
      </w:pPr>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hAnsiTheme="minorHAnsi"/>
          <w:lang w:val="en-US"/>
        </w:rPr>
        <w:t>E</w:t>
      </w:r>
      <w:r w:rsidRPr="003A4A67">
        <w:rPr>
          <w:rFonts w:asciiTheme="minorHAnsi" w:eastAsia="MS PGothic" w:hAnsiTheme="minorHAnsi"/>
          <w:color w:val="000000"/>
          <w:szCs w:val="18"/>
          <w:lang w:val="en-US"/>
        </w:rPr>
        <w:t>xperimental view of the water layer at a rotational speed of 1200 RPM and a liquid flow of 1000 L/h with (A) no induced maldistribution and with (B) a 90° induced maldistribution.</w:t>
      </w: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3A4A67" w:rsidRDefault="00D91954"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Perforated </w:t>
      </w:r>
      <w:r w:rsidR="003A4A67" w:rsidRPr="003A4A67">
        <w:rPr>
          <w:rFonts w:asciiTheme="minorHAnsi" w:eastAsia="MS PGothic" w:hAnsiTheme="minorHAnsi"/>
          <w:color w:val="000000"/>
          <w:sz w:val="22"/>
          <w:szCs w:val="22"/>
          <w:lang w:val="en-US"/>
        </w:rPr>
        <w:t>rings are placed at regular intervals inside the bed to redistribute the liquid both in angular and axial direction</w:t>
      </w:r>
      <w:r>
        <w:rPr>
          <w:rFonts w:asciiTheme="minorHAnsi" w:eastAsia="MS PGothic" w:hAnsiTheme="minorHAnsi"/>
          <w:color w:val="000000"/>
          <w:sz w:val="22"/>
          <w:szCs w:val="22"/>
          <w:lang w:val="en-US"/>
        </w:rPr>
        <w:t>. This is shown</w:t>
      </w:r>
      <w:r w:rsidR="003A4A67" w:rsidRPr="003A4A67">
        <w:rPr>
          <w:rFonts w:asciiTheme="minorHAnsi" w:eastAsia="MS PGothic" w:hAnsiTheme="minorHAnsi"/>
          <w:color w:val="000000"/>
          <w:sz w:val="22"/>
          <w:szCs w:val="22"/>
          <w:lang w:val="en-US"/>
        </w:rPr>
        <w:t xml:space="preserve"> in</w:t>
      </w:r>
      <w:r>
        <w:rPr>
          <w:rFonts w:asciiTheme="minorHAnsi" w:eastAsia="MS PGothic" w:hAnsiTheme="minorHAnsi"/>
          <w:color w:val="000000"/>
          <w:sz w:val="22"/>
          <w:szCs w:val="22"/>
          <w:lang w:val="en-US"/>
        </w:rPr>
        <w:t xml:space="preserve"> the top-down image in</w:t>
      </w:r>
      <w:r w:rsidR="003A4A67" w:rsidRPr="003A4A67">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F</w:t>
      </w:r>
      <w:r w:rsidR="003A4A67" w:rsidRPr="003A4A67">
        <w:rPr>
          <w:rFonts w:asciiTheme="minorHAnsi" w:eastAsia="MS PGothic" w:hAnsiTheme="minorHAnsi"/>
          <w:color w:val="000000"/>
          <w:sz w:val="22"/>
          <w:szCs w:val="22"/>
          <w:lang w:val="en-US"/>
        </w:rPr>
        <w:t xml:space="preserve">igure 1A, </w:t>
      </w:r>
      <w:r>
        <w:rPr>
          <w:rFonts w:asciiTheme="minorHAnsi" w:eastAsia="MS PGothic" w:hAnsiTheme="minorHAnsi"/>
          <w:color w:val="000000"/>
          <w:sz w:val="22"/>
          <w:szCs w:val="22"/>
          <w:lang w:val="en-US"/>
        </w:rPr>
        <w:t>where</w:t>
      </w:r>
      <w:r w:rsidR="003A4A67" w:rsidRPr="003A4A67">
        <w:rPr>
          <w:rFonts w:asciiTheme="minorHAnsi" w:eastAsia="MS PGothic" w:hAnsiTheme="minorHAnsi"/>
          <w:color w:val="000000"/>
          <w:sz w:val="22"/>
          <w:szCs w:val="22"/>
          <w:lang w:val="en-US"/>
        </w:rPr>
        <w:t xml:space="preserve"> the liquid layer </w:t>
      </w:r>
      <w:r>
        <w:rPr>
          <w:rFonts w:asciiTheme="minorHAnsi" w:eastAsia="MS PGothic" w:hAnsiTheme="minorHAnsi"/>
          <w:color w:val="000000"/>
          <w:sz w:val="22"/>
          <w:szCs w:val="22"/>
          <w:lang w:val="en-US"/>
        </w:rPr>
        <w:lastRenderedPageBreak/>
        <w:t>accumulates against the ring and is subsequently redistributed</w:t>
      </w:r>
      <w:r w:rsidR="003A4A67" w:rsidRPr="003A4A67">
        <w:rPr>
          <w:rFonts w:asciiTheme="minorHAnsi" w:eastAsia="MS PGothic" w:hAnsiTheme="minorHAnsi"/>
          <w:color w:val="000000"/>
          <w:sz w:val="22"/>
          <w:szCs w:val="22"/>
          <w:lang w:val="en-US"/>
        </w:rPr>
        <w:t>. To further test the effectiveness of the redistribution rings a maldistribution was induced in the inner of the three rings and the effect of the liquid distribution in the other two rings was analyzed. An example of an induced maldistribution of</w:t>
      </w:r>
      <w:r w:rsidR="00A711B6">
        <w:rPr>
          <w:rFonts w:asciiTheme="minorHAnsi" w:eastAsia="MS PGothic" w:hAnsiTheme="minorHAnsi"/>
          <w:color w:val="000000"/>
          <w:sz w:val="22"/>
          <w:szCs w:val="22"/>
          <w:lang w:val="en-US"/>
        </w:rPr>
        <w:t xml:space="preserve"> 90° can be found in figure 1B</w:t>
      </w:r>
      <w:r w:rsidR="003A4A67" w:rsidRPr="003A4A67">
        <w:rPr>
          <w:rFonts w:asciiTheme="minorHAnsi" w:eastAsia="MS PGothic" w:hAnsiTheme="minorHAnsi"/>
          <w:color w:val="000000"/>
          <w:sz w:val="22"/>
          <w:szCs w:val="22"/>
          <w:lang w:val="en-US"/>
        </w:rPr>
        <w: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3. Results and discussion</w:t>
      </w:r>
    </w:p>
    <w:p w:rsidR="00704BDF" w:rsidRDefault="003A4A67" w:rsidP="00704BDF">
      <w:pPr>
        <w:snapToGrid w:val="0"/>
        <w:spacing w:after="120"/>
        <w:rPr>
          <w:rFonts w:asciiTheme="minorHAnsi" w:eastAsia="MS PGothic" w:hAnsiTheme="minorHAnsi"/>
          <w:color w:val="000000"/>
          <w:sz w:val="22"/>
          <w:szCs w:val="22"/>
          <w:lang w:val="en-US"/>
        </w:rPr>
      </w:pPr>
      <w:r w:rsidRPr="003A4A67">
        <w:rPr>
          <w:rFonts w:asciiTheme="minorHAnsi" w:eastAsia="MS PGothic" w:hAnsiTheme="minorHAnsi"/>
          <w:color w:val="000000"/>
          <w:sz w:val="22"/>
          <w:szCs w:val="22"/>
          <w:lang w:val="en-US"/>
        </w:rPr>
        <w:t>The mean and deviation of the liquid layer</w:t>
      </w:r>
      <w:r w:rsidR="00A650B6">
        <w:rPr>
          <w:rFonts w:asciiTheme="minorHAnsi" w:eastAsia="MS PGothic" w:hAnsiTheme="minorHAnsi"/>
          <w:color w:val="000000"/>
          <w:sz w:val="22"/>
          <w:szCs w:val="22"/>
          <w:lang w:val="en-US"/>
        </w:rPr>
        <w:t xml:space="preserve"> thickness</w:t>
      </w:r>
      <w:r w:rsidRPr="003A4A67">
        <w:rPr>
          <w:rFonts w:asciiTheme="minorHAnsi" w:eastAsia="MS PGothic" w:hAnsiTheme="minorHAnsi"/>
          <w:color w:val="000000"/>
          <w:sz w:val="22"/>
          <w:szCs w:val="22"/>
          <w:lang w:val="en-US"/>
        </w:rPr>
        <w:t xml:space="preserve"> in the middle ring are used to determine the effectiveness of the redistribution rings: the smaller the </w:t>
      </w:r>
      <w:r w:rsidR="00A650B6">
        <w:rPr>
          <w:rFonts w:asciiTheme="minorHAnsi" w:eastAsia="MS PGothic" w:hAnsiTheme="minorHAnsi"/>
          <w:color w:val="000000"/>
          <w:sz w:val="22"/>
          <w:szCs w:val="22"/>
          <w:lang w:val="en-US"/>
        </w:rPr>
        <w:t xml:space="preserve">standard </w:t>
      </w:r>
      <w:r w:rsidRPr="003A4A67">
        <w:rPr>
          <w:rFonts w:asciiTheme="minorHAnsi" w:eastAsia="MS PGothic" w:hAnsiTheme="minorHAnsi"/>
          <w:color w:val="000000"/>
          <w:sz w:val="22"/>
          <w:szCs w:val="22"/>
          <w:lang w:val="en-US"/>
        </w:rPr>
        <w:t>deviation, the more even the liquid is spread angularly</w:t>
      </w:r>
      <w:r w:rsidR="00A650B6">
        <w:rPr>
          <w:rFonts w:asciiTheme="minorHAnsi" w:eastAsia="MS PGothic" w:hAnsiTheme="minorHAnsi"/>
          <w:color w:val="000000"/>
          <w:sz w:val="22"/>
          <w:szCs w:val="22"/>
          <w:lang w:val="en-US"/>
        </w:rPr>
        <w:t>, and consequently, the more uniform the liquid flow.</w:t>
      </w:r>
      <w:r w:rsidRPr="003A4A67">
        <w:rPr>
          <w:rFonts w:asciiTheme="minorHAnsi" w:eastAsia="MS PGothic" w:hAnsiTheme="minorHAnsi"/>
          <w:color w:val="000000"/>
          <w:sz w:val="22"/>
          <w:szCs w:val="22"/>
          <w:lang w:val="en-US"/>
        </w:rPr>
        <w:t xml:space="preserve"> An example of the results for an experiment with no maldistribution can be seen in </w:t>
      </w:r>
      <w:r w:rsidR="00FD045D">
        <w:rPr>
          <w:rFonts w:asciiTheme="minorHAnsi" w:eastAsia="MS PGothic" w:hAnsiTheme="minorHAnsi"/>
          <w:color w:val="000000"/>
          <w:sz w:val="22"/>
          <w:szCs w:val="22"/>
          <w:lang w:val="en-US"/>
        </w:rPr>
        <w:t>F</w:t>
      </w:r>
      <w:r w:rsidRPr="003A4A67">
        <w:rPr>
          <w:rFonts w:asciiTheme="minorHAnsi" w:eastAsia="MS PGothic" w:hAnsiTheme="minorHAnsi"/>
          <w:color w:val="000000"/>
          <w:sz w:val="22"/>
          <w:szCs w:val="22"/>
          <w:lang w:val="en-US"/>
        </w:rPr>
        <w:t xml:space="preserve">igure 2A, where the fitted normal distribution yields both the average liquid layer thickness (14.16 mm) and the standard deviation of this layer (1.10 mm). </w:t>
      </w:r>
      <w:r w:rsidR="00FD045D">
        <w:rPr>
          <w:rFonts w:asciiTheme="minorHAnsi" w:eastAsia="MS PGothic" w:hAnsiTheme="minorHAnsi"/>
          <w:color w:val="000000"/>
          <w:sz w:val="22"/>
          <w:szCs w:val="22"/>
          <w:lang w:val="en-US"/>
        </w:rPr>
        <w:t>An induced maldistribution of 90° at the same process conditions yields the results as shown in Figure 2B. Without redistribution rings the results would show two peaks: one around 0 mm corresponding to the area behind the maldistribution and one at the average water layer. The</w:t>
      </w:r>
      <w:r w:rsidR="00636141">
        <w:rPr>
          <w:rFonts w:asciiTheme="minorHAnsi" w:eastAsia="MS PGothic" w:hAnsiTheme="minorHAnsi"/>
          <w:color w:val="000000"/>
          <w:sz w:val="22"/>
          <w:szCs w:val="22"/>
          <w:lang w:val="en-US"/>
        </w:rPr>
        <w:t>se</w:t>
      </w:r>
      <w:r w:rsidR="00FD045D">
        <w:rPr>
          <w:rFonts w:asciiTheme="minorHAnsi" w:eastAsia="MS PGothic" w:hAnsiTheme="minorHAnsi"/>
          <w:color w:val="000000"/>
          <w:sz w:val="22"/>
          <w:szCs w:val="22"/>
          <w:lang w:val="en-US"/>
        </w:rPr>
        <w:t xml:space="preserve"> results clearly show a single normal distribution with a slightly larger standard deviation as compared with the reactor </w:t>
      </w:r>
      <w:r w:rsidR="00636141">
        <w:rPr>
          <w:rFonts w:asciiTheme="minorHAnsi" w:eastAsia="MS PGothic" w:hAnsiTheme="minorHAnsi"/>
          <w:color w:val="000000"/>
          <w:sz w:val="22"/>
          <w:szCs w:val="22"/>
          <w:lang w:val="en-US"/>
        </w:rPr>
        <w:t>without induced maldistribution.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8"/>
        <w:gridCol w:w="4389"/>
      </w:tblGrid>
      <w:tr w:rsidR="00A650B6" w:rsidTr="00A650B6">
        <w:tc>
          <w:tcPr>
            <w:tcW w:w="4388" w:type="dxa"/>
            <w:vAlign w:val="center"/>
          </w:tcPr>
          <w:p w:rsidR="00A650B6" w:rsidRDefault="00A650B6" w:rsidP="00A650B6">
            <w:pPr>
              <w:snapToGrid w:val="0"/>
              <w:spacing w:after="120"/>
              <w:jc w:val="left"/>
              <w:rPr>
                <w:rFonts w:asciiTheme="minorHAnsi" w:eastAsia="MS PGothic" w:hAnsiTheme="minorHAnsi"/>
                <w:color w:val="000000"/>
                <w:sz w:val="22"/>
                <w:szCs w:val="22"/>
                <w:lang w:val="en-US"/>
              </w:rPr>
            </w:pPr>
            <w:r w:rsidRPr="00A31196">
              <w:rPr>
                <w:rFonts w:asciiTheme="minorHAnsi" w:hAnsiTheme="minorHAnsi" w:cs="Arial"/>
                <w:noProof/>
                <w:lang w:val="en-US"/>
              </w:rPr>
              <w:drawing>
                <wp:inline distT="0" distB="0" distL="0" distR="0" wp14:anchorId="122FE8C2" wp14:editId="5301282D">
                  <wp:extent cx="2772000" cy="1620000"/>
                  <wp:effectExtent l="0" t="0" r="9525" b="0"/>
                  <wp:docPr id="4" name="Picture 4" descr="\\ST-00426\External storage - J A Hacking\Experimental analysis\Liquid layer thickness data\Histogram - 2 - No mal\VIREFOC-2019-03-26_04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T-00426\External storage - J A Hacking\Experimental analysis\Liquid layer thickness data\Histogram - 2 - No mal\VIREFOC-2019-03-26_04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000" cy="1620000"/>
                          </a:xfrm>
                          <a:prstGeom prst="rect">
                            <a:avLst/>
                          </a:prstGeom>
                          <a:noFill/>
                          <a:ln>
                            <a:noFill/>
                          </a:ln>
                        </pic:spPr>
                      </pic:pic>
                    </a:graphicData>
                  </a:graphic>
                </wp:inline>
              </w:drawing>
            </w:r>
          </w:p>
        </w:tc>
        <w:tc>
          <w:tcPr>
            <w:tcW w:w="4389" w:type="dxa"/>
            <w:vAlign w:val="center"/>
          </w:tcPr>
          <w:p w:rsidR="00A650B6" w:rsidRDefault="00A650B6" w:rsidP="00A650B6">
            <w:pPr>
              <w:snapToGrid w:val="0"/>
              <w:spacing w:after="120"/>
              <w:jc w:val="right"/>
              <w:rPr>
                <w:rFonts w:asciiTheme="minorHAnsi" w:eastAsia="MS PGothic" w:hAnsiTheme="minorHAnsi"/>
                <w:color w:val="000000"/>
                <w:sz w:val="22"/>
                <w:szCs w:val="22"/>
                <w:lang w:val="en-US"/>
              </w:rPr>
            </w:pPr>
            <w:r w:rsidRPr="00A31196">
              <w:rPr>
                <w:rFonts w:asciiTheme="minorHAnsi" w:hAnsiTheme="minorHAnsi" w:cs="Arial"/>
                <w:noProof/>
                <w:lang w:val="en-US"/>
              </w:rPr>
              <w:drawing>
                <wp:inline distT="0" distB="0" distL="0" distR="0" wp14:anchorId="6E91B974" wp14:editId="67849B03">
                  <wp:extent cx="2772000" cy="1620000"/>
                  <wp:effectExtent l="0" t="0" r="9525" b="0"/>
                  <wp:docPr id="7" name="Picture 7" descr="\\ST-00426\External storage - J A Hacking\Experimental analysis\Liquid layer thickness data\Histogram - 2 - 4th mal open-screw-open\VIREFOC-2019-03-28_0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00426\External storage - J A Hacking\Experimental analysis\Liquid layer thickness data\Histogram - 2 - 4th mal open-screw-open\VIREFOC-2019-03-28_0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000" cy="1620000"/>
                          </a:xfrm>
                          <a:prstGeom prst="rect">
                            <a:avLst/>
                          </a:prstGeom>
                          <a:noFill/>
                          <a:ln>
                            <a:noFill/>
                          </a:ln>
                        </pic:spPr>
                      </pic:pic>
                    </a:graphicData>
                  </a:graphic>
                </wp:inline>
              </w:drawing>
            </w:r>
          </w:p>
        </w:tc>
      </w:tr>
    </w:tbl>
    <w:p w:rsidR="003A4A67" w:rsidRPr="00DE0019" w:rsidRDefault="003A4A67" w:rsidP="003A4A67">
      <w:pPr>
        <w:snapToGrid w:val="0"/>
        <w:spacing w:after="120"/>
        <w:jc w:val="center"/>
        <w:rPr>
          <w:rFonts w:asciiTheme="minorHAnsi" w:eastAsia="MS PGothic" w:hAnsiTheme="minorHAnsi"/>
          <w:color w:val="000000"/>
          <w:szCs w:val="18"/>
          <w:lang w:val="en-US"/>
        </w:rPr>
      </w:pPr>
      <w:r>
        <w:rPr>
          <w:rFonts w:asciiTheme="minorHAnsi" w:eastAsia="MS PGothic" w:hAnsiTheme="minorHAnsi"/>
          <w:b/>
          <w:color w:val="000000"/>
          <w:szCs w:val="18"/>
          <w:lang w:val="en-US"/>
        </w:rPr>
        <w:t>Figure 2</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eastAsia="MS PGothic" w:hAnsiTheme="minorHAnsi"/>
          <w:color w:val="000000"/>
          <w:szCs w:val="18"/>
          <w:lang w:val="en-US"/>
        </w:rPr>
        <w:t>R</w:t>
      </w:r>
      <w:r w:rsidRPr="003A4A67">
        <w:rPr>
          <w:rFonts w:asciiTheme="minorHAnsi" w:eastAsia="MS PGothic" w:hAnsiTheme="minorHAnsi"/>
          <w:color w:val="000000"/>
          <w:szCs w:val="18"/>
          <w:lang w:val="en-US"/>
        </w:rPr>
        <w:t>esults of the experiments at a rotational speed of 900 RPM and a liquid flow of 900 L/h for an experiment with (A) no induced maldistribution and with (B) an induced maldistribution of 90°.</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704BDF" w:rsidRPr="008D0BEB" w:rsidRDefault="003A4A67" w:rsidP="00704BDF">
      <w:pPr>
        <w:snapToGrid w:val="0"/>
        <w:spacing w:after="120"/>
        <w:rPr>
          <w:rFonts w:asciiTheme="minorHAnsi" w:eastAsia="MS PGothic" w:hAnsiTheme="minorHAnsi"/>
          <w:color w:val="000000"/>
          <w:sz w:val="22"/>
          <w:szCs w:val="22"/>
          <w:lang w:val="en-US"/>
        </w:rPr>
      </w:pPr>
      <w:r w:rsidRPr="003A4A67">
        <w:rPr>
          <w:rFonts w:asciiTheme="minorHAnsi" w:eastAsia="MS PGothic" w:hAnsiTheme="minorHAnsi"/>
          <w:color w:val="000000"/>
          <w:sz w:val="22"/>
          <w:szCs w:val="22"/>
          <w:lang w:val="en-US"/>
        </w:rPr>
        <w:t>The efficacy of the redistribution rings is demonstrated here without a packing present, mainly for visualization purposes. Experiments with a packing present have shown a similar behavior, indicating the redistribution rings can also be applied to actual rotating packed beds. It is therefore concluded that the redistribution rings improve the liquid distribution over the entire radial length of the packed bed, which in turn results in a more efficient use of the packing and a higher overall gas liquid mass transfer rate. Therefore, the novel design is a promising tool in enabling a more efficient scale-up of rotating packed beds.</w:t>
      </w:r>
    </w:p>
    <w:p w:rsidR="00704BDF" w:rsidRPr="008D0BEB" w:rsidRDefault="003A4A67" w:rsidP="00704BDF">
      <w:pPr>
        <w:snapToGrid w:val="0"/>
        <w:spacing w:before="240" w:line="300" w:lineRule="auto"/>
        <w:rPr>
          <w:rFonts w:asciiTheme="minorHAnsi" w:eastAsia="SimSun" w:hAnsiTheme="minorHAnsi"/>
          <w:b/>
          <w:bCs/>
          <w:color w:val="000000"/>
          <w:sz w:val="20"/>
          <w:lang w:val="en-US" w:eastAsia="zh-CN"/>
        </w:rPr>
      </w:pPr>
      <w:r>
        <w:rPr>
          <w:rFonts w:asciiTheme="minorHAnsi" w:eastAsia="MS PGothic" w:hAnsiTheme="minorHAnsi"/>
          <w:b/>
          <w:bCs/>
          <w:color w:val="000000"/>
          <w:sz w:val="20"/>
          <w:lang w:val="en-US"/>
        </w:rPr>
        <w:t>References</w:t>
      </w:r>
    </w:p>
    <w:p w:rsidR="003A4A67" w:rsidRPr="003A4A67" w:rsidRDefault="003A4A67" w:rsidP="003A4A67">
      <w:pPr>
        <w:pStyle w:val="FirstParagraph"/>
        <w:widowControl w:val="0"/>
        <w:tabs>
          <w:tab w:val="left" w:pos="426"/>
        </w:tabs>
        <w:autoSpaceDE w:val="0"/>
        <w:autoSpaceDN w:val="0"/>
        <w:adjustRightInd w:val="0"/>
        <w:spacing w:line="240" w:lineRule="auto"/>
        <w:rPr>
          <w:rFonts w:asciiTheme="minorHAnsi" w:hAnsiTheme="minorHAnsi"/>
          <w:color w:val="000000"/>
        </w:rPr>
      </w:pPr>
      <w:r w:rsidRPr="003A4A67">
        <w:rPr>
          <w:rFonts w:asciiTheme="minorHAnsi" w:hAnsiTheme="minorHAnsi"/>
          <w:color w:val="000000"/>
        </w:rPr>
        <w:t>[1]</w:t>
      </w:r>
      <w:r w:rsidRPr="003A4A67">
        <w:rPr>
          <w:rFonts w:asciiTheme="minorHAnsi" w:hAnsiTheme="minorHAnsi"/>
          <w:color w:val="000000"/>
        </w:rPr>
        <w:tab/>
        <w:t>C. Ramshaw and R. H. Mallinson, “Mass transfer process,” US4283255, 27-Nov-1978.</w:t>
      </w:r>
    </w:p>
    <w:p w:rsidR="003A4A67" w:rsidRPr="003A4A67" w:rsidRDefault="003A4A67" w:rsidP="003A4A67">
      <w:pPr>
        <w:pStyle w:val="FirstParagraph"/>
        <w:widowControl w:val="0"/>
        <w:tabs>
          <w:tab w:val="left" w:pos="426"/>
        </w:tabs>
        <w:autoSpaceDE w:val="0"/>
        <w:autoSpaceDN w:val="0"/>
        <w:adjustRightInd w:val="0"/>
        <w:spacing w:line="240" w:lineRule="auto"/>
        <w:rPr>
          <w:rFonts w:asciiTheme="minorHAnsi" w:hAnsiTheme="minorHAnsi"/>
          <w:color w:val="000000"/>
        </w:rPr>
      </w:pPr>
      <w:r w:rsidRPr="003A4A67">
        <w:rPr>
          <w:rFonts w:asciiTheme="minorHAnsi" w:hAnsiTheme="minorHAnsi"/>
          <w:color w:val="000000"/>
        </w:rPr>
        <w:t>[2]</w:t>
      </w:r>
      <w:r w:rsidRPr="003A4A67">
        <w:rPr>
          <w:rFonts w:asciiTheme="minorHAnsi" w:hAnsiTheme="minorHAnsi"/>
          <w:color w:val="000000"/>
        </w:rPr>
        <w:tab/>
        <w:t>C. W. Pilo and S. W. Dahlbeck, US2941872, 09-Jun-1959.</w:t>
      </w:r>
    </w:p>
    <w:p w:rsidR="003A4A67" w:rsidRPr="003A4A67" w:rsidRDefault="003A4A67" w:rsidP="003A4A67">
      <w:pPr>
        <w:pStyle w:val="FirstParagraph"/>
        <w:widowControl w:val="0"/>
        <w:tabs>
          <w:tab w:val="left" w:pos="426"/>
        </w:tabs>
        <w:autoSpaceDE w:val="0"/>
        <w:autoSpaceDN w:val="0"/>
        <w:adjustRightInd w:val="0"/>
        <w:spacing w:line="240" w:lineRule="auto"/>
        <w:rPr>
          <w:rFonts w:asciiTheme="minorHAnsi" w:hAnsiTheme="minorHAnsi"/>
          <w:color w:val="000000"/>
        </w:rPr>
      </w:pPr>
      <w:r w:rsidRPr="003A4A67">
        <w:rPr>
          <w:rFonts w:asciiTheme="minorHAnsi" w:hAnsiTheme="minorHAnsi"/>
          <w:color w:val="000000"/>
        </w:rPr>
        <w:t>[3]</w:t>
      </w:r>
      <w:r w:rsidRPr="003A4A67">
        <w:rPr>
          <w:rFonts w:asciiTheme="minorHAnsi" w:hAnsiTheme="minorHAnsi"/>
          <w:color w:val="000000"/>
        </w:rPr>
        <w:tab/>
        <w:t>Y.-S. Chen, C.-C. Lin, and H.-S. Liu, Ind. Eng. Chem. Res., vol. 44, no. 20, pp. 7868–7875, Sep. 2005.</w:t>
      </w:r>
    </w:p>
    <w:p w:rsidR="003A4A67" w:rsidRPr="00D11C31" w:rsidRDefault="003A4A67" w:rsidP="003A4A67">
      <w:pPr>
        <w:pStyle w:val="FirstParagraph"/>
        <w:widowControl w:val="0"/>
        <w:tabs>
          <w:tab w:val="left" w:pos="426"/>
        </w:tabs>
        <w:autoSpaceDE w:val="0"/>
        <w:autoSpaceDN w:val="0"/>
        <w:adjustRightInd w:val="0"/>
        <w:spacing w:line="240" w:lineRule="auto"/>
        <w:rPr>
          <w:rFonts w:asciiTheme="minorHAnsi" w:hAnsiTheme="minorHAnsi"/>
          <w:color w:val="000000"/>
          <w:lang w:val="nl-NL"/>
        </w:rPr>
      </w:pPr>
      <w:r w:rsidRPr="00D11C31">
        <w:rPr>
          <w:rFonts w:asciiTheme="minorHAnsi" w:hAnsiTheme="minorHAnsi"/>
          <w:color w:val="000000"/>
          <w:lang w:val="nl-NL"/>
        </w:rPr>
        <w:t>[4]</w:t>
      </w:r>
      <w:r w:rsidRPr="00D11C31">
        <w:rPr>
          <w:rFonts w:asciiTheme="minorHAnsi" w:hAnsiTheme="minorHAnsi"/>
          <w:color w:val="000000"/>
          <w:lang w:val="nl-NL"/>
        </w:rPr>
        <w:tab/>
        <w:t>K. Neumann et al.,  Chem. Eng. Res. Des., vol. 134, pp. 443–462, Jun. 2018.</w:t>
      </w:r>
    </w:p>
    <w:p w:rsidR="003A4A67" w:rsidRPr="003A4A67" w:rsidRDefault="003A4A67" w:rsidP="003A4A67">
      <w:pPr>
        <w:pStyle w:val="FirstParagraph"/>
        <w:widowControl w:val="0"/>
        <w:tabs>
          <w:tab w:val="left" w:pos="426"/>
        </w:tabs>
        <w:autoSpaceDE w:val="0"/>
        <w:autoSpaceDN w:val="0"/>
        <w:adjustRightInd w:val="0"/>
        <w:spacing w:line="240" w:lineRule="auto"/>
        <w:rPr>
          <w:rFonts w:asciiTheme="minorHAnsi" w:hAnsiTheme="minorHAnsi"/>
          <w:color w:val="000000"/>
        </w:rPr>
      </w:pPr>
      <w:r w:rsidRPr="003A4A67">
        <w:rPr>
          <w:rFonts w:asciiTheme="minorHAnsi" w:hAnsiTheme="minorHAnsi"/>
          <w:color w:val="000000"/>
        </w:rPr>
        <w:t>[5]</w:t>
      </w:r>
      <w:r w:rsidRPr="003A4A67">
        <w:rPr>
          <w:rFonts w:asciiTheme="minorHAnsi" w:hAnsiTheme="minorHAnsi"/>
          <w:color w:val="000000"/>
        </w:rPr>
        <w:tab/>
        <w:t>J. R. Burns and C. Ramshaw,  Chem. Eng. Sci., vol. 51, no. 8, pp. 1347–1352, Apr. 1996.</w:t>
      </w:r>
    </w:p>
    <w:p w:rsidR="00704BDF" w:rsidRPr="00A56389" w:rsidRDefault="003A4A67" w:rsidP="00704BDF">
      <w:pPr>
        <w:pStyle w:val="FirstParagraph"/>
        <w:widowControl w:val="0"/>
        <w:tabs>
          <w:tab w:val="left" w:pos="426"/>
        </w:tabs>
        <w:autoSpaceDE w:val="0"/>
        <w:autoSpaceDN w:val="0"/>
        <w:adjustRightInd w:val="0"/>
        <w:spacing w:line="240" w:lineRule="auto"/>
        <w:rPr>
          <w:rFonts w:asciiTheme="minorHAnsi" w:hAnsiTheme="minorHAnsi"/>
          <w:color w:val="000000"/>
        </w:rPr>
      </w:pPr>
      <w:r w:rsidRPr="00FE0556">
        <w:rPr>
          <w:rFonts w:asciiTheme="minorHAnsi" w:hAnsiTheme="minorHAnsi"/>
          <w:color w:val="000000"/>
          <w:lang w:val="nl-NL"/>
        </w:rPr>
        <w:t>[6]</w:t>
      </w:r>
      <w:r w:rsidRPr="00FE0556">
        <w:rPr>
          <w:rFonts w:asciiTheme="minorHAnsi" w:hAnsiTheme="minorHAnsi"/>
          <w:color w:val="000000"/>
          <w:lang w:val="nl-NL"/>
        </w:rPr>
        <w:tab/>
        <w:t xml:space="preserve">K. Groß et al., Chemie Ing. </w:t>
      </w:r>
      <w:r w:rsidRPr="003A4A67">
        <w:rPr>
          <w:rFonts w:asciiTheme="minorHAnsi" w:hAnsiTheme="minorHAnsi"/>
          <w:color w:val="000000"/>
        </w:rPr>
        <w:t>Tech., no. 00, pp. 1–10, 2019.</w:t>
      </w:r>
    </w:p>
    <w:sectPr w:rsidR="00704BDF" w:rsidRPr="00A56389"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D2" w:rsidRDefault="006A58D2" w:rsidP="004F5E36">
      <w:r>
        <w:separator/>
      </w:r>
    </w:p>
  </w:endnote>
  <w:endnote w:type="continuationSeparator" w:id="0">
    <w:p w:rsidR="006A58D2" w:rsidRDefault="006A58D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D2" w:rsidRDefault="006A58D2" w:rsidP="004F5E36">
      <w:r>
        <w:separator/>
      </w:r>
    </w:p>
  </w:footnote>
  <w:footnote w:type="continuationSeparator" w:id="0">
    <w:p w:rsidR="006A58D2" w:rsidRDefault="006A58D2"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Header"/>
    </w:pPr>
  </w:p>
  <w:p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57327"/>
    <w:rsid w:val="00184AD6"/>
    <w:rsid w:val="001B65C1"/>
    <w:rsid w:val="001C684B"/>
    <w:rsid w:val="001D53FC"/>
    <w:rsid w:val="001F2EC7"/>
    <w:rsid w:val="002065DB"/>
    <w:rsid w:val="002447EF"/>
    <w:rsid w:val="00251550"/>
    <w:rsid w:val="0027221A"/>
    <w:rsid w:val="00275B61"/>
    <w:rsid w:val="002D1F12"/>
    <w:rsid w:val="002E179D"/>
    <w:rsid w:val="003009B7"/>
    <w:rsid w:val="0030469C"/>
    <w:rsid w:val="003723D4"/>
    <w:rsid w:val="003A4A67"/>
    <w:rsid w:val="003A7D1C"/>
    <w:rsid w:val="0046164A"/>
    <w:rsid w:val="00462DCD"/>
    <w:rsid w:val="004D1162"/>
    <w:rsid w:val="004E4DD6"/>
    <w:rsid w:val="004F5E36"/>
    <w:rsid w:val="005119A5"/>
    <w:rsid w:val="005278B7"/>
    <w:rsid w:val="005346C8"/>
    <w:rsid w:val="00594E9F"/>
    <w:rsid w:val="005B61E6"/>
    <w:rsid w:val="005C77E1"/>
    <w:rsid w:val="005D6A2F"/>
    <w:rsid w:val="005E1A82"/>
    <w:rsid w:val="005F0A28"/>
    <w:rsid w:val="005F0E5E"/>
    <w:rsid w:val="00620DEE"/>
    <w:rsid w:val="00625639"/>
    <w:rsid w:val="00636141"/>
    <w:rsid w:val="0064184D"/>
    <w:rsid w:val="00660E3E"/>
    <w:rsid w:val="00662E74"/>
    <w:rsid w:val="006A58D2"/>
    <w:rsid w:val="006C5579"/>
    <w:rsid w:val="00704BDF"/>
    <w:rsid w:val="00736B13"/>
    <w:rsid w:val="007447F3"/>
    <w:rsid w:val="007661C8"/>
    <w:rsid w:val="007D52CD"/>
    <w:rsid w:val="00813288"/>
    <w:rsid w:val="008168FC"/>
    <w:rsid w:val="00824F3F"/>
    <w:rsid w:val="0084644C"/>
    <w:rsid w:val="008479A2"/>
    <w:rsid w:val="0087637F"/>
    <w:rsid w:val="008A1512"/>
    <w:rsid w:val="008D0BEB"/>
    <w:rsid w:val="008E566E"/>
    <w:rsid w:val="00901EB6"/>
    <w:rsid w:val="009450CE"/>
    <w:rsid w:val="0095164B"/>
    <w:rsid w:val="00996483"/>
    <w:rsid w:val="009E788A"/>
    <w:rsid w:val="00A1763D"/>
    <w:rsid w:val="00A17CEC"/>
    <w:rsid w:val="00A27EF0"/>
    <w:rsid w:val="00A56389"/>
    <w:rsid w:val="00A650B6"/>
    <w:rsid w:val="00A711B6"/>
    <w:rsid w:val="00A76EFC"/>
    <w:rsid w:val="00A9626B"/>
    <w:rsid w:val="00A97F29"/>
    <w:rsid w:val="00AB0964"/>
    <w:rsid w:val="00AE377D"/>
    <w:rsid w:val="00B61DBF"/>
    <w:rsid w:val="00B9086F"/>
    <w:rsid w:val="00BC30C9"/>
    <w:rsid w:val="00BE3E58"/>
    <w:rsid w:val="00C01616"/>
    <w:rsid w:val="00C0162B"/>
    <w:rsid w:val="00C345B1"/>
    <w:rsid w:val="00C40142"/>
    <w:rsid w:val="00C57182"/>
    <w:rsid w:val="00C655FD"/>
    <w:rsid w:val="00C867B1"/>
    <w:rsid w:val="00C94434"/>
    <w:rsid w:val="00CA1C95"/>
    <w:rsid w:val="00CA5A9C"/>
    <w:rsid w:val="00CD5FE2"/>
    <w:rsid w:val="00D02B4C"/>
    <w:rsid w:val="00D11C31"/>
    <w:rsid w:val="00D84576"/>
    <w:rsid w:val="00D91954"/>
    <w:rsid w:val="00DE0019"/>
    <w:rsid w:val="00DE264A"/>
    <w:rsid w:val="00E041E7"/>
    <w:rsid w:val="00E23CA1"/>
    <w:rsid w:val="00E409A8"/>
    <w:rsid w:val="00E7209D"/>
    <w:rsid w:val="00EA50E1"/>
    <w:rsid w:val="00EE0131"/>
    <w:rsid w:val="00F30C64"/>
    <w:rsid w:val="00FB730C"/>
    <w:rsid w:val="00FC2695"/>
    <w:rsid w:val="00FC3E03"/>
    <w:rsid w:val="00FD045D"/>
    <w:rsid w:val="00FE0556"/>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CFC02-F05F-4853-B8BF-59D48B9F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691</Words>
  <Characters>3944</Characters>
  <Application>Microsoft Office Word</Application>
  <DocSecurity>0</DocSecurity>
  <Lines>32</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Hacking, J.A.</cp:lastModifiedBy>
  <cp:revision>12</cp:revision>
  <cp:lastPrinted>2015-05-12T18:31:00Z</cp:lastPrinted>
  <dcterms:created xsi:type="dcterms:W3CDTF">2019-04-30T08:58:00Z</dcterms:created>
  <dcterms:modified xsi:type="dcterms:W3CDTF">2019-04-30T12:29:00Z</dcterms:modified>
</cp:coreProperties>
</file>