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B6325C" w:rsidP="00704BDF">
      <w:pPr>
        <w:snapToGrid w:val="0"/>
        <w:spacing w:after="360"/>
        <w:jc w:val="center"/>
        <w:rPr>
          <w:rFonts w:asciiTheme="minorHAnsi" w:eastAsia="MS PGothic" w:hAnsiTheme="minorHAnsi"/>
          <w:b/>
          <w:bCs/>
          <w:sz w:val="28"/>
          <w:szCs w:val="28"/>
          <w:lang w:val="en-US" w:eastAsia="ko-KR"/>
        </w:rPr>
      </w:pPr>
      <w:r w:rsidRPr="00B6325C">
        <w:rPr>
          <w:rFonts w:asciiTheme="minorHAnsi" w:eastAsia="MS PGothic" w:hAnsiTheme="minorHAnsi"/>
          <w:b/>
          <w:bCs/>
          <w:sz w:val="28"/>
          <w:szCs w:val="28"/>
          <w:lang w:val="en-US"/>
        </w:rPr>
        <w:t>Study of the addition of different ashes to cement: reactivity and resistance</w:t>
      </w:r>
      <w:r w:rsidRPr="00DE0019">
        <w:rPr>
          <w:rFonts w:asciiTheme="minorHAnsi" w:eastAsia="MS PGothic" w:hAnsiTheme="minorHAnsi"/>
          <w:b/>
          <w:bCs/>
          <w:sz w:val="28"/>
          <w:szCs w:val="28"/>
          <w:lang w:val="en-US"/>
        </w:rPr>
        <w:t xml:space="preserve"> </w:t>
      </w:r>
    </w:p>
    <w:p w:rsidR="00DE0019" w:rsidRPr="00DE0019" w:rsidRDefault="00B6325C" w:rsidP="00704BDF">
      <w:pPr>
        <w:snapToGrid w:val="0"/>
        <w:spacing w:after="120"/>
        <w:jc w:val="center"/>
        <w:rPr>
          <w:rFonts w:eastAsia="SimSun"/>
          <w:color w:val="000000"/>
          <w:lang w:val="en-US" w:eastAsia="zh-CN"/>
        </w:rPr>
      </w:pPr>
      <w:r w:rsidRPr="00B6325C">
        <w:rPr>
          <w:rFonts w:asciiTheme="minorHAnsi" w:eastAsia="SimSun" w:hAnsiTheme="minorHAnsi"/>
          <w:color w:val="000000"/>
          <w:sz w:val="24"/>
          <w:szCs w:val="24"/>
          <w:lang w:val="en-US" w:eastAsia="zh-CN"/>
        </w:rPr>
        <w:t>Juan D. Alonso</w:t>
      </w:r>
      <w:r w:rsidR="00704BDF" w:rsidRPr="00B6325C">
        <w:rPr>
          <w:rFonts w:asciiTheme="minorHAnsi" w:eastAsia="SimSun" w:hAnsiTheme="minorHAnsi"/>
          <w:color w:val="000000"/>
          <w:sz w:val="24"/>
          <w:szCs w:val="24"/>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00DB0032">
        <w:rPr>
          <w:rFonts w:asciiTheme="minorHAnsi" w:eastAsia="SimSun" w:hAnsiTheme="minorHAnsi"/>
          <w:color w:val="000000"/>
          <w:sz w:val="24"/>
          <w:szCs w:val="24"/>
          <w:lang w:val="en-US" w:eastAsia="zh-CN"/>
        </w:rPr>
        <w:t>Jimena C. Díaz</w:t>
      </w:r>
      <w:r w:rsidRPr="00B6325C">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r w:rsidR="00DB0032">
        <w:rPr>
          <w:rFonts w:asciiTheme="minorHAnsi" w:eastAsia="SimSun" w:hAnsiTheme="minorHAnsi"/>
          <w:color w:val="000000"/>
          <w:sz w:val="24"/>
          <w:szCs w:val="24"/>
          <w:lang w:val="en-US" w:eastAsia="zh-CN"/>
        </w:rPr>
        <w:t>Andres M. Segura</w:t>
      </w:r>
      <w:r w:rsidR="00DB0032" w:rsidRPr="00DB0032">
        <w:rPr>
          <w:rFonts w:asciiTheme="minorHAnsi" w:eastAsia="SimSun" w:hAnsiTheme="minorHAnsi"/>
          <w:color w:val="000000"/>
          <w:sz w:val="24"/>
          <w:szCs w:val="24"/>
          <w:vertAlign w:val="superscript"/>
          <w:lang w:val="en-US" w:eastAsia="zh-CN"/>
        </w:rPr>
        <w:t>1</w:t>
      </w:r>
      <w:r w:rsidR="00DB0032">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Yuby</w:t>
      </w:r>
      <w:proofErr w:type="spellEnd"/>
      <w:r>
        <w:rPr>
          <w:rFonts w:asciiTheme="minorHAnsi" w:eastAsia="SimSun" w:hAnsiTheme="minorHAnsi"/>
          <w:color w:val="000000"/>
          <w:sz w:val="24"/>
          <w:szCs w:val="24"/>
          <w:lang w:val="en-US" w:eastAsia="zh-CN"/>
        </w:rPr>
        <w:t xml:space="preserve"> Cruz</w:t>
      </w:r>
      <w:r w:rsidRPr="00B6325C">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Ximena Gaviria</w:t>
      </w:r>
      <w:r w:rsidRPr="00B6325C">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Idoia</w:t>
      </w:r>
      <w:proofErr w:type="spellEnd"/>
      <w:r>
        <w:rPr>
          <w:rFonts w:asciiTheme="minorHAnsi" w:eastAsia="SimSun" w:hAnsiTheme="minorHAnsi"/>
          <w:color w:val="000000"/>
          <w:sz w:val="24"/>
          <w:szCs w:val="24"/>
          <w:lang w:val="en-US" w:eastAsia="zh-CN"/>
        </w:rPr>
        <w:t xml:space="preserve"> Estiati</w:t>
      </w:r>
      <w:r w:rsidRPr="00B6325C">
        <w:rPr>
          <w:rFonts w:asciiTheme="minorHAnsi" w:eastAsia="SimSun" w:hAnsiTheme="minorHAnsi"/>
          <w:color w:val="000000"/>
          <w:sz w:val="24"/>
          <w:szCs w:val="24"/>
          <w:vertAlign w:val="superscript"/>
          <w:lang w:val="en-US" w:eastAsia="zh-CN"/>
        </w:rPr>
        <w:t>3</w:t>
      </w:r>
      <w:r>
        <w:rPr>
          <w:rFonts w:asciiTheme="minorHAnsi" w:eastAsia="SimSun" w:hAnsiTheme="minorHAnsi"/>
          <w:color w:val="000000"/>
          <w:sz w:val="24"/>
          <w:szCs w:val="24"/>
          <w:lang w:val="en-US" w:eastAsia="zh-CN"/>
        </w:rPr>
        <w:t xml:space="preserve">, </w:t>
      </w:r>
      <w:r w:rsidRPr="00B6325C">
        <w:rPr>
          <w:rFonts w:asciiTheme="minorHAnsi" w:eastAsia="SimSun" w:hAnsiTheme="minorHAnsi"/>
          <w:color w:val="000000"/>
          <w:sz w:val="24"/>
          <w:szCs w:val="24"/>
          <w:u w:val="single"/>
          <w:lang w:val="en-US" w:eastAsia="zh-CN"/>
        </w:rPr>
        <w:t xml:space="preserve">Juan </w:t>
      </w:r>
      <w:r w:rsidR="00B83744">
        <w:rPr>
          <w:rFonts w:asciiTheme="minorHAnsi" w:eastAsia="SimSun" w:hAnsiTheme="minorHAnsi"/>
          <w:color w:val="000000"/>
          <w:sz w:val="24"/>
          <w:szCs w:val="24"/>
          <w:u w:val="single"/>
          <w:lang w:val="en-US" w:eastAsia="zh-CN"/>
        </w:rPr>
        <w:t>F</w:t>
      </w:r>
      <w:r w:rsidRPr="00B6325C">
        <w:rPr>
          <w:rFonts w:asciiTheme="minorHAnsi" w:eastAsia="SimSun" w:hAnsiTheme="minorHAnsi"/>
          <w:color w:val="000000"/>
          <w:sz w:val="24"/>
          <w:szCs w:val="24"/>
          <w:u w:val="single"/>
          <w:lang w:val="en-US" w:eastAsia="zh-CN"/>
        </w:rPr>
        <w:t>. Saldarriaga</w:t>
      </w:r>
      <w:r w:rsidRPr="00B6325C">
        <w:rPr>
          <w:rFonts w:asciiTheme="minorHAnsi" w:eastAsia="SimSun" w:hAnsiTheme="minorHAnsi"/>
          <w:color w:val="000000"/>
          <w:sz w:val="24"/>
          <w:szCs w:val="24"/>
          <w:u w:val="single"/>
          <w:vertAlign w:val="superscript"/>
          <w:lang w:val="en-US" w:eastAsia="zh-CN"/>
        </w:rPr>
        <w:t>1</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B6325C" w:rsidRPr="00B6325C">
        <w:rPr>
          <w:rFonts w:asciiTheme="minorHAnsi" w:eastAsia="MS PGothic" w:hAnsiTheme="minorHAnsi"/>
          <w:i/>
          <w:iCs/>
          <w:color w:val="000000"/>
          <w:sz w:val="20"/>
          <w:lang w:val="en-US"/>
        </w:rPr>
        <w:t xml:space="preserve">Department of Civil and Environmental Engineering, Universidad de </w:t>
      </w:r>
      <w:proofErr w:type="spellStart"/>
      <w:r w:rsidR="00B6325C" w:rsidRPr="00B6325C">
        <w:rPr>
          <w:rFonts w:asciiTheme="minorHAnsi" w:eastAsia="MS PGothic" w:hAnsiTheme="minorHAnsi"/>
          <w:i/>
          <w:iCs/>
          <w:color w:val="000000"/>
          <w:sz w:val="20"/>
          <w:lang w:val="en-US"/>
        </w:rPr>
        <w:t>los</w:t>
      </w:r>
      <w:proofErr w:type="spellEnd"/>
      <w:r w:rsidR="00B6325C" w:rsidRPr="00B6325C">
        <w:rPr>
          <w:rFonts w:asciiTheme="minorHAnsi" w:eastAsia="MS PGothic" w:hAnsiTheme="minorHAnsi"/>
          <w:i/>
          <w:iCs/>
          <w:color w:val="000000"/>
          <w:sz w:val="20"/>
          <w:lang w:val="en-US"/>
        </w:rPr>
        <w:t xml:space="preserve"> Andes, Carrera 1Este #19A-40, Bogotá, Colombia</w:t>
      </w:r>
      <w:r w:rsidRPr="00DE0019">
        <w:rPr>
          <w:rFonts w:asciiTheme="minorHAnsi" w:eastAsia="MS PGothic" w:hAnsiTheme="minorHAnsi"/>
          <w:i/>
          <w:iCs/>
          <w:color w:val="000000"/>
          <w:sz w:val="20"/>
          <w:lang w:val="en-US"/>
        </w:rPr>
        <w:t xml:space="preserve">; 2 </w:t>
      </w:r>
      <w:r w:rsidR="00B6325C" w:rsidRPr="00B6325C">
        <w:rPr>
          <w:rFonts w:asciiTheme="minorHAnsi" w:eastAsia="MS PGothic" w:hAnsiTheme="minorHAnsi"/>
          <w:i/>
          <w:iCs/>
          <w:color w:val="000000"/>
          <w:sz w:val="20"/>
          <w:lang w:val="en-US"/>
        </w:rPr>
        <w:t>Program of Industrial Engineering, Universidad de Medellín, Carrera 87 #30-65, Medellín, Colombia</w:t>
      </w:r>
      <w:r w:rsidR="00B6325C">
        <w:rPr>
          <w:rFonts w:asciiTheme="minorHAnsi" w:eastAsia="MS PGothic" w:hAnsiTheme="minorHAnsi"/>
          <w:i/>
          <w:iCs/>
          <w:color w:val="000000"/>
          <w:sz w:val="20"/>
          <w:lang w:val="en-US"/>
        </w:rPr>
        <w:t xml:space="preserve">; 3 </w:t>
      </w:r>
      <w:r w:rsidR="00B6325C" w:rsidRPr="00B6325C">
        <w:rPr>
          <w:rFonts w:asciiTheme="minorHAnsi" w:eastAsia="MS PGothic" w:hAnsiTheme="minorHAnsi"/>
          <w:i/>
          <w:iCs/>
          <w:color w:val="000000"/>
          <w:sz w:val="20"/>
          <w:lang w:val="en-US"/>
        </w:rPr>
        <w:t xml:space="preserve">Department of Chemical Engineering, University of the Basque Country, B. </w:t>
      </w:r>
      <w:proofErr w:type="spellStart"/>
      <w:r w:rsidR="00B6325C" w:rsidRPr="00B6325C">
        <w:rPr>
          <w:rFonts w:asciiTheme="minorHAnsi" w:eastAsia="MS PGothic" w:hAnsiTheme="minorHAnsi"/>
          <w:i/>
          <w:iCs/>
          <w:color w:val="000000"/>
          <w:sz w:val="20"/>
          <w:lang w:val="en-US"/>
        </w:rPr>
        <w:t>Sarriena</w:t>
      </w:r>
      <w:proofErr w:type="spellEnd"/>
      <w:r w:rsidR="00B6325C" w:rsidRPr="00B6325C">
        <w:rPr>
          <w:rFonts w:asciiTheme="minorHAnsi" w:eastAsia="MS PGothic" w:hAnsiTheme="minorHAnsi"/>
          <w:i/>
          <w:iCs/>
          <w:color w:val="000000"/>
          <w:sz w:val="20"/>
          <w:lang w:val="en-US"/>
        </w:rPr>
        <w:t xml:space="preserve"> s/n, </w:t>
      </w:r>
      <w:proofErr w:type="spellStart"/>
      <w:r w:rsidR="00B6325C" w:rsidRPr="00B6325C">
        <w:rPr>
          <w:rFonts w:asciiTheme="minorHAnsi" w:eastAsia="MS PGothic" w:hAnsiTheme="minorHAnsi"/>
          <w:i/>
          <w:iCs/>
          <w:color w:val="000000"/>
          <w:sz w:val="20"/>
          <w:lang w:val="en-US"/>
        </w:rPr>
        <w:t>Leioa</w:t>
      </w:r>
      <w:proofErr w:type="spellEnd"/>
      <w:r w:rsidR="00B6325C" w:rsidRPr="00B6325C">
        <w:rPr>
          <w:rFonts w:asciiTheme="minorHAnsi" w:eastAsia="MS PGothic" w:hAnsiTheme="minorHAnsi"/>
          <w:i/>
          <w:iCs/>
          <w:color w:val="000000"/>
          <w:sz w:val="20"/>
          <w:lang w:val="en-US"/>
        </w:rPr>
        <w:t>, Spain</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B6325C">
        <w:rPr>
          <w:rFonts w:asciiTheme="minorHAnsi" w:eastAsia="MS PGothic" w:hAnsiTheme="minorHAnsi"/>
          <w:bCs/>
          <w:i/>
          <w:iCs/>
          <w:sz w:val="20"/>
          <w:lang w:val="en-US"/>
        </w:rPr>
        <w:t>jf.saldarriaga</w:t>
      </w:r>
      <w:r w:rsidRPr="00DE0019">
        <w:rPr>
          <w:rFonts w:asciiTheme="minorHAnsi" w:eastAsia="MS PGothic" w:hAnsiTheme="minorHAnsi"/>
          <w:bCs/>
          <w:i/>
          <w:iCs/>
          <w:sz w:val="20"/>
          <w:lang w:val="en-US"/>
        </w:rPr>
        <w:t>@</w:t>
      </w:r>
      <w:r w:rsidR="00B6325C">
        <w:rPr>
          <w:rFonts w:asciiTheme="minorHAnsi" w:eastAsia="MS PGothic" w:hAnsiTheme="minorHAnsi"/>
          <w:bCs/>
          <w:i/>
          <w:iCs/>
          <w:sz w:val="20"/>
          <w:lang w:val="en-US"/>
        </w:rPr>
        <w:t>uniandes.edu.co, juanfelorza@gmail.com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721E25" w:rsidP="00704BDF">
      <w:pPr>
        <w:pStyle w:val="AbstractBody"/>
        <w:numPr>
          <w:ilvl w:val="0"/>
          <w:numId w:val="16"/>
        </w:numPr>
        <w:rPr>
          <w:rFonts w:asciiTheme="minorHAnsi" w:hAnsiTheme="minorHAnsi"/>
        </w:rPr>
      </w:pPr>
      <w:r w:rsidRPr="00721E25">
        <w:rPr>
          <w:rFonts w:asciiTheme="minorHAnsi" w:hAnsiTheme="minorHAnsi"/>
        </w:rPr>
        <w:t>The mixtures evaluated show similar behavior to the target</w:t>
      </w:r>
    </w:p>
    <w:p w:rsidR="00704BDF" w:rsidRPr="00EC66CC" w:rsidRDefault="00721E25" w:rsidP="00704BDF">
      <w:pPr>
        <w:pStyle w:val="AbstractBody"/>
        <w:numPr>
          <w:ilvl w:val="0"/>
          <w:numId w:val="16"/>
        </w:numPr>
        <w:rPr>
          <w:rFonts w:asciiTheme="minorHAnsi" w:hAnsiTheme="minorHAnsi"/>
        </w:rPr>
      </w:pPr>
      <w:r w:rsidRPr="00721E25">
        <w:rPr>
          <w:rFonts w:asciiTheme="minorHAnsi" w:hAnsiTheme="minorHAnsi"/>
        </w:rPr>
        <w:t xml:space="preserve">The </w:t>
      </w:r>
      <w:r>
        <w:rPr>
          <w:rFonts w:asciiTheme="minorHAnsi" w:hAnsiTheme="minorHAnsi"/>
        </w:rPr>
        <w:t>BIT</w:t>
      </w:r>
      <w:r w:rsidRPr="00721E25">
        <w:rPr>
          <w:rFonts w:asciiTheme="minorHAnsi" w:hAnsiTheme="minorHAnsi"/>
        </w:rPr>
        <w:t>-cement mixture presents better resistance after 90 days of curing</w:t>
      </w:r>
    </w:p>
    <w:p w:rsidR="00704BDF" w:rsidRPr="00EC66CC" w:rsidRDefault="00721E25" w:rsidP="00704BDF">
      <w:pPr>
        <w:pStyle w:val="AbstractBody"/>
        <w:numPr>
          <w:ilvl w:val="0"/>
          <w:numId w:val="16"/>
        </w:numPr>
        <w:rPr>
          <w:rFonts w:asciiTheme="minorHAnsi" w:hAnsiTheme="minorHAnsi"/>
        </w:rPr>
      </w:pPr>
      <w:r w:rsidRPr="00721E25">
        <w:rPr>
          <w:rFonts w:asciiTheme="minorHAnsi" w:hAnsiTheme="minorHAnsi"/>
        </w:rPr>
        <w:t>Fly ash from hazardous waste can be used as a replacement for cement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B6325C" w:rsidP="00C867B1">
      <w:pPr>
        <w:snapToGrid w:val="0"/>
        <w:spacing w:after="120"/>
        <w:rPr>
          <w:rFonts w:asciiTheme="minorHAnsi" w:eastAsia="MS PGothic" w:hAnsiTheme="minorHAnsi"/>
          <w:color w:val="000000"/>
          <w:sz w:val="22"/>
          <w:szCs w:val="22"/>
          <w:lang w:val="en-US"/>
        </w:rPr>
      </w:pPr>
      <w:r w:rsidRPr="00B6325C">
        <w:rPr>
          <w:rFonts w:asciiTheme="minorHAnsi" w:eastAsia="MS PGothic" w:hAnsiTheme="minorHAnsi"/>
          <w:color w:val="000000"/>
          <w:sz w:val="22"/>
          <w:szCs w:val="22"/>
          <w:lang w:val="en-US"/>
        </w:rPr>
        <w:t>The world annual production of fly ash is estimated at around 780 million tons per year and has been used successfully in the cement industry for more than 50 years, mainly as a mineral additive in Portland cement concrete and also as a component of mixed cement</w:t>
      </w:r>
      <w:r w:rsidR="007E37AB">
        <w:rPr>
          <w:rFonts w:asciiTheme="minorHAnsi" w:eastAsia="MS PGothic" w:hAnsiTheme="minorHAnsi"/>
          <w:color w:val="000000"/>
          <w:sz w:val="22"/>
          <w:szCs w:val="22"/>
          <w:lang w:val="en-US"/>
        </w:rPr>
        <w:fldChar w:fldCharType="begin"/>
      </w:r>
      <w:r w:rsidR="007E37AB">
        <w:rPr>
          <w:rFonts w:asciiTheme="minorHAnsi" w:eastAsia="MS PGothic" w:hAnsiTheme="minorHAnsi"/>
          <w:color w:val="000000"/>
          <w:sz w:val="22"/>
          <w:szCs w:val="22"/>
          <w:lang w:val="en-US"/>
        </w:rPr>
        <w:instrText xml:space="preserve"> ADDIN ZOTERO_ITEM CSL_CITATION {"citationID":"VvVD8L5H","properties":{"formattedCitation":"[1]","plainCitation":"[1]","noteIndex":0},"citationItems":[{"id":2763,"uris":["http://zotero.org/users/1861079/items/T4KES786"],"uri":["http://zotero.org/users/1861079/items/T4KES786"],"itemData":{"id":2763,"type":"article-journal","title":"Influence of partial replacement of fly ash by metakaolin on mechanical properties and microstructure of fly ash geopolymer paste exposed to sulfate attack","container-title":"Ceramics International","page":"3504-3517","volume":"42","issue":"2, Part B","source":"ScienceDirect","abstract":"This work aims to investigate compressive strength changes, Vickers-hardness of exposed surface, microstructure evolution and pore structure of geopolymer prepared using fly ash as resource material and activated by sodium silicate and sodium hydroxide solutions after exposed to sulfate attack for 28, 90 and 180 days when fly ash was partially replaced by metakaolin at levels ranging from 0% to 20% with an interval of 5%, by weight. The experimental results uncover that geopolymer suffers strength loss after sulfate attack exposure but gains strength with increasing replacement level of fly ash by metakaolin from 5% to 20% and obvious increasing in compressive strength could be observed when the replacement percentage exceeds 15%. The sulfate attack exposure shifts the peak value of pore size to a higher value and leads to the development of a macropore system with high porosity and deduction of surface Vickers-hardness. A denser microstructure with higher surface Vickers-hardness of metakaolin containing geopolymer can be obtained compared to geopolymer without metakaolin. A good linear relationship has been found between compressive strength loss and Vickers-hardness values of exposed surface. Compressive strength loss in geopolymer after sulfate attack exposure relates to the microcrack development and high porosity. Longer exposure leads to higher deduction in compressive strength and acceleration in deterioration degree which lead to expansion stress and cracks. Partial replacement of fly ash by metakaolin improves the mechanical properties, optimizes the microstructure and reduces the level of damage from sulfate attack.","DOI":"10.1016/j.ceramint.2015.10.154","ISSN":"0272-8842","journalAbbreviation":"Ceramics International","author":[{"family":"Duan","given":"Ping"},{"family":"Yan","given":"Chunjie"},{"family":"Zhou","given":"Wei"}],"issued":{"date-parts":[["2016",2,1]]}}}],"schema":"https://github.com/citation-style-language/schema/raw/master/csl-citation.json"} </w:instrText>
      </w:r>
      <w:r w:rsidR="007E37AB">
        <w:rPr>
          <w:rFonts w:asciiTheme="minorHAnsi" w:eastAsia="MS PGothic" w:hAnsiTheme="minorHAnsi"/>
          <w:color w:val="000000"/>
          <w:sz w:val="22"/>
          <w:szCs w:val="22"/>
          <w:lang w:val="en-US"/>
        </w:rPr>
        <w:fldChar w:fldCharType="separate"/>
      </w:r>
      <w:r w:rsidR="007E37AB">
        <w:rPr>
          <w:rFonts w:asciiTheme="minorHAnsi" w:eastAsia="MS PGothic" w:hAnsiTheme="minorHAnsi"/>
          <w:noProof/>
          <w:color w:val="000000"/>
          <w:sz w:val="22"/>
          <w:szCs w:val="22"/>
          <w:lang w:val="en-US"/>
        </w:rPr>
        <w:t>[1]</w:t>
      </w:r>
      <w:r w:rsidR="007E37AB">
        <w:rPr>
          <w:rFonts w:asciiTheme="minorHAnsi" w:eastAsia="MS PGothic" w:hAnsiTheme="minorHAnsi"/>
          <w:color w:val="000000"/>
          <w:sz w:val="22"/>
          <w:szCs w:val="22"/>
          <w:lang w:val="en-US"/>
        </w:rPr>
        <w:fldChar w:fldCharType="end"/>
      </w:r>
      <w:r w:rsidRPr="00B6325C">
        <w:rPr>
          <w:rFonts w:asciiTheme="minorHAnsi" w:eastAsia="MS PGothic" w:hAnsiTheme="minorHAnsi"/>
          <w:color w:val="000000"/>
          <w:sz w:val="22"/>
          <w:szCs w:val="22"/>
          <w:lang w:val="en-US"/>
        </w:rPr>
        <w:t xml:space="preserve">. </w:t>
      </w:r>
      <w:r w:rsidR="005B3870" w:rsidRPr="007E37AB">
        <w:rPr>
          <w:rFonts w:asciiTheme="minorHAnsi" w:eastAsia="MS PGothic" w:hAnsiTheme="minorHAnsi"/>
          <w:color w:val="000000"/>
          <w:sz w:val="22"/>
          <w:szCs w:val="22"/>
          <w:lang w:val="en-US"/>
        </w:rPr>
        <w:t xml:space="preserve">They are composed mainly of amorphous silica and alumina </w:t>
      </w:r>
      <w:r w:rsidR="001E3C74">
        <w:rPr>
          <w:rFonts w:asciiTheme="minorHAnsi" w:eastAsia="MS PGothic" w:hAnsiTheme="minorHAnsi"/>
          <w:color w:val="000000"/>
          <w:sz w:val="22"/>
          <w:szCs w:val="22"/>
          <w:lang w:val="en-US"/>
        </w:rPr>
        <w:fldChar w:fldCharType="begin"/>
      </w:r>
      <w:r w:rsidR="001E3C74">
        <w:rPr>
          <w:rFonts w:asciiTheme="minorHAnsi" w:eastAsia="MS PGothic" w:hAnsiTheme="minorHAnsi"/>
          <w:color w:val="000000"/>
          <w:sz w:val="22"/>
          <w:szCs w:val="22"/>
          <w:lang w:val="en-US"/>
        </w:rPr>
        <w:instrText xml:space="preserve"> ADDIN ZOTERO_ITEM CSL_CITATION {"citationID":"7tfMthHW","properties":{"formattedCitation":"[2]","plainCitation":"[2]","noteIndex":0},"citationItems":[{"id":2764,"uris":["http://zotero.org/users/1861079/items/WE6GWSFM"],"uri":["http://zotero.org/users/1861079/items/WE6GWSFM"],"itemData":{"id":2764,"type":"article-journal","title":"Fly ash-based geopolymers containing added silicate waste. A review","container-title":"Ceramics International","page":"14545-14551","volume":"43","issue":"17","source":"ScienceDirect","abstract":"This review summarizes different types of industrial wastes such as biomass ash, red mud, recycled glass and heavy metals waste, in their application for geopolymer production. These wastes, which are currently abundant and urgent to dispose of, cannot be used alone in the geopolymer process because they do not provide a suitable SiO2/Al2O3 molar ratio for this technology. For this reason, these by-products are commonly used in addition to other aluminosilicate sources such as fly ash or metakaolin. Important parameters which affect the properties and performance of fly ash based geopolymers with addition of a variety of wastes are discussed based on a comprehensive literature review.","DOI":"10.1016/j.ceramint.2017.07.221","ISSN":"0272-8842","journalAbbreviation":"Ceramics International","author":[{"family":"Toniolo","given":"Nicoletta"},{"family":"Boccaccini","given":"Aldo R."}],"issued":{"date-parts":[["2017",12,1]]}}}],"schema":"https://github.com/citation-style-language/schema/raw/master/csl-citation.json"} </w:instrText>
      </w:r>
      <w:r w:rsidR="001E3C74">
        <w:rPr>
          <w:rFonts w:asciiTheme="minorHAnsi" w:eastAsia="MS PGothic" w:hAnsiTheme="minorHAnsi"/>
          <w:color w:val="000000"/>
          <w:sz w:val="22"/>
          <w:szCs w:val="22"/>
          <w:lang w:val="en-US"/>
        </w:rPr>
        <w:fldChar w:fldCharType="separate"/>
      </w:r>
      <w:r w:rsidR="001E3C74">
        <w:rPr>
          <w:rFonts w:asciiTheme="minorHAnsi" w:eastAsia="MS PGothic" w:hAnsiTheme="minorHAnsi"/>
          <w:noProof/>
          <w:color w:val="000000"/>
          <w:sz w:val="22"/>
          <w:szCs w:val="22"/>
          <w:lang w:val="en-US"/>
        </w:rPr>
        <w:t>[2]</w:t>
      </w:r>
      <w:r w:rsidR="001E3C74">
        <w:rPr>
          <w:rFonts w:asciiTheme="minorHAnsi" w:eastAsia="MS PGothic" w:hAnsiTheme="minorHAnsi"/>
          <w:color w:val="000000"/>
          <w:sz w:val="22"/>
          <w:szCs w:val="22"/>
          <w:lang w:val="en-US"/>
        </w:rPr>
        <w:fldChar w:fldCharType="end"/>
      </w:r>
      <w:r w:rsidR="005B3870" w:rsidRPr="007E37AB">
        <w:rPr>
          <w:rFonts w:asciiTheme="minorHAnsi" w:eastAsia="MS PGothic" w:hAnsiTheme="minorHAnsi"/>
          <w:color w:val="000000"/>
          <w:sz w:val="22"/>
          <w:szCs w:val="22"/>
          <w:lang w:val="en-US"/>
        </w:rPr>
        <w:t xml:space="preserve"> with a favorable diameter and size that improves workability and makes this material suitable, even, for the production of geopolymers </w:t>
      </w:r>
      <w:r w:rsidR="005B3870" w:rsidRPr="007E37AB">
        <w:rPr>
          <w:rFonts w:asciiTheme="minorHAnsi" w:eastAsia="MS PGothic" w:hAnsiTheme="minorHAnsi"/>
          <w:color w:val="000000"/>
          <w:sz w:val="22"/>
          <w:szCs w:val="22"/>
          <w:lang w:val="en-US"/>
        </w:rPr>
        <w:fldChar w:fldCharType="begin"/>
      </w:r>
      <w:r w:rsidR="00916615">
        <w:rPr>
          <w:rFonts w:asciiTheme="minorHAnsi" w:eastAsia="MS PGothic" w:hAnsiTheme="minorHAnsi"/>
          <w:color w:val="000000"/>
          <w:sz w:val="22"/>
          <w:szCs w:val="22"/>
          <w:lang w:val="en-US"/>
        </w:rPr>
        <w:instrText xml:space="preserve"> ADDIN ZOTERO_ITEM CSL_CITATION {"citationID":"Xli73DP4","properties":{"formattedCitation":"[2]","plainCitation":"[2]","noteIndex":0},"citationItems":[{"id":2764,"uris":["http://zotero.org/users/1861079/items/WE6GWSFM"],"uri":["http://zotero.org/users/1861079/items/WE6GWSFM"],"itemData":{"id":2764,"type":"article-journal","title":"Fly ash-based geopolymers containing added silicate waste. A review","container-title":"Ceramics International","page":"14545-14551","volume":"43","issue":"17","source":"ScienceDirect","abstract":"This review summarizes different types of industrial wastes such as biomass ash, red mud, recycled glass and heavy metals waste, in their application for geopolymer production. These wastes, which are currently abundant and urgent to dispose of, cannot be used alone in the geopolymer process because they do not provide a suitable SiO2/Al2O3 molar ratio for this technology. For this reason, these by-products are commonly used in addition to other aluminosilicate sources such as fly ash or metakaolin. Important parameters which affect the properties and performance of fly ash based geopolymers with addition of a variety of wastes are discussed based on a comprehensive literature review.","DOI":"10.1016/j.ceramint.2017.07.221","ISSN":"0272-8842","journalAbbreviation":"Ceramics International","author":[{"family":"Toniolo","given":"Nicoletta"},{"family":"Boccaccini","given":"Aldo R."}],"issued":{"date-parts":[["2017",12,1]]}},"label":"page"}],"schema":"https://github.com/citation-style-language/schema/raw/master/csl-citation.json"} </w:instrText>
      </w:r>
      <w:r w:rsidR="005B3870" w:rsidRPr="007E37AB">
        <w:rPr>
          <w:rFonts w:asciiTheme="minorHAnsi" w:eastAsia="MS PGothic" w:hAnsiTheme="minorHAnsi"/>
          <w:color w:val="000000"/>
          <w:sz w:val="22"/>
          <w:szCs w:val="22"/>
          <w:lang w:val="en-US"/>
        </w:rPr>
        <w:fldChar w:fldCharType="separate"/>
      </w:r>
      <w:r w:rsidR="00916615">
        <w:rPr>
          <w:rFonts w:asciiTheme="minorHAnsi" w:eastAsia="MS PGothic" w:hAnsiTheme="minorHAnsi"/>
          <w:color w:val="000000"/>
          <w:sz w:val="22"/>
          <w:szCs w:val="22"/>
          <w:lang w:val="en-US"/>
        </w:rPr>
        <w:t>[2]</w:t>
      </w:r>
      <w:r w:rsidR="005B3870" w:rsidRPr="007E37AB">
        <w:rPr>
          <w:rFonts w:asciiTheme="minorHAnsi" w:eastAsia="MS PGothic" w:hAnsiTheme="minorHAnsi"/>
          <w:color w:val="000000"/>
          <w:sz w:val="22"/>
          <w:szCs w:val="22"/>
          <w:lang w:val="en-US"/>
        </w:rPr>
        <w:fldChar w:fldCharType="end"/>
      </w:r>
      <w:r w:rsidR="005B3870" w:rsidRPr="007E37AB">
        <w:rPr>
          <w:rFonts w:asciiTheme="minorHAnsi" w:eastAsia="MS PGothic" w:hAnsiTheme="minorHAnsi"/>
          <w:color w:val="000000"/>
          <w:sz w:val="22"/>
          <w:szCs w:val="22"/>
          <w:lang w:val="en-US"/>
        </w:rPr>
        <w:t>.</w:t>
      </w:r>
      <w:r w:rsidR="007E37AB" w:rsidRPr="007E37AB">
        <w:rPr>
          <w:rFonts w:asciiTheme="minorHAnsi" w:eastAsia="MS PGothic" w:hAnsiTheme="minorHAnsi"/>
          <w:color w:val="000000"/>
          <w:sz w:val="22"/>
          <w:szCs w:val="22"/>
          <w:lang w:val="en-US"/>
        </w:rPr>
        <w:t xml:space="preserve"> Fly ash can be used partially as a substitute for Portland cement or applied as an addition to concrete in the batch plant </w:t>
      </w:r>
      <w:r w:rsidR="007E37AB" w:rsidRPr="007E37AB">
        <w:rPr>
          <w:rFonts w:asciiTheme="minorHAnsi" w:eastAsia="MS PGothic" w:hAnsiTheme="minorHAnsi"/>
          <w:color w:val="000000"/>
          <w:sz w:val="22"/>
          <w:szCs w:val="22"/>
          <w:lang w:val="en-US"/>
        </w:rPr>
        <w:fldChar w:fldCharType="begin"/>
      </w:r>
      <w:r w:rsidR="00DB0032">
        <w:rPr>
          <w:rFonts w:asciiTheme="minorHAnsi" w:eastAsia="MS PGothic" w:hAnsiTheme="minorHAnsi"/>
          <w:color w:val="000000"/>
          <w:sz w:val="22"/>
          <w:szCs w:val="22"/>
          <w:lang w:val="en-US"/>
        </w:rPr>
        <w:instrText xml:space="preserve"> ADDIN ZOTERO_ITEM CSL_CITATION {"citationID":"rba1GxfE","properties":{"formattedCitation":"[3,4]","plainCitation":"[3,4]","noteIndex":0},"citationItems":[{"id":2759,"uris":["http://zotero.org/users/1861079/items/MAW89673"],"uri":["http://zotero.org/users/1861079/items/MAW89673"],"itemData":{"id":2759,"type":"article-journal","title":"Valorization of co-combustion fly ash in concrete production","container-title":"Materials &amp; Design","page":"687-694","volume":"85","source":"ScienceDirect","abstract":"The purpose of this paper is to compare the effects of two different Supplementary Cementing Materials (SCMs) on mechanical and durability-related properties of structural concrete. Three mixes were produced, where coal and co-combustion fly ashes were used as partial substitute of cement (20% in volume) and compared with a control/reference concrete. Performances investigated included fresh concrete properties, compressive and tensile strength, elastic modulus, permeability, capillarity and drying/wetting resistance. Results indicate that both the SCMs can be classified as low-carbon fly ashes, and their use in concrete improves the workability of the mixes. A slight reduction of mechanical strength was observed for the concretes including both the SCMs. In addition, concrete transport properties were also slightly reduced when co-combustion fly ash was used. Wetting-drying cycles affected significantly the durability of all the mixes: compressive strength after these cycles was significantly lowered, and the cracks occurred due to the thermal stress applied, appeared to be filled by needle-shape crystals of ettringite.","DOI":"10.1016/j.matdes.2015.07.079","ISSN":"0264-1275","journalAbbreviation":"Materials &amp; Design","author":[{"family":"Faleschini","given":"Flora"},{"family":"Zanini","given":"Mariano Angelo"},{"family":"Brunelli","given":"Katya"},{"family":"Pellegrino","given":"Carlo"}],"issued":{"date-parts":[["2015",11,15]]}},"label":"page"},{"id":2760,"uris":["http://zotero.org/users/1861079/items/G35VN6JD"],"uri":["http://zotero.org/users/1861079/items/G35VN6JD"],"itemData":{"id":2760,"type":"article-journal","title":"Properties of self-compacting concrete containing class F fly ash","container-title":"Materials &amp; Design","page":"1501-1507","volume":"32","issue":"3","source":"ScienceDirect","abstract":"An experimental program was carried out to study the properties of self-compacting concrete (SCC) made with Class F fly ash. The mixes were prepared with five percentages of class F fly ash ranging from 15% to 35%. Properties investigated were self-compactability parameters (slump flow, J-ring, V-funnel, L-box and U-box), strength properties (compressive and splitting tensile strength), and durability properties (deicing salt surface scaling, carbonation and rapid chloride penetration resistance). SCC mixes developed 28day compressive strength between 30 and 35MPa and splitting tensile strength between 1.5 and 2.4MPa. The carbonation depth increased with the increase in age for all the SCC mixes. Maximum carbonation depth was observed to be 1.67mm at 90days and 1.85mm at 365days for SCC with 20% fly ash content. Also, the pH value for all the mixes was observed to be greater than 11. Deicing salt surface scaling weight loss increased with the increase in fly ash content except with mix containing 15% fly ash. At 365days age, the weight loss was almost consistent for all percentages of fly ash varying between 0.525 and 0.750kg/m2. SCC mixes made with fly ash exhibited very low chloride permeability resistance (less than 700 and 400 Coulomb) at the age of 90 and 365days respectively.","DOI":"10.1016/j.matdes.2010.08.043","ISSN":"0261-3069","journalAbbreviation":"Materials &amp; Design","author":[{"family":"Siddique","given":"Rafat"}],"issued":{"date-parts":[["2011",3,1]]}},"label":"page"}],"schema":"https://github.com/citation-style-language/schema/raw/master/csl-citation.json"} </w:instrText>
      </w:r>
      <w:r w:rsidR="007E37AB" w:rsidRPr="007E37AB">
        <w:rPr>
          <w:rFonts w:asciiTheme="minorHAnsi" w:eastAsia="MS PGothic" w:hAnsiTheme="minorHAnsi"/>
          <w:color w:val="000000"/>
          <w:sz w:val="22"/>
          <w:szCs w:val="22"/>
          <w:lang w:val="en-US"/>
        </w:rPr>
        <w:fldChar w:fldCharType="separate"/>
      </w:r>
      <w:r w:rsidR="00DB0032">
        <w:rPr>
          <w:rFonts w:ascii="Calibri" w:hAnsiTheme="minorHAnsi" w:cs="Calibri"/>
          <w:color w:val="000000"/>
          <w:sz w:val="22"/>
          <w:lang w:val="es-ES_tradnl"/>
        </w:rPr>
        <w:t>[3,4]</w:t>
      </w:r>
      <w:r w:rsidR="007E37AB" w:rsidRPr="007E37AB">
        <w:rPr>
          <w:rFonts w:asciiTheme="minorHAnsi" w:eastAsia="MS PGothic" w:hAnsiTheme="minorHAnsi"/>
          <w:color w:val="000000"/>
          <w:sz w:val="22"/>
          <w:szCs w:val="22"/>
          <w:lang w:val="en-US"/>
        </w:rPr>
        <w:fldChar w:fldCharType="end"/>
      </w:r>
      <w:r w:rsidR="007E37AB" w:rsidRPr="007E37AB">
        <w:rPr>
          <w:rFonts w:asciiTheme="minorHAnsi" w:eastAsia="MS PGothic" w:hAnsiTheme="minorHAnsi"/>
          <w:color w:val="000000"/>
          <w:sz w:val="22"/>
          <w:szCs w:val="22"/>
          <w:lang w:val="en-US"/>
        </w:rPr>
        <w:t xml:space="preserve">. The use of biomass ash and coal-biomass mixtures in cement has also been widely investigated </w:t>
      </w:r>
      <w:r w:rsidR="007E37AB" w:rsidRPr="007E37AB">
        <w:rPr>
          <w:rFonts w:asciiTheme="minorHAnsi" w:eastAsia="MS PGothic" w:hAnsiTheme="minorHAnsi"/>
          <w:color w:val="000000"/>
          <w:sz w:val="22"/>
          <w:szCs w:val="22"/>
          <w:lang w:val="en-US"/>
        </w:rPr>
        <w:fldChar w:fldCharType="begin"/>
      </w:r>
      <w:r w:rsidR="00DB0032">
        <w:rPr>
          <w:rFonts w:asciiTheme="minorHAnsi" w:eastAsia="MS PGothic" w:hAnsiTheme="minorHAnsi"/>
          <w:color w:val="000000"/>
          <w:sz w:val="22"/>
          <w:szCs w:val="22"/>
          <w:lang w:val="en-US"/>
        </w:rPr>
        <w:instrText xml:space="preserve"> ADDIN ZOTERO_ITEM CSL_CITATION {"citationID":"sP0stuVW","properties":{"formattedCitation":"[5,6]","plainCitation":"[5,6]","noteIndex":0},"citationItems":[{"id":2721,"uris":["http://zotero.org/users/1861079/items/B7UAF5KV"],"uri":["http://zotero.org/users/1861079/items/B7UAF5KV"],"itemData":{"id":2721,"type":"article-journal","title":"Characterisation and use of biomass fly ash in cement-based materials","container-title":"Journal of Hazardous Materials","page":"1049-1060","volume":"172","issue":"2","source":"ScienceDirect","abstract":"This paper presents results about the characterisation of the biomass fly ashes sourced from a thermal power plant and from a co-generation power plant located in Portugal, and the study of new cement formulations incorporated with the biomass fly ashes. The study includes a comparative analysis of the phase formation, setting and mechanical behaviour of the new cement–fly ash formulations based on these biomass fly ashes. Techniques such as X-ray diffraction (XRD), X-ray fluorescence spectroscopy (XRF), thermal gravimetric and differential thermal analysis (TG/DTA), X-ray photoelectron spectroscopy (XPS), scanning electron microscopy (SEM) and environmental scanning electron spectroscopy (ESEM) were used to determine the structure and composition of the formulations. Fly ash F1 from the thermal power plant contained levels of SiO2, Al2O3 and Fe2O3 indicating the possibility of exhibiting pozzolanic properties. Fly ash F2 from the co-generation plant contained a higher quantity of CaO (</w:instrText>
      </w:r>
      <w:r w:rsidR="00DB0032">
        <w:rPr>
          <w:rFonts w:ascii="Cambria Math" w:eastAsia="MS PGothic" w:hAnsi="Cambria Math" w:cs="Cambria Math"/>
          <w:color w:val="000000"/>
          <w:sz w:val="22"/>
          <w:szCs w:val="22"/>
          <w:lang w:val="en-US"/>
        </w:rPr>
        <w:instrText>∼</w:instrText>
      </w:r>
      <w:r w:rsidR="00DB0032">
        <w:rPr>
          <w:rFonts w:asciiTheme="minorHAnsi" w:eastAsia="MS PGothic" w:hAnsiTheme="minorHAnsi"/>
          <w:color w:val="000000"/>
          <w:sz w:val="22"/>
          <w:szCs w:val="22"/>
          <w:lang w:val="en-US"/>
        </w:rPr>
        <w:instrText xml:space="preserve">25%). The fly ashes are similar to class C fly ashes according to EN 450 on the basis of chemical composition. The hydration rate and phase formation are greatly dependant on the samples’ alkali content and water to binder (w/b) ratio. In cement based mortar with 10% fly ash the basic strength was maintained, however, when 20% fly ash was added the mechanical strength was around 75% of the reference cement mortar. The fly ashes contained significant levels of chloride and sulphate and it is suggested that the performance of fly ash–cement binders could be improved by the removal or control of these chemical species.","DOI":"10.1016/j.jhazmat.2009.07.109","ISSN":"0304-3894","journalAbbreviation":"Journal of Hazardous Materials","author":[{"family":"Rajamma","given":"Rejini"},{"family":"Ball","given":"Richard J."},{"family":"Tarelho","given":"Luís A. C."},{"family":"Allen","given":"Geoff C."},{"family":"Labrincha","given":"João A."},{"family":"Ferreira","given":"Victor M."}],"issued":{"date-parts":[["2009",12,30]]}},"label":"page"},{"id":2720,"uris":["http://zotero.org/users/1861079/items/96DSJ495"],"uri":["http://zotero.org/users/1861079/items/96DSJ495"],"itemData":{"id":2720,"type":"article-journal","title":"Application of agro-waste for sustainable construction materials: A review","container-title":"Construction and Building Materials","collection-title":"25th Anniversary Session for ACI 228 – Building on the Past for the Future of NDT of Concrete","page":"872-878","volume":"38","source":"ScienceDirect","abstract":"The rapid urbanisation is creating a shortfall of conventional building construction materials due to limited availability of natural resources. On the other hand energy consumed for the production of conventional building construction materials pollutes air, water and land. In order to meet the ever increasing demand for the energy efficient building construction materials there is a need to adopt cost effective, environmentally appropriate technologies and upgrade traditional techniques with available local materials. Agro-industrial and other solid waste disposal is another serious issue of concern in developing countries. The present paper explores the potential application of agro-waste as the ingredient for alternate sustainable construction materials. Based on the availability of agro-waste materials, sustainable construction materials are evaluated for their physico-mechanical properties, methods of production and environmental impact. The application of agro-waste for sustainable construction materials provides a solution which offers reduction in natural resource use as well as energy.","DOI":"10.1016/j.conbuildmat.2012.09.011","ISSN":"0950-0618","title-short":"Application of agro-waste for sustainable construction materials","journalAbbreviation":"Construction and Building Materials","author":[{"family":"Madurwar","given":"Mangesh V."},{"family":"Ralegaonkar","given":"Rahul V."},{"family":"Mandavgane","given":"Sachin A."}],"issued":{"date-parts":[["2013",1,1]]}},"label":"page"}],"schema":"https://github.com/citation-style-language/schema/raw/master/csl-citation.json"} </w:instrText>
      </w:r>
      <w:r w:rsidR="007E37AB" w:rsidRPr="007E37AB">
        <w:rPr>
          <w:rFonts w:asciiTheme="minorHAnsi" w:eastAsia="MS PGothic" w:hAnsiTheme="minorHAnsi"/>
          <w:color w:val="000000"/>
          <w:sz w:val="22"/>
          <w:szCs w:val="22"/>
          <w:lang w:val="en-US"/>
        </w:rPr>
        <w:fldChar w:fldCharType="separate"/>
      </w:r>
      <w:r w:rsidR="00DB0032">
        <w:rPr>
          <w:rFonts w:ascii="Calibri" w:hAnsiTheme="minorHAnsi" w:cs="Calibri"/>
          <w:color w:val="000000"/>
          <w:sz w:val="22"/>
          <w:lang w:val="es-ES_tradnl"/>
        </w:rPr>
        <w:t>[5,6]</w:t>
      </w:r>
      <w:r w:rsidR="007E37AB" w:rsidRPr="007E37AB">
        <w:rPr>
          <w:rFonts w:asciiTheme="minorHAnsi" w:eastAsia="MS PGothic" w:hAnsiTheme="minorHAnsi"/>
          <w:color w:val="000000"/>
          <w:sz w:val="22"/>
          <w:szCs w:val="22"/>
          <w:lang w:val="en-US"/>
        </w:rPr>
        <w:fldChar w:fldCharType="end"/>
      </w:r>
      <w:r w:rsidR="007E37AB" w:rsidRPr="007E37AB">
        <w:rPr>
          <w:rFonts w:asciiTheme="minorHAnsi" w:eastAsia="MS PGothic" w:hAnsiTheme="minorHAnsi"/>
          <w:color w:val="000000"/>
          <w:sz w:val="22"/>
          <w:szCs w:val="22"/>
          <w:lang w:val="en-US"/>
        </w:rPr>
        <w:t xml:space="preserve">. </w:t>
      </w:r>
      <w:r w:rsidRPr="00B6325C">
        <w:rPr>
          <w:rFonts w:asciiTheme="minorHAnsi" w:eastAsia="MS PGothic" w:hAnsiTheme="minorHAnsi"/>
          <w:color w:val="000000"/>
          <w:sz w:val="22"/>
          <w:szCs w:val="22"/>
          <w:lang w:val="en-US"/>
        </w:rPr>
        <w:t>In this work, the reactivity of hazardous waste, bituminous coal and sugar cane ash as supplementary cement materials was evaluated.</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B6325C" w:rsidRDefault="00B6325C" w:rsidP="00704BDF">
      <w:pPr>
        <w:snapToGrid w:val="0"/>
        <w:spacing w:after="120"/>
        <w:rPr>
          <w:rFonts w:asciiTheme="minorHAnsi" w:eastAsia="MS PGothic" w:hAnsiTheme="minorHAnsi"/>
          <w:color w:val="000000"/>
          <w:sz w:val="22"/>
          <w:szCs w:val="22"/>
          <w:lang w:val="en-US"/>
        </w:rPr>
      </w:pPr>
      <w:r w:rsidRPr="00B6325C">
        <w:rPr>
          <w:rFonts w:asciiTheme="minorHAnsi" w:eastAsia="MS PGothic" w:hAnsiTheme="minorHAnsi"/>
          <w:color w:val="000000"/>
          <w:sz w:val="22"/>
          <w:szCs w:val="22"/>
          <w:lang w:val="en-US"/>
        </w:rPr>
        <w:t>For this work, ash from incineration processes (hazardous waste, sugarcane and bituminous coal) was used</w:t>
      </w:r>
      <w:r>
        <w:rPr>
          <w:rFonts w:asciiTheme="minorHAnsi" w:eastAsia="MS PGothic" w:hAnsiTheme="minorHAnsi"/>
          <w:color w:val="000000"/>
          <w:sz w:val="22"/>
          <w:szCs w:val="22"/>
          <w:lang w:val="en-US"/>
        </w:rPr>
        <w:t xml:space="preserve">. </w:t>
      </w:r>
      <w:r w:rsidRPr="00B6325C">
        <w:rPr>
          <w:rFonts w:asciiTheme="minorHAnsi" w:eastAsia="MS PGothic" w:hAnsiTheme="minorHAnsi"/>
          <w:color w:val="000000"/>
          <w:sz w:val="22"/>
          <w:szCs w:val="22"/>
          <w:lang w:val="en-US"/>
        </w:rPr>
        <w:t>Each one of these ashes was used in different proportions in the mixture with cement</w:t>
      </w:r>
      <w:r>
        <w:rPr>
          <w:rFonts w:asciiTheme="minorHAnsi" w:eastAsia="MS PGothic" w:hAnsiTheme="minorHAnsi"/>
          <w:color w:val="000000"/>
          <w:sz w:val="22"/>
          <w:szCs w:val="22"/>
          <w:lang w:val="en-US"/>
        </w:rPr>
        <w:t xml:space="preserve">. </w:t>
      </w:r>
      <w:r w:rsidRPr="00B6325C">
        <w:rPr>
          <w:rFonts w:asciiTheme="minorHAnsi" w:eastAsia="MS PGothic" w:hAnsiTheme="minorHAnsi"/>
          <w:color w:val="000000"/>
          <w:sz w:val="22"/>
          <w:szCs w:val="22"/>
          <w:lang w:val="en-US"/>
        </w:rPr>
        <w:t>For the case of bituminous coal (BIT) and sugarcane (CAN), a 30% replacement ratio was used.</w:t>
      </w:r>
      <w:r>
        <w:rPr>
          <w:rFonts w:asciiTheme="minorHAnsi" w:eastAsia="MS PGothic" w:hAnsiTheme="minorHAnsi"/>
          <w:color w:val="000000"/>
          <w:sz w:val="22"/>
          <w:szCs w:val="22"/>
          <w:lang w:val="en-US"/>
        </w:rPr>
        <w:t xml:space="preserve"> </w:t>
      </w:r>
      <w:r w:rsidRPr="00B6325C">
        <w:rPr>
          <w:rFonts w:asciiTheme="minorHAnsi" w:eastAsia="MS PGothic" w:hAnsiTheme="minorHAnsi"/>
          <w:color w:val="000000"/>
          <w:sz w:val="22"/>
          <w:szCs w:val="22"/>
          <w:lang w:val="en-US"/>
        </w:rPr>
        <w:t>In the case of the ashes of hazardous waste these were previously treated by means of washes</w:t>
      </w:r>
      <w:r>
        <w:rPr>
          <w:rFonts w:asciiTheme="minorHAnsi" w:eastAsia="MS PGothic" w:hAnsiTheme="minorHAnsi"/>
          <w:color w:val="000000"/>
          <w:sz w:val="22"/>
          <w:szCs w:val="22"/>
          <w:lang w:val="en-US"/>
        </w:rPr>
        <w:t xml:space="preserve"> (CITA). </w:t>
      </w:r>
      <w:r w:rsidRPr="00B6325C">
        <w:rPr>
          <w:rFonts w:asciiTheme="minorHAnsi" w:eastAsia="MS PGothic" w:hAnsiTheme="minorHAnsi"/>
          <w:color w:val="000000"/>
          <w:sz w:val="22"/>
          <w:szCs w:val="22"/>
          <w:lang w:val="en-US"/>
        </w:rPr>
        <w:t>Both the treated and the untreated ashes were used in replacements</w:t>
      </w:r>
      <w:r>
        <w:rPr>
          <w:rFonts w:asciiTheme="minorHAnsi" w:eastAsia="MS PGothic" w:hAnsiTheme="minorHAnsi"/>
          <w:color w:val="000000"/>
          <w:sz w:val="22"/>
          <w:szCs w:val="22"/>
          <w:lang w:val="en-US"/>
        </w:rPr>
        <w:t xml:space="preserve">. </w:t>
      </w:r>
      <w:r w:rsidRPr="00B6325C">
        <w:rPr>
          <w:rFonts w:asciiTheme="minorHAnsi" w:eastAsia="MS PGothic" w:hAnsiTheme="minorHAnsi"/>
          <w:color w:val="000000"/>
          <w:sz w:val="22"/>
          <w:szCs w:val="22"/>
          <w:lang w:val="en-US"/>
        </w:rPr>
        <w:t>For the treated ashes two ratios of 5% and 3% were used</w:t>
      </w:r>
      <w:r>
        <w:rPr>
          <w:rFonts w:asciiTheme="minorHAnsi" w:eastAsia="MS PGothic" w:hAnsiTheme="minorHAnsi"/>
          <w:color w:val="000000"/>
          <w:sz w:val="22"/>
          <w:szCs w:val="22"/>
          <w:lang w:val="en-US"/>
        </w:rPr>
        <w:t xml:space="preserve">. </w:t>
      </w:r>
      <w:r w:rsidRPr="00B6325C">
        <w:rPr>
          <w:rFonts w:asciiTheme="minorHAnsi" w:eastAsia="MS PGothic" w:hAnsiTheme="minorHAnsi"/>
          <w:color w:val="000000"/>
          <w:sz w:val="22"/>
          <w:szCs w:val="22"/>
          <w:lang w:val="en-US"/>
        </w:rPr>
        <w:t>While for the untreated ashes a ratio of 10% was used</w:t>
      </w:r>
      <w:r>
        <w:rPr>
          <w:rFonts w:asciiTheme="minorHAnsi" w:eastAsia="MS PGothic" w:hAnsiTheme="minorHAnsi"/>
          <w:color w:val="000000"/>
          <w:sz w:val="22"/>
          <w:szCs w:val="22"/>
          <w:lang w:val="en-US"/>
        </w:rPr>
        <w:t xml:space="preserve">. </w:t>
      </w:r>
      <w:r w:rsidRPr="00B6325C">
        <w:rPr>
          <w:rFonts w:asciiTheme="minorHAnsi" w:eastAsia="MS PGothic" w:hAnsiTheme="minorHAnsi"/>
          <w:color w:val="000000"/>
          <w:sz w:val="22"/>
          <w:szCs w:val="22"/>
          <w:lang w:val="en-US"/>
        </w:rPr>
        <w:t xml:space="preserve">For this, the reactivity of the ashes in cement monoliths was </w:t>
      </w:r>
      <w:proofErr w:type="spellStart"/>
      <w:r w:rsidRPr="00B6325C">
        <w:rPr>
          <w:rFonts w:asciiTheme="minorHAnsi" w:eastAsia="MS PGothic" w:hAnsiTheme="minorHAnsi"/>
          <w:color w:val="000000"/>
          <w:sz w:val="22"/>
          <w:szCs w:val="22"/>
          <w:lang w:val="en-US"/>
        </w:rPr>
        <w:t>analysed</w:t>
      </w:r>
      <w:proofErr w:type="spellEnd"/>
      <w:r w:rsidRPr="00B6325C">
        <w:rPr>
          <w:rFonts w:asciiTheme="minorHAnsi" w:eastAsia="MS PGothic" w:hAnsiTheme="minorHAnsi"/>
          <w:color w:val="000000"/>
          <w:sz w:val="22"/>
          <w:szCs w:val="22"/>
          <w:lang w:val="en-US"/>
        </w:rPr>
        <w:t>, focusing on thermogravimetric tests as a characterization technique to determine the present phases and compression resistance tests. The ashes were characterized by DRX and FRX, finding low content of SiO</w:t>
      </w:r>
      <w:r w:rsidRPr="00B6325C">
        <w:rPr>
          <w:rFonts w:asciiTheme="minorHAnsi" w:eastAsia="MS PGothic" w:hAnsiTheme="minorHAnsi"/>
          <w:color w:val="000000"/>
          <w:sz w:val="22"/>
          <w:szCs w:val="22"/>
          <w:vertAlign w:val="subscript"/>
          <w:lang w:val="en-US"/>
        </w:rPr>
        <w:t>2</w:t>
      </w:r>
      <w:r w:rsidRPr="00B6325C">
        <w:rPr>
          <w:rFonts w:asciiTheme="minorHAnsi" w:eastAsia="MS PGothic" w:hAnsiTheme="minorHAnsi"/>
          <w:color w:val="000000"/>
          <w:sz w:val="22"/>
          <w:szCs w:val="22"/>
          <w:lang w:val="en-US"/>
        </w:rPr>
        <w:t xml:space="preserve"> and Al</w:t>
      </w:r>
      <w:r w:rsidRPr="00B6325C">
        <w:rPr>
          <w:rFonts w:asciiTheme="minorHAnsi" w:eastAsia="MS PGothic" w:hAnsiTheme="minorHAnsi"/>
          <w:color w:val="000000"/>
          <w:sz w:val="22"/>
          <w:szCs w:val="22"/>
          <w:vertAlign w:val="subscript"/>
          <w:lang w:val="en-US"/>
        </w:rPr>
        <w:t>2</w:t>
      </w:r>
      <w:r w:rsidRPr="00B6325C">
        <w:rPr>
          <w:rFonts w:asciiTheme="minorHAnsi" w:eastAsia="MS PGothic" w:hAnsiTheme="minorHAnsi"/>
          <w:color w:val="000000"/>
          <w:sz w:val="22"/>
          <w:szCs w:val="22"/>
          <w:lang w:val="en-US"/>
        </w:rPr>
        <w:t>O</w:t>
      </w:r>
      <w:r w:rsidRPr="00B6325C">
        <w:rPr>
          <w:rFonts w:asciiTheme="minorHAnsi" w:eastAsia="MS PGothic" w:hAnsiTheme="minorHAnsi"/>
          <w:color w:val="000000"/>
          <w:sz w:val="22"/>
          <w:szCs w:val="22"/>
          <w:vertAlign w:val="subscript"/>
          <w:lang w:val="en-US"/>
        </w:rPr>
        <w:t>3</w:t>
      </w:r>
      <w:r w:rsidRPr="00B6325C">
        <w:rPr>
          <w:rFonts w:asciiTheme="minorHAnsi" w:eastAsia="MS PGothic" w:hAnsiTheme="minorHAnsi"/>
          <w:color w:val="000000"/>
          <w:sz w:val="22"/>
          <w:szCs w:val="22"/>
          <w:lang w:val="en-US"/>
        </w:rPr>
        <w:t xml:space="preserve"> in the hazardous waste ashes, while in the coal and sugarcane ashes high contents of these oxides were found. The monoliths were prepared according to ASTM C-305, using a 0.5 water/lime ratio. The hydration process was stopped with acetone at the ages of 1, 3, 7, 14, 28, 56 and 90 days.</w:t>
      </w: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943D7B" w:rsidRPr="009E1B3D" w:rsidRDefault="00943D7B" w:rsidP="00704BDF">
      <w:pPr>
        <w:snapToGrid w:val="0"/>
        <w:spacing w:before="240" w:line="300" w:lineRule="auto"/>
        <w:rPr>
          <w:rFonts w:asciiTheme="minorHAnsi" w:hAnsiTheme="minorHAnsi" w:cstheme="minorHAnsi"/>
          <w:sz w:val="22"/>
          <w:lang w:val="en-US"/>
        </w:rPr>
      </w:pPr>
      <w:r w:rsidRPr="009E1B3D">
        <w:rPr>
          <w:rFonts w:asciiTheme="minorHAnsi" w:hAnsiTheme="minorHAnsi" w:cstheme="minorHAnsi"/>
          <w:sz w:val="22"/>
          <w:lang w:val="en-US"/>
        </w:rPr>
        <w:lastRenderedPageBreak/>
        <w:t>After 90 days of curing, it was found that the mixtures presented similar resistance data with white respite, highlighting the 3 and 5% RPL and the bituminous coal mixtures. Similarly, the 10% -RPS mixture has a load very similar to white. It is advisable to perform metal leaching analysis, in order to evaluate possible environmental impacts that may occur in its application as a substitute for cement. Table 1 shows the average of the three failures made to each of the samples on each of the days evaluated. A very good behavior of the mixtures is observed from day 3 of curing of the monoliths.</w:t>
      </w:r>
    </w:p>
    <w:p w:rsidR="00943D7B" w:rsidRPr="009E1B3D" w:rsidRDefault="00943D7B" w:rsidP="00943D7B">
      <w:pPr>
        <w:spacing w:line="360" w:lineRule="auto"/>
        <w:ind w:firstLine="284"/>
        <w:jc w:val="center"/>
        <w:rPr>
          <w:rFonts w:asciiTheme="minorHAnsi" w:hAnsiTheme="minorHAnsi" w:cstheme="minorHAnsi"/>
          <w:sz w:val="22"/>
          <w:szCs w:val="22"/>
          <w:lang w:val="en-US"/>
        </w:rPr>
      </w:pPr>
      <w:r w:rsidRPr="005B3870">
        <w:rPr>
          <w:rFonts w:asciiTheme="minorHAnsi" w:hAnsiTheme="minorHAnsi" w:cstheme="minorHAnsi"/>
          <w:b/>
          <w:szCs w:val="22"/>
        </w:rPr>
        <w:t>Table 1.</w:t>
      </w:r>
      <w:r w:rsidRPr="005B3870">
        <w:rPr>
          <w:rFonts w:asciiTheme="minorHAnsi" w:hAnsiTheme="minorHAnsi" w:cstheme="minorHAnsi"/>
          <w:szCs w:val="22"/>
        </w:rPr>
        <w:t xml:space="preserve"> </w:t>
      </w:r>
      <w:r w:rsidRPr="005B3870">
        <w:rPr>
          <w:rFonts w:asciiTheme="minorHAnsi" w:hAnsiTheme="minorHAnsi" w:cstheme="minorHAnsi"/>
          <w:szCs w:val="22"/>
          <w:lang w:val="en-US"/>
        </w:rPr>
        <w:t>Analysis of the resistance of the different replacements</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4"/>
        <w:gridCol w:w="1612"/>
        <w:gridCol w:w="1811"/>
      </w:tblGrid>
      <w:tr w:rsidR="00943D7B" w:rsidRPr="009E1B3D" w:rsidTr="005B3870">
        <w:trPr>
          <w:trHeight w:val="113"/>
          <w:jc w:val="center"/>
        </w:trPr>
        <w:tc>
          <w:tcPr>
            <w:tcW w:w="1534" w:type="dxa"/>
            <w:shd w:val="clear" w:color="auto" w:fill="auto"/>
            <w:noWrap/>
            <w:hideMark/>
          </w:tcPr>
          <w:p w:rsidR="00943D7B" w:rsidRPr="005B3870" w:rsidRDefault="00943D7B" w:rsidP="00BD253A">
            <w:pPr>
              <w:jc w:val="center"/>
              <w:rPr>
                <w:rFonts w:asciiTheme="minorHAnsi" w:hAnsiTheme="minorHAnsi" w:cstheme="minorHAnsi"/>
                <w:b/>
                <w:szCs w:val="22"/>
              </w:rPr>
            </w:pPr>
            <w:r w:rsidRPr="005B3870">
              <w:rPr>
                <w:rFonts w:asciiTheme="minorHAnsi" w:hAnsiTheme="minorHAnsi" w:cstheme="minorHAnsi"/>
                <w:b/>
                <w:szCs w:val="22"/>
              </w:rPr>
              <w:t>Day</w:t>
            </w:r>
          </w:p>
        </w:tc>
        <w:tc>
          <w:tcPr>
            <w:tcW w:w="1612" w:type="dxa"/>
            <w:shd w:val="clear" w:color="auto" w:fill="auto"/>
            <w:noWrap/>
            <w:hideMark/>
          </w:tcPr>
          <w:p w:rsidR="00943D7B" w:rsidRPr="005B3870" w:rsidRDefault="00943D7B" w:rsidP="00BD253A">
            <w:pPr>
              <w:jc w:val="center"/>
              <w:rPr>
                <w:rFonts w:asciiTheme="minorHAnsi" w:hAnsiTheme="minorHAnsi" w:cstheme="minorHAnsi"/>
                <w:b/>
                <w:szCs w:val="22"/>
              </w:rPr>
            </w:pPr>
            <w:r w:rsidRPr="005B3870">
              <w:rPr>
                <w:rFonts w:asciiTheme="minorHAnsi" w:hAnsiTheme="minorHAnsi" w:cstheme="minorHAnsi"/>
                <w:b/>
                <w:szCs w:val="22"/>
              </w:rPr>
              <w:t>Sample</w:t>
            </w:r>
          </w:p>
        </w:tc>
        <w:tc>
          <w:tcPr>
            <w:tcW w:w="1811" w:type="dxa"/>
            <w:shd w:val="clear" w:color="auto" w:fill="auto"/>
            <w:noWrap/>
            <w:hideMark/>
          </w:tcPr>
          <w:p w:rsidR="00943D7B" w:rsidRPr="005B3870" w:rsidRDefault="00943D7B" w:rsidP="00BD253A">
            <w:pPr>
              <w:jc w:val="center"/>
              <w:rPr>
                <w:rFonts w:asciiTheme="minorHAnsi" w:hAnsiTheme="minorHAnsi" w:cstheme="minorHAnsi"/>
                <w:b/>
                <w:szCs w:val="22"/>
              </w:rPr>
            </w:pPr>
            <w:r w:rsidRPr="005B3870">
              <w:rPr>
                <w:rFonts w:asciiTheme="minorHAnsi" w:hAnsiTheme="minorHAnsi" w:cstheme="minorHAnsi"/>
                <w:b/>
                <w:szCs w:val="22"/>
              </w:rPr>
              <w:t>Average Load (</w:t>
            </w:r>
            <w:proofErr w:type="spellStart"/>
            <w:r w:rsidRPr="005B3870">
              <w:rPr>
                <w:rFonts w:asciiTheme="minorHAnsi" w:hAnsiTheme="minorHAnsi" w:cstheme="minorHAnsi"/>
                <w:b/>
                <w:szCs w:val="22"/>
              </w:rPr>
              <w:t>kgf</w:t>
            </w:r>
            <w:proofErr w:type="spellEnd"/>
            <w:r w:rsidRPr="005B3870">
              <w:rPr>
                <w:rFonts w:asciiTheme="minorHAnsi" w:hAnsiTheme="minorHAnsi" w:cstheme="minorHAnsi"/>
                <w:b/>
                <w:szCs w:val="22"/>
              </w:rPr>
              <w:t>)</w:t>
            </w:r>
          </w:p>
        </w:tc>
      </w:tr>
      <w:tr w:rsidR="00943D7B" w:rsidRPr="009E1B3D" w:rsidTr="00721E25">
        <w:trPr>
          <w:trHeight w:val="113"/>
          <w:jc w:val="center"/>
        </w:trPr>
        <w:tc>
          <w:tcPr>
            <w:tcW w:w="1534" w:type="dxa"/>
            <w:vMerge w:val="restart"/>
            <w:shd w:val="clear" w:color="auto" w:fill="auto"/>
            <w:noWrap/>
            <w:vAlign w:val="center"/>
            <w:hideMark/>
          </w:tcPr>
          <w:p w:rsidR="00943D7B" w:rsidRPr="00721E25" w:rsidRDefault="00943D7B" w:rsidP="00721E25">
            <w:pPr>
              <w:jc w:val="center"/>
              <w:rPr>
                <w:rFonts w:asciiTheme="minorHAnsi" w:hAnsiTheme="minorHAnsi" w:cstheme="minorHAnsi"/>
                <w:b/>
                <w:szCs w:val="22"/>
              </w:rPr>
            </w:pPr>
            <w:r w:rsidRPr="00721E25">
              <w:rPr>
                <w:rFonts w:asciiTheme="minorHAnsi" w:hAnsiTheme="minorHAnsi" w:cstheme="minorHAnsi"/>
                <w:b/>
                <w:szCs w:val="22"/>
              </w:rPr>
              <w:t>90</w:t>
            </w:r>
          </w:p>
        </w:tc>
        <w:tc>
          <w:tcPr>
            <w:tcW w:w="1612" w:type="dxa"/>
            <w:shd w:val="clear" w:color="auto" w:fill="auto"/>
            <w:noWrap/>
            <w:hideMark/>
          </w:tcPr>
          <w:p w:rsidR="00943D7B" w:rsidRPr="005B3870" w:rsidRDefault="005B3870" w:rsidP="00DB0032">
            <w:pPr>
              <w:jc w:val="center"/>
              <w:rPr>
                <w:rFonts w:asciiTheme="minorHAnsi" w:hAnsiTheme="minorHAnsi" w:cstheme="minorHAnsi"/>
                <w:szCs w:val="22"/>
              </w:rPr>
            </w:pPr>
            <w:proofErr w:type="gramStart"/>
            <w:r>
              <w:rPr>
                <w:rFonts w:asciiTheme="minorHAnsi" w:hAnsiTheme="minorHAnsi" w:cstheme="minorHAnsi"/>
                <w:szCs w:val="22"/>
              </w:rPr>
              <w:t>UHW</w:t>
            </w:r>
            <w:r w:rsidR="00943D7B" w:rsidRPr="005B3870">
              <w:rPr>
                <w:rFonts w:asciiTheme="minorHAnsi" w:hAnsiTheme="minorHAnsi" w:cstheme="minorHAnsi"/>
                <w:szCs w:val="22"/>
              </w:rPr>
              <w:t>(</w:t>
            </w:r>
            <w:proofErr w:type="gramEnd"/>
            <w:r w:rsidR="00943D7B" w:rsidRPr="005B3870">
              <w:rPr>
                <w:rFonts w:asciiTheme="minorHAnsi" w:hAnsiTheme="minorHAnsi" w:cstheme="minorHAnsi"/>
                <w:szCs w:val="22"/>
              </w:rPr>
              <w:t>10%)</w:t>
            </w:r>
          </w:p>
        </w:tc>
        <w:tc>
          <w:tcPr>
            <w:tcW w:w="1811" w:type="dxa"/>
            <w:shd w:val="clear" w:color="auto" w:fill="auto"/>
            <w:noWrap/>
            <w:hideMark/>
          </w:tcPr>
          <w:p w:rsidR="00943D7B" w:rsidRPr="005B3870" w:rsidRDefault="00943D7B" w:rsidP="00BD253A">
            <w:pPr>
              <w:jc w:val="center"/>
              <w:rPr>
                <w:rFonts w:asciiTheme="minorHAnsi" w:hAnsiTheme="minorHAnsi" w:cstheme="minorHAnsi"/>
                <w:szCs w:val="22"/>
              </w:rPr>
            </w:pPr>
            <w:r w:rsidRPr="005B3870">
              <w:rPr>
                <w:rFonts w:asciiTheme="minorHAnsi" w:hAnsiTheme="minorHAnsi" w:cstheme="minorHAnsi"/>
                <w:szCs w:val="22"/>
              </w:rPr>
              <w:t>844</w:t>
            </w:r>
          </w:p>
        </w:tc>
      </w:tr>
      <w:tr w:rsidR="00943D7B" w:rsidRPr="009E1B3D" w:rsidTr="005B3870">
        <w:trPr>
          <w:trHeight w:val="113"/>
          <w:jc w:val="center"/>
        </w:trPr>
        <w:tc>
          <w:tcPr>
            <w:tcW w:w="1534" w:type="dxa"/>
            <w:vMerge/>
            <w:hideMark/>
          </w:tcPr>
          <w:p w:rsidR="00943D7B" w:rsidRPr="005B3870" w:rsidRDefault="00943D7B" w:rsidP="00BD253A">
            <w:pPr>
              <w:rPr>
                <w:rFonts w:asciiTheme="minorHAnsi" w:hAnsiTheme="minorHAnsi" w:cstheme="minorHAnsi"/>
                <w:szCs w:val="22"/>
              </w:rPr>
            </w:pPr>
          </w:p>
        </w:tc>
        <w:tc>
          <w:tcPr>
            <w:tcW w:w="1612" w:type="dxa"/>
            <w:shd w:val="clear" w:color="auto" w:fill="auto"/>
            <w:noWrap/>
            <w:hideMark/>
          </w:tcPr>
          <w:p w:rsidR="00943D7B" w:rsidRPr="005B3870" w:rsidRDefault="005B3870" w:rsidP="00DB0032">
            <w:pPr>
              <w:jc w:val="center"/>
              <w:rPr>
                <w:rFonts w:asciiTheme="minorHAnsi" w:hAnsiTheme="minorHAnsi" w:cstheme="minorHAnsi"/>
                <w:szCs w:val="22"/>
              </w:rPr>
            </w:pPr>
            <w:proofErr w:type="gramStart"/>
            <w:r>
              <w:rPr>
                <w:rFonts w:asciiTheme="minorHAnsi" w:hAnsiTheme="minorHAnsi" w:cstheme="minorHAnsi"/>
                <w:szCs w:val="22"/>
              </w:rPr>
              <w:t>THW</w:t>
            </w:r>
            <w:r w:rsidR="00943D7B" w:rsidRPr="005B3870">
              <w:rPr>
                <w:rFonts w:asciiTheme="minorHAnsi" w:hAnsiTheme="minorHAnsi" w:cstheme="minorHAnsi"/>
                <w:szCs w:val="22"/>
              </w:rPr>
              <w:t>(</w:t>
            </w:r>
            <w:proofErr w:type="gramEnd"/>
            <w:r w:rsidR="00943D7B" w:rsidRPr="005B3870">
              <w:rPr>
                <w:rFonts w:asciiTheme="minorHAnsi" w:hAnsiTheme="minorHAnsi" w:cstheme="minorHAnsi"/>
                <w:szCs w:val="22"/>
              </w:rPr>
              <w:t>5%)</w:t>
            </w:r>
          </w:p>
        </w:tc>
        <w:tc>
          <w:tcPr>
            <w:tcW w:w="1811" w:type="dxa"/>
            <w:shd w:val="clear" w:color="auto" w:fill="auto"/>
            <w:noWrap/>
            <w:hideMark/>
          </w:tcPr>
          <w:p w:rsidR="00943D7B" w:rsidRPr="005B3870" w:rsidRDefault="00943D7B" w:rsidP="00BD253A">
            <w:pPr>
              <w:jc w:val="center"/>
              <w:rPr>
                <w:rFonts w:asciiTheme="minorHAnsi" w:hAnsiTheme="minorHAnsi" w:cstheme="minorHAnsi"/>
                <w:szCs w:val="22"/>
              </w:rPr>
            </w:pPr>
            <w:r w:rsidRPr="005B3870">
              <w:rPr>
                <w:rFonts w:asciiTheme="minorHAnsi" w:hAnsiTheme="minorHAnsi" w:cstheme="minorHAnsi"/>
                <w:szCs w:val="22"/>
              </w:rPr>
              <w:t>1055</w:t>
            </w:r>
          </w:p>
        </w:tc>
      </w:tr>
      <w:tr w:rsidR="00943D7B" w:rsidRPr="009E1B3D" w:rsidTr="005B3870">
        <w:trPr>
          <w:trHeight w:val="113"/>
          <w:jc w:val="center"/>
        </w:trPr>
        <w:tc>
          <w:tcPr>
            <w:tcW w:w="1534" w:type="dxa"/>
            <w:vMerge/>
            <w:hideMark/>
          </w:tcPr>
          <w:p w:rsidR="00943D7B" w:rsidRPr="005B3870" w:rsidRDefault="00943D7B" w:rsidP="00BD253A">
            <w:pPr>
              <w:rPr>
                <w:rFonts w:asciiTheme="minorHAnsi" w:hAnsiTheme="minorHAnsi" w:cstheme="minorHAnsi"/>
                <w:szCs w:val="22"/>
              </w:rPr>
            </w:pPr>
          </w:p>
        </w:tc>
        <w:tc>
          <w:tcPr>
            <w:tcW w:w="1612" w:type="dxa"/>
            <w:shd w:val="clear" w:color="auto" w:fill="auto"/>
            <w:noWrap/>
            <w:hideMark/>
          </w:tcPr>
          <w:p w:rsidR="00943D7B" w:rsidRPr="005B3870" w:rsidRDefault="005B3870" w:rsidP="00DB0032">
            <w:pPr>
              <w:jc w:val="center"/>
              <w:rPr>
                <w:rFonts w:asciiTheme="minorHAnsi" w:hAnsiTheme="minorHAnsi" w:cstheme="minorHAnsi"/>
                <w:szCs w:val="22"/>
              </w:rPr>
            </w:pPr>
            <w:proofErr w:type="gramStart"/>
            <w:r>
              <w:rPr>
                <w:rFonts w:asciiTheme="minorHAnsi" w:hAnsiTheme="minorHAnsi" w:cstheme="minorHAnsi"/>
                <w:szCs w:val="22"/>
              </w:rPr>
              <w:t>THW</w:t>
            </w:r>
            <w:r w:rsidR="00943D7B" w:rsidRPr="005B3870">
              <w:rPr>
                <w:rFonts w:asciiTheme="minorHAnsi" w:hAnsiTheme="minorHAnsi" w:cstheme="minorHAnsi"/>
                <w:szCs w:val="22"/>
              </w:rPr>
              <w:t>(</w:t>
            </w:r>
            <w:proofErr w:type="gramEnd"/>
            <w:r w:rsidR="00943D7B" w:rsidRPr="005B3870">
              <w:rPr>
                <w:rFonts w:asciiTheme="minorHAnsi" w:hAnsiTheme="minorHAnsi" w:cstheme="minorHAnsi"/>
                <w:szCs w:val="22"/>
              </w:rPr>
              <w:t>3%)</w:t>
            </w:r>
          </w:p>
        </w:tc>
        <w:tc>
          <w:tcPr>
            <w:tcW w:w="1811" w:type="dxa"/>
            <w:shd w:val="clear" w:color="auto" w:fill="auto"/>
            <w:noWrap/>
            <w:hideMark/>
          </w:tcPr>
          <w:p w:rsidR="00943D7B" w:rsidRPr="005B3870" w:rsidRDefault="00943D7B" w:rsidP="00BD253A">
            <w:pPr>
              <w:jc w:val="center"/>
              <w:rPr>
                <w:rFonts w:asciiTheme="minorHAnsi" w:hAnsiTheme="minorHAnsi" w:cstheme="minorHAnsi"/>
                <w:szCs w:val="22"/>
              </w:rPr>
            </w:pPr>
            <w:r w:rsidRPr="005B3870">
              <w:rPr>
                <w:rFonts w:asciiTheme="minorHAnsi" w:hAnsiTheme="minorHAnsi" w:cstheme="minorHAnsi"/>
                <w:szCs w:val="22"/>
              </w:rPr>
              <w:t>1094</w:t>
            </w:r>
          </w:p>
        </w:tc>
      </w:tr>
      <w:tr w:rsidR="00943D7B" w:rsidRPr="009E1B3D" w:rsidTr="005B3870">
        <w:trPr>
          <w:trHeight w:val="113"/>
          <w:jc w:val="center"/>
        </w:trPr>
        <w:tc>
          <w:tcPr>
            <w:tcW w:w="1534" w:type="dxa"/>
            <w:vMerge/>
            <w:hideMark/>
          </w:tcPr>
          <w:p w:rsidR="00943D7B" w:rsidRPr="005B3870" w:rsidRDefault="00943D7B" w:rsidP="00BD253A">
            <w:pPr>
              <w:rPr>
                <w:rFonts w:asciiTheme="minorHAnsi" w:hAnsiTheme="minorHAnsi" w:cstheme="minorHAnsi"/>
                <w:szCs w:val="22"/>
              </w:rPr>
            </w:pPr>
          </w:p>
        </w:tc>
        <w:tc>
          <w:tcPr>
            <w:tcW w:w="1612" w:type="dxa"/>
            <w:shd w:val="clear" w:color="auto" w:fill="auto"/>
            <w:noWrap/>
            <w:hideMark/>
          </w:tcPr>
          <w:p w:rsidR="00943D7B" w:rsidRPr="005B3870" w:rsidRDefault="00943D7B" w:rsidP="00DB0032">
            <w:pPr>
              <w:jc w:val="center"/>
              <w:rPr>
                <w:rFonts w:asciiTheme="minorHAnsi" w:hAnsiTheme="minorHAnsi" w:cstheme="minorHAnsi"/>
                <w:szCs w:val="22"/>
              </w:rPr>
            </w:pPr>
            <w:r w:rsidRPr="005B3870">
              <w:rPr>
                <w:rFonts w:asciiTheme="minorHAnsi" w:hAnsiTheme="minorHAnsi" w:cstheme="minorHAnsi"/>
                <w:szCs w:val="22"/>
              </w:rPr>
              <w:t>BIT</w:t>
            </w:r>
          </w:p>
        </w:tc>
        <w:tc>
          <w:tcPr>
            <w:tcW w:w="1811" w:type="dxa"/>
            <w:shd w:val="clear" w:color="auto" w:fill="auto"/>
            <w:noWrap/>
            <w:hideMark/>
          </w:tcPr>
          <w:p w:rsidR="00943D7B" w:rsidRPr="005B3870" w:rsidRDefault="00943D7B" w:rsidP="00BD253A">
            <w:pPr>
              <w:jc w:val="center"/>
              <w:rPr>
                <w:rFonts w:asciiTheme="minorHAnsi" w:hAnsiTheme="minorHAnsi" w:cstheme="minorHAnsi"/>
                <w:szCs w:val="22"/>
              </w:rPr>
            </w:pPr>
            <w:r w:rsidRPr="005B3870">
              <w:rPr>
                <w:rFonts w:asciiTheme="minorHAnsi" w:hAnsiTheme="minorHAnsi" w:cstheme="minorHAnsi"/>
                <w:szCs w:val="22"/>
              </w:rPr>
              <w:t>1205</w:t>
            </w:r>
          </w:p>
        </w:tc>
      </w:tr>
      <w:tr w:rsidR="00943D7B" w:rsidRPr="009E1B3D" w:rsidTr="005B3870">
        <w:trPr>
          <w:trHeight w:val="113"/>
          <w:jc w:val="center"/>
        </w:trPr>
        <w:tc>
          <w:tcPr>
            <w:tcW w:w="1534" w:type="dxa"/>
            <w:vMerge/>
            <w:hideMark/>
          </w:tcPr>
          <w:p w:rsidR="00943D7B" w:rsidRPr="005B3870" w:rsidRDefault="00943D7B" w:rsidP="00BD253A">
            <w:pPr>
              <w:rPr>
                <w:rFonts w:asciiTheme="minorHAnsi" w:hAnsiTheme="minorHAnsi" w:cstheme="minorHAnsi"/>
                <w:szCs w:val="22"/>
              </w:rPr>
            </w:pPr>
          </w:p>
        </w:tc>
        <w:tc>
          <w:tcPr>
            <w:tcW w:w="1612" w:type="dxa"/>
            <w:shd w:val="clear" w:color="auto" w:fill="auto"/>
            <w:noWrap/>
            <w:hideMark/>
          </w:tcPr>
          <w:p w:rsidR="00943D7B" w:rsidRPr="005B3870" w:rsidRDefault="00943D7B" w:rsidP="00DB0032">
            <w:pPr>
              <w:jc w:val="center"/>
              <w:rPr>
                <w:rFonts w:asciiTheme="minorHAnsi" w:hAnsiTheme="minorHAnsi" w:cstheme="minorHAnsi"/>
                <w:szCs w:val="22"/>
              </w:rPr>
            </w:pPr>
            <w:r w:rsidRPr="005B3870">
              <w:rPr>
                <w:rFonts w:asciiTheme="minorHAnsi" w:hAnsiTheme="minorHAnsi" w:cstheme="minorHAnsi"/>
                <w:szCs w:val="22"/>
              </w:rPr>
              <w:t>CANA</w:t>
            </w:r>
          </w:p>
        </w:tc>
        <w:tc>
          <w:tcPr>
            <w:tcW w:w="1811" w:type="dxa"/>
            <w:shd w:val="clear" w:color="auto" w:fill="auto"/>
            <w:noWrap/>
            <w:hideMark/>
          </w:tcPr>
          <w:p w:rsidR="00943D7B" w:rsidRPr="005B3870" w:rsidRDefault="00943D7B" w:rsidP="00BD253A">
            <w:pPr>
              <w:jc w:val="center"/>
              <w:rPr>
                <w:rFonts w:asciiTheme="minorHAnsi" w:hAnsiTheme="minorHAnsi" w:cstheme="minorHAnsi"/>
                <w:szCs w:val="22"/>
              </w:rPr>
            </w:pPr>
            <w:r w:rsidRPr="005B3870">
              <w:rPr>
                <w:rFonts w:asciiTheme="minorHAnsi" w:hAnsiTheme="minorHAnsi" w:cstheme="minorHAnsi"/>
                <w:szCs w:val="22"/>
              </w:rPr>
              <w:t>884</w:t>
            </w:r>
          </w:p>
        </w:tc>
      </w:tr>
      <w:tr w:rsidR="00943D7B" w:rsidRPr="009E1B3D" w:rsidTr="005B3870">
        <w:trPr>
          <w:trHeight w:val="113"/>
          <w:jc w:val="center"/>
        </w:trPr>
        <w:tc>
          <w:tcPr>
            <w:tcW w:w="1534" w:type="dxa"/>
            <w:vMerge/>
            <w:hideMark/>
          </w:tcPr>
          <w:p w:rsidR="00943D7B" w:rsidRPr="005B3870" w:rsidRDefault="00943D7B" w:rsidP="00BD253A">
            <w:pPr>
              <w:rPr>
                <w:rFonts w:asciiTheme="minorHAnsi" w:hAnsiTheme="minorHAnsi" w:cstheme="minorHAnsi"/>
                <w:szCs w:val="22"/>
              </w:rPr>
            </w:pPr>
          </w:p>
        </w:tc>
        <w:tc>
          <w:tcPr>
            <w:tcW w:w="1612" w:type="dxa"/>
            <w:shd w:val="clear" w:color="auto" w:fill="auto"/>
            <w:noWrap/>
            <w:hideMark/>
          </w:tcPr>
          <w:p w:rsidR="00943D7B" w:rsidRPr="005B3870" w:rsidRDefault="00943D7B" w:rsidP="00DB0032">
            <w:pPr>
              <w:jc w:val="center"/>
              <w:rPr>
                <w:rFonts w:asciiTheme="minorHAnsi" w:hAnsiTheme="minorHAnsi" w:cstheme="minorHAnsi"/>
                <w:szCs w:val="22"/>
              </w:rPr>
            </w:pPr>
            <w:r w:rsidRPr="005B3870">
              <w:rPr>
                <w:rFonts w:asciiTheme="minorHAnsi" w:hAnsiTheme="minorHAnsi" w:cstheme="minorHAnsi"/>
                <w:szCs w:val="22"/>
              </w:rPr>
              <w:t>WHITE</w:t>
            </w:r>
          </w:p>
        </w:tc>
        <w:tc>
          <w:tcPr>
            <w:tcW w:w="1811" w:type="dxa"/>
            <w:shd w:val="clear" w:color="auto" w:fill="auto"/>
            <w:noWrap/>
            <w:hideMark/>
          </w:tcPr>
          <w:p w:rsidR="00943D7B" w:rsidRPr="005B3870" w:rsidRDefault="00943D7B" w:rsidP="00BD253A">
            <w:pPr>
              <w:jc w:val="center"/>
              <w:rPr>
                <w:rFonts w:asciiTheme="minorHAnsi" w:hAnsiTheme="minorHAnsi" w:cstheme="minorHAnsi"/>
                <w:szCs w:val="22"/>
              </w:rPr>
            </w:pPr>
            <w:r w:rsidRPr="005B3870">
              <w:rPr>
                <w:rFonts w:asciiTheme="minorHAnsi" w:hAnsiTheme="minorHAnsi" w:cstheme="minorHAnsi"/>
                <w:szCs w:val="22"/>
              </w:rPr>
              <w:t>789</w:t>
            </w:r>
          </w:p>
        </w:tc>
      </w:tr>
    </w:tbl>
    <w:p w:rsidR="00943D7B" w:rsidRDefault="00943D7B" w:rsidP="00704BDF">
      <w:pPr>
        <w:snapToGrid w:val="0"/>
        <w:spacing w:before="240" w:line="300" w:lineRule="auto"/>
        <w:rPr>
          <w:rFonts w:asciiTheme="minorHAnsi" w:eastAsia="MS PGothic" w:hAnsiTheme="minorHAnsi"/>
          <w:color w:val="000000"/>
          <w:sz w:val="22"/>
          <w:szCs w:val="22"/>
          <w:lang w:val="en-US"/>
        </w:rPr>
      </w:pPr>
      <w:r w:rsidRPr="00943D7B">
        <w:rPr>
          <w:rFonts w:asciiTheme="minorHAnsi" w:eastAsia="MS PGothic" w:hAnsiTheme="minorHAnsi"/>
          <w:color w:val="000000"/>
          <w:sz w:val="22"/>
          <w:szCs w:val="22"/>
          <w:lang w:val="en-US"/>
        </w:rPr>
        <w:t>In table 1, it can be seen that on day 1 only the sugar cane has a good resistance compared to the white, but as the curing time progresses, all the mixes present good behavior</w:t>
      </w:r>
      <w:r>
        <w:rPr>
          <w:rFonts w:asciiTheme="minorHAnsi" w:eastAsia="MS PGothic" w:hAnsiTheme="minorHAnsi"/>
          <w:color w:val="000000"/>
          <w:sz w:val="22"/>
          <w:szCs w:val="22"/>
          <w:lang w:val="en-US"/>
        </w:rPr>
        <w:t>.</w:t>
      </w:r>
      <w:r w:rsidR="007E37AB">
        <w:rPr>
          <w:rFonts w:asciiTheme="minorHAnsi" w:eastAsia="MS PGothic" w:hAnsiTheme="minorHAnsi"/>
          <w:color w:val="000000"/>
          <w:sz w:val="22"/>
          <w:szCs w:val="22"/>
          <w:lang w:val="en-US"/>
        </w:rPr>
        <w:t xml:space="preserve"> </w:t>
      </w:r>
      <w:r w:rsidR="007E37AB" w:rsidRPr="007E37AB">
        <w:rPr>
          <w:rFonts w:asciiTheme="minorHAnsi" w:eastAsia="MS PGothic" w:hAnsiTheme="minorHAnsi"/>
          <w:color w:val="000000"/>
          <w:sz w:val="22"/>
          <w:szCs w:val="22"/>
          <w:lang w:val="en-US"/>
        </w:rPr>
        <w:t>In Figure 1, the reactivity of these ashes can be corroborated, in which in the temperature curve between 50 and 200 ºC, the formation of very marked peaks that are related to different types of C-S-H gels are observed</w:t>
      </w:r>
      <w:r w:rsidR="007E37AB">
        <w:rPr>
          <w:rFonts w:asciiTheme="minorHAnsi" w:eastAsia="MS PGothic" w:hAnsiTheme="minorHAnsi"/>
          <w:color w:val="000000"/>
          <w:sz w:val="22"/>
          <w:szCs w:val="22"/>
          <w:lang w:val="en-US"/>
        </w:rPr>
        <w:t>.</w:t>
      </w:r>
    </w:p>
    <w:p w:rsidR="005B3870" w:rsidRPr="008D0BEB" w:rsidRDefault="00DB0032" w:rsidP="005B3870">
      <w:pPr>
        <w:snapToGrid w:val="0"/>
        <w:spacing w:after="120"/>
        <w:jc w:val="center"/>
        <w:rPr>
          <w:rFonts w:asciiTheme="minorHAnsi" w:eastAsia="MS PGothic" w:hAnsiTheme="minorHAnsi"/>
          <w:color w:val="000000"/>
          <w:sz w:val="22"/>
          <w:szCs w:val="22"/>
        </w:rPr>
      </w:pPr>
      <w:r>
        <w:rPr>
          <w:noProof/>
        </w:rPr>
        <w:drawing>
          <wp:inline distT="0" distB="0" distL="0" distR="0" wp14:anchorId="3E335650" wp14:editId="0C51E5DE">
            <wp:extent cx="2415125" cy="154851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44723" cy="1567494"/>
                    </a:xfrm>
                    <a:prstGeom prst="rect">
                      <a:avLst/>
                    </a:prstGeom>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7E37AB" w:rsidRPr="007E37AB">
        <w:rPr>
          <w:rFonts w:asciiTheme="minorHAnsi" w:eastAsia="MS PGothic" w:hAnsiTheme="minorHAnsi"/>
          <w:color w:val="000000"/>
          <w:szCs w:val="18"/>
          <w:lang w:val="en-US"/>
        </w:rPr>
        <w:t xml:space="preserve">Total mass lost for a given temperature interval (DTG) for different combinations of ash at </w:t>
      </w:r>
      <w:r w:rsidR="007E37AB">
        <w:rPr>
          <w:rFonts w:asciiTheme="minorHAnsi" w:eastAsia="MS PGothic" w:hAnsiTheme="minorHAnsi"/>
          <w:color w:val="000000"/>
          <w:szCs w:val="18"/>
          <w:lang w:val="en-US"/>
        </w:rPr>
        <w:t>9</w:t>
      </w:r>
      <w:r w:rsidR="007E37AB" w:rsidRPr="007E37AB">
        <w:rPr>
          <w:rFonts w:asciiTheme="minorHAnsi" w:eastAsia="MS PGothic" w:hAnsiTheme="minorHAnsi"/>
          <w:color w:val="000000"/>
          <w:szCs w:val="18"/>
          <w:lang w:val="en-US"/>
        </w:rPr>
        <w:t xml:space="preserve">0 days of </w:t>
      </w:r>
      <w:r w:rsidR="007E37AB">
        <w:rPr>
          <w:rFonts w:asciiTheme="minorHAnsi" w:eastAsia="MS PGothic" w:hAnsiTheme="minorHAnsi"/>
          <w:color w:val="000000"/>
          <w:szCs w:val="18"/>
          <w:lang w:val="en-US"/>
        </w:rPr>
        <w:t>curing</w:t>
      </w:r>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A96CC6" w:rsidP="00704BDF">
      <w:pPr>
        <w:snapToGrid w:val="0"/>
        <w:spacing w:after="120"/>
        <w:rPr>
          <w:rFonts w:asciiTheme="minorHAnsi" w:eastAsia="MS PGothic" w:hAnsiTheme="minorHAnsi"/>
          <w:color w:val="000000"/>
          <w:sz w:val="22"/>
          <w:szCs w:val="22"/>
          <w:lang w:val="en-US"/>
        </w:rPr>
      </w:pPr>
      <w:r w:rsidRPr="00A96CC6">
        <w:rPr>
          <w:rFonts w:asciiTheme="minorHAnsi" w:eastAsia="MS PGothic" w:hAnsiTheme="minorHAnsi"/>
          <w:color w:val="000000"/>
          <w:sz w:val="22"/>
          <w:szCs w:val="22"/>
          <w:lang w:val="en-US"/>
        </w:rPr>
        <w:t>It is observed that the mixtures evaluated have a good resistance and reactivity behavior after 90 days of curing, the DTG curves show the same crystal formations as the white</w:t>
      </w:r>
      <w:r>
        <w:rPr>
          <w:rFonts w:asciiTheme="minorHAnsi" w:eastAsia="MS PGothic" w:hAnsiTheme="minorHAnsi"/>
          <w:color w:val="000000"/>
          <w:sz w:val="22"/>
          <w:szCs w:val="22"/>
          <w:lang w:val="en-US"/>
        </w:rPr>
        <w:t xml:space="preserve">. </w:t>
      </w:r>
      <w:r w:rsidRPr="00A96CC6">
        <w:rPr>
          <w:rFonts w:asciiTheme="minorHAnsi" w:eastAsia="MS PGothic" w:hAnsiTheme="minorHAnsi"/>
          <w:color w:val="000000"/>
          <w:sz w:val="22"/>
          <w:szCs w:val="22"/>
          <w:lang w:val="en-US"/>
        </w:rPr>
        <w:t>Likewise, the resistance of all the evaluated monoliths is very similar or even better than those of the target</w:t>
      </w:r>
      <w:r>
        <w:rPr>
          <w:rFonts w:asciiTheme="minorHAnsi" w:eastAsia="MS PGothic" w:hAnsiTheme="minorHAnsi"/>
          <w:color w:val="000000"/>
          <w:sz w:val="22"/>
          <w:szCs w:val="22"/>
          <w:lang w:val="en-US"/>
        </w:rPr>
        <w:t>.</w:t>
      </w:r>
    </w:p>
    <w:p w:rsidR="00704BDF"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References</w:t>
      </w:r>
    </w:p>
    <w:p w:rsidR="00916615" w:rsidRPr="00916615" w:rsidRDefault="00916615" w:rsidP="00916615">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P. </w:t>
      </w:r>
      <w:proofErr w:type="spellStart"/>
      <w:r w:rsidRPr="00916615">
        <w:rPr>
          <w:rFonts w:asciiTheme="minorHAnsi" w:hAnsiTheme="minorHAnsi"/>
          <w:color w:val="000000"/>
        </w:rPr>
        <w:t>Duan</w:t>
      </w:r>
      <w:proofErr w:type="spellEnd"/>
      <w:r>
        <w:rPr>
          <w:rFonts w:asciiTheme="minorHAnsi" w:hAnsiTheme="minorHAnsi"/>
          <w:color w:val="000000"/>
        </w:rPr>
        <w:t>,</w:t>
      </w:r>
      <w:r w:rsidRPr="00916615">
        <w:rPr>
          <w:rFonts w:asciiTheme="minorHAnsi" w:hAnsiTheme="minorHAnsi"/>
          <w:color w:val="000000"/>
        </w:rPr>
        <w:t xml:space="preserve"> </w:t>
      </w:r>
      <w:r>
        <w:rPr>
          <w:rFonts w:asciiTheme="minorHAnsi" w:hAnsiTheme="minorHAnsi"/>
          <w:color w:val="000000"/>
        </w:rPr>
        <w:t xml:space="preserve">C. </w:t>
      </w:r>
      <w:r w:rsidRPr="00916615">
        <w:rPr>
          <w:rFonts w:asciiTheme="minorHAnsi" w:hAnsiTheme="minorHAnsi"/>
          <w:color w:val="000000"/>
        </w:rPr>
        <w:t>Yan,</w:t>
      </w:r>
      <w:r>
        <w:rPr>
          <w:rFonts w:asciiTheme="minorHAnsi" w:hAnsiTheme="minorHAnsi"/>
          <w:color w:val="000000"/>
        </w:rPr>
        <w:t xml:space="preserve"> W.</w:t>
      </w:r>
      <w:r w:rsidRPr="00916615">
        <w:rPr>
          <w:rFonts w:asciiTheme="minorHAnsi" w:hAnsiTheme="minorHAnsi"/>
          <w:color w:val="000000"/>
        </w:rPr>
        <w:t xml:space="preserve"> Zhou</w:t>
      </w:r>
      <w:r>
        <w:rPr>
          <w:rFonts w:asciiTheme="minorHAnsi" w:hAnsiTheme="minorHAnsi"/>
          <w:color w:val="000000"/>
        </w:rPr>
        <w:t>,</w:t>
      </w:r>
      <w:r w:rsidRPr="00916615">
        <w:rPr>
          <w:rFonts w:asciiTheme="minorHAnsi" w:hAnsiTheme="minorHAnsi"/>
          <w:color w:val="000000"/>
        </w:rPr>
        <w:t xml:space="preserve"> Ceramics International </w:t>
      </w:r>
      <w:r>
        <w:rPr>
          <w:rFonts w:asciiTheme="minorHAnsi" w:hAnsiTheme="minorHAnsi"/>
          <w:color w:val="000000"/>
        </w:rPr>
        <w:t>42 (</w:t>
      </w:r>
      <w:r w:rsidRPr="00916615">
        <w:rPr>
          <w:rFonts w:asciiTheme="minorHAnsi" w:hAnsiTheme="minorHAnsi"/>
          <w:color w:val="000000"/>
        </w:rPr>
        <w:t>2016</w:t>
      </w:r>
      <w:r>
        <w:rPr>
          <w:rFonts w:asciiTheme="minorHAnsi" w:hAnsiTheme="minorHAnsi"/>
          <w:color w:val="000000"/>
        </w:rPr>
        <w:t xml:space="preserve">) </w:t>
      </w:r>
      <w:r w:rsidRPr="00916615">
        <w:rPr>
          <w:rFonts w:asciiTheme="minorHAnsi" w:hAnsiTheme="minorHAnsi"/>
          <w:color w:val="000000"/>
        </w:rPr>
        <w:t>3504–</w:t>
      </w:r>
      <w:r>
        <w:rPr>
          <w:rFonts w:asciiTheme="minorHAnsi" w:hAnsiTheme="minorHAnsi"/>
          <w:color w:val="000000"/>
        </w:rPr>
        <w:t>35</w:t>
      </w:r>
      <w:r w:rsidRPr="00916615">
        <w:rPr>
          <w:rFonts w:asciiTheme="minorHAnsi" w:hAnsiTheme="minorHAnsi"/>
          <w:color w:val="000000"/>
        </w:rPr>
        <w:t xml:space="preserve">17. </w:t>
      </w:r>
    </w:p>
    <w:p w:rsidR="00916615" w:rsidRPr="00916615" w:rsidRDefault="00916615" w:rsidP="00916615">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M. </w:t>
      </w:r>
      <w:proofErr w:type="spellStart"/>
      <w:r w:rsidRPr="00916615">
        <w:rPr>
          <w:rFonts w:asciiTheme="minorHAnsi" w:hAnsiTheme="minorHAnsi"/>
          <w:color w:val="000000"/>
        </w:rPr>
        <w:t>Toniolo</w:t>
      </w:r>
      <w:proofErr w:type="spellEnd"/>
      <w:r w:rsidRPr="00916615">
        <w:rPr>
          <w:rFonts w:asciiTheme="minorHAnsi" w:hAnsiTheme="minorHAnsi"/>
          <w:color w:val="000000"/>
        </w:rPr>
        <w:t xml:space="preserve">, </w:t>
      </w:r>
      <w:r>
        <w:rPr>
          <w:rFonts w:asciiTheme="minorHAnsi" w:hAnsiTheme="minorHAnsi"/>
          <w:color w:val="000000"/>
        </w:rPr>
        <w:t xml:space="preserve">A. </w:t>
      </w:r>
      <w:proofErr w:type="spellStart"/>
      <w:r w:rsidRPr="00916615">
        <w:rPr>
          <w:rFonts w:asciiTheme="minorHAnsi" w:hAnsiTheme="minorHAnsi"/>
          <w:color w:val="000000"/>
        </w:rPr>
        <w:t>Boccaccini</w:t>
      </w:r>
      <w:proofErr w:type="spellEnd"/>
      <w:r>
        <w:rPr>
          <w:rFonts w:asciiTheme="minorHAnsi" w:hAnsiTheme="minorHAnsi"/>
          <w:color w:val="000000"/>
        </w:rPr>
        <w:t>,</w:t>
      </w:r>
      <w:r w:rsidRPr="00916615">
        <w:rPr>
          <w:rFonts w:asciiTheme="minorHAnsi" w:hAnsiTheme="minorHAnsi"/>
          <w:color w:val="000000"/>
        </w:rPr>
        <w:t xml:space="preserve"> Ceramics International </w:t>
      </w:r>
      <w:r>
        <w:rPr>
          <w:rFonts w:asciiTheme="minorHAnsi" w:hAnsiTheme="minorHAnsi"/>
          <w:color w:val="000000"/>
        </w:rPr>
        <w:t>43 (</w:t>
      </w:r>
      <w:r w:rsidRPr="00916615">
        <w:rPr>
          <w:rFonts w:asciiTheme="minorHAnsi" w:hAnsiTheme="minorHAnsi"/>
          <w:color w:val="000000"/>
        </w:rPr>
        <w:t>2017</w:t>
      </w:r>
      <w:r>
        <w:rPr>
          <w:rFonts w:asciiTheme="minorHAnsi" w:hAnsiTheme="minorHAnsi"/>
          <w:color w:val="000000"/>
        </w:rPr>
        <w:t xml:space="preserve">) </w:t>
      </w:r>
      <w:r w:rsidRPr="00916615">
        <w:rPr>
          <w:rFonts w:asciiTheme="minorHAnsi" w:hAnsiTheme="minorHAnsi"/>
          <w:color w:val="000000"/>
        </w:rPr>
        <w:t>14545–</w:t>
      </w:r>
      <w:r>
        <w:rPr>
          <w:rFonts w:asciiTheme="minorHAnsi" w:hAnsiTheme="minorHAnsi"/>
          <w:color w:val="000000"/>
        </w:rPr>
        <w:t>145</w:t>
      </w:r>
      <w:r w:rsidRPr="00916615">
        <w:rPr>
          <w:rFonts w:asciiTheme="minorHAnsi" w:hAnsiTheme="minorHAnsi"/>
          <w:color w:val="000000"/>
        </w:rPr>
        <w:t xml:space="preserve">51. </w:t>
      </w:r>
    </w:p>
    <w:p w:rsidR="00916615" w:rsidRPr="00916615" w:rsidRDefault="00916615" w:rsidP="00916615">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F. </w:t>
      </w:r>
      <w:proofErr w:type="spellStart"/>
      <w:r w:rsidRPr="00916615">
        <w:rPr>
          <w:rFonts w:asciiTheme="minorHAnsi" w:hAnsiTheme="minorHAnsi"/>
          <w:color w:val="000000"/>
        </w:rPr>
        <w:t>Faleschini</w:t>
      </w:r>
      <w:proofErr w:type="spellEnd"/>
      <w:r w:rsidRPr="00916615">
        <w:rPr>
          <w:rFonts w:asciiTheme="minorHAnsi" w:hAnsiTheme="minorHAnsi"/>
          <w:color w:val="000000"/>
        </w:rPr>
        <w:t xml:space="preserve">, </w:t>
      </w:r>
      <w:r>
        <w:rPr>
          <w:rFonts w:asciiTheme="minorHAnsi" w:hAnsiTheme="minorHAnsi"/>
          <w:color w:val="000000"/>
        </w:rPr>
        <w:t xml:space="preserve">M. </w:t>
      </w:r>
      <w:r w:rsidRPr="00916615">
        <w:rPr>
          <w:rFonts w:asciiTheme="minorHAnsi" w:hAnsiTheme="minorHAnsi"/>
          <w:color w:val="000000"/>
        </w:rPr>
        <w:t>Z</w:t>
      </w:r>
      <w:r w:rsidR="00DB0032">
        <w:rPr>
          <w:rFonts w:asciiTheme="minorHAnsi" w:hAnsiTheme="minorHAnsi"/>
          <w:noProof/>
          <w:color w:val="000000"/>
        </w:rPr>
        <w:t xml:space="preserve"> </w:t>
      </w:r>
      <w:proofErr w:type="spellStart"/>
      <w:r w:rsidRPr="00916615">
        <w:rPr>
          <w:rFonts w:asciiTheme="minorHAnsi" w:hAnsiTheme="minorHAnsi"/>
          <w:color w:val="000000"/>
        </w:rPr>
        <w:t>anini</w:t>
      </w:r>
      <w:proofErr w:type="spellEnd"/>
      <w:r w:rsidRPr="00916615">
        <w:rPr>
          <w:rFonts w:asciiTheme="minorHAnsi" w:hAnsiTheme="minorHAnsi"/>
          <w:color w:val="000000"/>
        </w:rPr>
        <w:t xml:space="preserve">, </w:t>
      </w:r>
      <w:r>
        <w:rPr>
          <w:rFonts w:asciiTheme="minorHAnsi" w:hAnsiTheme="minorHAnsi"/>
          <w:color w:val="000000"/>
        </w:rPr>
        <w:t xml:space="preserve">K. </w:t>
      </w:r>
      <w:proofErr w:type="spellStart"/>
      <w:r w:rsidRPr="00916615">
        <w:rPr>
          <w:rFonts w:asciiTheme="minorHAnsi" w:hAnsiTheme="minorHAnsi"/>
          <w:color w:val="000000"/>
        </w:rPr>
        <w:t>Brunelli</w:t>
      </w:r>
      <w:proofErr w:type="spellEnd"/>
      <w:r w:rsidRPr="00916615">
        <w:rPr>
          <w:rFonts w:asciiTheme="minorHAnsi" w:hAnsiTheme="minorHAnsi"/>
          <w:color w:val="000000"/>
        </w:rPr>
        <w:t xml:space="preserve">, </w:t>
      </w:r>
      <w:r>
        <w:rPr>
          <w:rFonts w:asciiTheme="minorHAnsi" w:hAnsiTheme="minorHAnsi"/>
          <w:color w:val="000000"/>
        </w:rPr>
        <w:t xml:space="preserve">C. </w:t>
      </w:r>
      <w:r w:rsidRPr="00916615">
        <w:rPr>
          <w:rFonts w:asciiTheme="minorHAnsi" w:hAnsiTheme="minorHAnsi"/>
          <w:color w:val="000000"/>
        </w:rPr>
        <w:t>Pellegrino</w:t>
      </w:r>
      <w:r>
        <w:rPr>
          <w:rFonts w:asciiTheme="minorHAnsi" w:hAnsiTheme="minorHAnsi"/>
          <w:color w:val="000000"/>
        </w:rPr>
        <w:t>,</w:t>
      </w:r>
      <w:r w:rsidRPr="00916615">
        <w:rPr>
          <w:rFonts w:asciiTheme="minorHAnsi" w:hAnsiTheme="minorHAnsi"/>
          <w:color w:val="000000"/>
        </w:rPr>
        <w:t xml:space="preserve"> Materials &amp; Design </w:t>
      </w:r>
      <w:r>
        <w:rPr>
          <w:rFonts w:asciiTheme="minorHAnsi" w:hAnsiTheme="minorHAnsi"/>
          <w:color w:val="000000"/>
        </w:rPr>
        <w:t>85 (</w:t>
      </w:r>
      <w:r w:rsidRPr="00916615">
        <w:rPr>
          <w:rFonts w:asciiTheme="minorHAnsi" w:hAnsiTheme="minorHAnsi"/>
          <w:color w:val="000000"/>
        </w:rPr>
        <w:t>2015</w:t>
      </w:r>
      <w:r>
        <w:rPr>
          <w:rFonts w:asciiTheme="minorHAnsi" w:hAnsiTheme="minorHAnsi"/>
          <w:color w:val="000000"/>
        </w:rPr>
        <w:t xml:space="preserve">) </w:t>
      </w:r>
      <w:r w:rsidRPr="00916615">
        <w:rPr>
          <w:rFonts w:asciiTheme="minorHAnsi" w:hAnsiTheme="minorHAnsi"/>
          <w:color w:val="000000"/>
        </w:rPr>
        <w:t>687–</w:t>
      </w:r>
      <w:r>
        <w:rPr>
          <w:rFonts w:asciiTheme="minorHAnsi" w:hAnsiTheme="minorHAnsi"/>
          <w:color w:val="000000"/>
        </w:rPr>
        <w:t>6</w:t>
      </w:r>
      <w:r w:rsidRPr="00916615">
        <w:rPr>
          <w:rFonts w:asciiTheme="minorHAnsi" w:hAnsiTheme="minorHAnsi"/>
          <w:color w:val="000000"/>
        </w:rPr>
        <w:t>94.</w:t>
      </w:r>
    </w:p>
    <w:p w:rsidR="00916615" w:rsidRPr="00916615" w:rsidRDefault="00916615" w:rsidP="00916615">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R. </w:t>
      </w:r>
      <w:r w:rsidRPr="00916615">
        <w:rPr>
          <w:rFonts w:asciiTheme="minorHAnsi" w:hAnsiTheme="minorHAnsi"/>
          <w:color w:val="000000"/>
        </w:rPr>
        <w:t>Siddique</w:t>
      </w:r>
      <w:r>
        <w:rPr>
          <w:rFonts w:asciiTheme="minorHAnsi" w:hAnsiTheme="minorHAnsi"/>
          <w:color w:val="000000"/>
        </w:rPr>
        <w:t>,</w:t>
      </w:r>
      <w:r w:rsidRPr="00916615">
        <w:rPr>
          <w:rFonts w:asciiTheme="minorHAnsi" w:hAnsiTheme="minorHAnsi"/>
          <w:color w:val="000000"/>
        </w:rPr>
        <w:t xml:space="preserve"> Materials &amp; Design </w:t>
      </w:r>
      <w:r>
        <w:rPr>
          <w:rFonts w:asciiTheme="minorHAnsi" w:hAnsiTheme="minorHAnsi"/>
          <w:color w:val="000000"/>
        </w:rPr>
        <w:t>32 (</w:t>
      </w:r>
      <w:r w:rsidRPr="00916615">
        <w:rPr>
          <w:rFonts w:asciiTheme="minorHAnsi" w:hAnsiTheme="minorHAnsi"/>
          <w:color w:val="000000"/>
        </w:rPr>
        <w:t>2011</w:t>
      </w:r>
      <w:r>
        <w:rPr>
          <w:rFonts w:asciiTheme="minorHAnsi" w:hAnsiTheme="minorHAnsi"/>
          <w:color w:val="000000"/>
        </w:rPr>
        <w:t xml:space="preserve">) </w:t>
      </w:r>
      <w:r w:rsidRPr="00916615">
        <w:rPr>
          <w:rFonts w:asciiTheme="minorHAnsi" w:hAnsiTheme="minorHAnsi"/>
          <w:color w:val="000000"/>
        </w:rPr>
        <w:t>1501–</w:t>
      </w:r>
      <w:r>
        <w:rPr>
          <w:rFonts w:asciiTheme="minorHAnsi" w:hAnsiTheme="minorHAnsi"/>
          <w:color w:val="000000"/>
        </w:rPr>
        <w:t>150</w:t>
      </w:r>
      <w:r w:rsidRPr="00916615">
        <w:rPr>
          <w:rFonts w:asciiTheme="minorHAnsi" w:hAnsiTheme="minorHAnsi"/>
          <w:color w:val="000000"/>
        </w:rPr>
        <w:t>7.</w:t>
      </w:r>
    </w:p>
    <w:p w:rsidR="00916615" w:rsidRDefault="00916615" w:rsidP="00916615">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R. </w:t>
      </w:r>
      <w:r w:rsidRPr="00916615">
        <w:rPr>
          <w:rFonts w:asciiTheme="minorHAnsi" w:hAnsiTheme="minorHAnsi"/>
          <w:color w:val="000000"/>
        </w:rPr>
        <w:t xml:space="preserve">Rajamma, </w:t>
      </w:r>
      <w:r>
        <w:rPr>
          <w:rFonts w:asciiTheme="minorHAnsi" w:hAnsiTheme="minorHAnsi"/>
          <w:color w:val="000000"/>
        </w:rPr>
        <w:t xml:space="preserve">R. </w:t>
      </w:r>
      <w:r w:rsidRPr="00916615">
        <w:rPr>
          <w:rFonts w:asciiTheme="minorHAnsi" w:hAnsiTheme="minorHAnsi"/>
          <w:color w:val="000000"/>
        </w:rPr>
        <w:t xml:space="preserve">Ball, </w:t>
      </w:r>
      <w:r>
        <w:rPr>
          <w:rFonts w:asciiTheme="minorHAnsi" w:hAnsiTheme="minorHAnsi"/>
          <w:color w:val="000000"/>
        </w:rPr>
        <w:t xml:space="preserve">L. </w:t>
      </w:r>
      <w:proofErr w:type="spellStart"/>
      <w:r w:rsidRPr="00916615">
        <w:rPr>
          <w:rFonts w:asciiTheme="minorHAnsi" w:hAnsiTheme="minorHAnsi"/>
          <w:color w:val="000000"/>
        </w:rPr>
        <w:t>Tarelho</w:t>
      </w:r>
      <w:proofErr w:type="spellEnd"/>
      <w:r w:rsidRPr="00916615">
        <w:rPr>
          <w:rFonts w:asciiTheme="minorHAnsi" w:hAnsiTheme="minorHAnsi"/>
          <w:color w:val="000000"/>
        </w:rPr>
        <w:t xml:space="preserve">, </w:t>
      </w:r>
      <w:r>
        <w:rPr>
          <w:rFonts w:asciiTheme="minorHAnsi" w:hAnsiTheme="minorHAnsi"/>
          <w:color w:val="000000"/>
        </w:rPr>
        <w:t xml:space="preserve">G. </w:t>
      </w:r>
      <w:r w:rsidRPr="00916615">
        <w:rPr>
          <w:rFonts w:asciiTheme="minorHAnsi" w:hAnsiTheme="minorHAnsi"/>
          <w:color w:val="000000"/>
        </w:rPr>
        <w:t>Allen</w:t>
      </w:r>
      <w:r>
        <w:rPr>
          <w:rFonts w:asciiTheme="minorHAnsi" w:hAnsiTheme="minorHAnsi"/>
          <w:color w:val="000000"/>
        </w:rPr>
        <w:t>,</w:t>
      </w:r>
      <w:r w:rsidRPr="00916615">
        <w:rPr>
          <w:rFonts w:asciiTheme="minorHAnsi" w:hAnsiTheme="minorHAnsi"/>
          <w:color w:val="000000"/>
        </w:rPr>
        <w:t xml:space="preserve"> </w:t>
      </w:r>
      <w:r>
        <w:rPr>
          <w:rFonts w:asciiTheme="minorHAnsi" w:hAnsiTheme="minorHAnsi"/>
          <w:color w:val="000000"/>
        </w:rPr>
        <w:t xml:space="preserve">J. </w:t>
      </w:r>
      <w:proofErr w:type="spellStart"/>
      <w:r w:rsidRPr="00916615">
        <w:rPr>
          <w:rFonts w:asciiTheme="minorHAnsi" w:hAnsiTheme="minorHAnsi"/>
          <w:color w:val="000000"/>
        </w:rPr>
        <w:t>Labrincha</w:t>
      </w:r>
      <w:proofErr w:type="spellEnd"/>
      <w:r w:rsidRPr="00916615">
        <w:rPr>
          <w:rFonts w:asciiTheme="minorHAnsi" w:hAnsiTheme="minorHAnsi"/>
          <w:color w:val="000000"/>
        </w:rPr>
        <w:t xml:space="preserve">, </w:t>
      </w:r>
      <w:r>
        <w:rPr>
          <w:rFonts w:asciiTheme="minorHAnsi" w:hAnsiTheme="minorHAnsi"/>
          <w:color w:val="000000"/>
        </w:rPr>
        <w:t xml:space="preserve">V. </w:t>
      </w:r>
      <w:r w:rsidRPr="00916615">
        <w:rPr>
          <w:rFonts w:asciiTheme="minorHAnsi" w:hAnsiTheme="minorHAnsi"/>
          <w:color w:val="000000"/>
        </w:rPr>
        <w:t>Ferreira</w:t>
      </w:r>
      <w:r>
        <w:rPr>
          <w:rFonts w:asciiTheme="minorHAnsi" w:hAnsiTheme="minorHAnsi"/>
          <w:color w:val="000000"/>
        </w:rPr>
        <w:t>,</w:t>
      </w:r>
      <w:r w:rsidRPr="00916615">
        <w:rPr>
          <w:rFonts w:asciiTheme="minorHAnsi" w:hAnsiTheme="minorHAnsi"/>
          <w:color w:val="000000"/>
        </w:rPr>
        <w:t xml:space="preserve"> J</w:t>
      </w:r>
      <w:r>
        <w:rPr>
          <w:rFonts w:asciiTheme="minorHAnsi" w:hAnsiTheme="minorHAnsi"/>
          <w:color w:val="000000"/>
        </w:rPr>
        <w:t>.</w:t>
      </w:r>
      <w:r w:rsidRPr="00916615">
        <w:rPr>
          <w:rFonts w:asciiTheme="minorHAnsi" w:hAnsiTheme="minorHAnsi"/>
          <w:color w:val="000000"/>
        </w:rPr>
        <w:t xml:space="preserve"> Hazard</w:t>
      </w:r>
      <w:r>
        <w:rPr>
          <w:rFonts w:asciiTheme="minorHAnsi" w:hAnsiTheme="minorHAnsi"/>
          <w:color w:val="000000"/>
        </w:rPr>
        <w:t>.</w:t>
      </w:r>
      <w:r w:rsidRPr="00916615">
        <w:rPr>
          <w:rFonts w:asciiTheme="minorHAnsi" w:hAnsiTheme="minorHAnsi"/>
          <w:color w:val="000000"/>
        </w:rPr>
        <w:t xml:space="preserve"> Mater</w:t>
      </w:r>
      <w:r>
        <w:rPr>
          <w:rFonts w:asciiTheme="minorHAnsi" w:hAnsiTheme="minorHAnsi"/>
          <w:color w:val="000000"/>
        </w:rPr>
        <w:t>.</w:t>
      </w:r>
      <w:r w:rsidRPr="00916615">
        <w:rPr>
          <w:rFonts w:asciiTheme="minorHAnsi" w:hAnsiTheme="minorHAnsi"/>
          <w:color w:val="000000"/>
        </w:rPr>
        <w:t xml:space="preserve"> </w:t>
      </w:r>
      <w:r>
        <w:rPr>
          <w:rFonts w:asciiTheme="minorHAnsi" w:hAnsiTheme="minorHAnsi"/>
          <w:color w:val="000000"/>
        </w:rPr>
        <w:t>172 (</w:t>
      </w:r>
      <w:r w:rsidRPr="00916615">
        <w:rPr>
          <w:rFonts w:asciiTheme="minorHAnsi" w:hAnsiTheme="minorHAnsi"/>
          <w:color w:val="000000"/>
        </w:rPr>
        <w:t>2009</w:t>
      </w:r>
      <w:r>
        <w:rPr>
          <w:rFonts w:asciiTheme="minorHAnsi" w:hAnsiTheme="minorHAnsi"/>
          <w:color w:val="000000"/>
        </w:rPr>
        <w:t xml:space="preserve">) </w:t>
      </w:r>
      <w:r w:rsidRPr="00916615">
        <w:rPr>
          <w:rFonts w:asciiTheme="minorHAnsi" w:hAnsiTheme="minorHAnsi"/>
          <w:color w:val="000000"/>
        </w:rPr>
        <w:t>1049–</w:t>
      </w:r>
      <w:r>
        <w:rPr>
          <w:rFonts w:asciiTheme="minorHAnsi" w:hAnsiTheme="minorHAnsi"/>
          <w:color w:val="000000"/>
        </w:rPr>
        <w:t>10</w:t>
      </w:r>
      <w:r w:rsidRPr="00916615">
        <w:rPr>
          <w:rFonts w:asciiTheme="minorHAnsi" w:hAnsiTheme="minorHAnsi"/>
          <w:color w:val="000000"/>
        </w:rPr>
        <w:t>60.</w:t>
      </w:r>
    </w:p>
    <w:p w:rsidR="00DB0032" w:rsidRPr="00DB0032" w:rsidRDefault="00916615" w:rsidP="00DB0032">
      <w:pPr>
        <w:pStyle w:val="FirstParagraph"/>
        <w:numPr>
          <w:ilvl w:val="0"/>
          <w:numId w:val="17"/>
        </w:numPr>
        <w:tabs>
          <w:tab w:val="left" w:pos="426"/>
        </w:tabs>
        <w:spacing w:line="240" w:lineRule="auto"/>
        <w:ind w:left="426" w:hanging="426"/>
        <w:rPr>
          <w:rFonts w:asciiTheme="minorHAnsi" w:hAnsiTheme="minorHAnsi"/>
          <w:color w:val="000000"/>
        </w:rPr>
      </w:pPr>
      <w:r>
        <w:rPr>
          <w:rFonts w:ascii="Calibri" w:hAnsiTheme="minorHAnsi" w:cs="Calibri"/>
          <w:color w:val="000000"/>
        </w:rPr>
        <w:t xml:space="preserve">M. </w:t>
      </w:r>
      <w:proofErr w:type="spellStart"/>
      <w:r w:rsidRPr="00916615">
        <w:rPr>
          <w:rFonts w:ascii="Calibri" w:hAnsiTheme="minorHAnsi" w:cs="Calibri"/>
          <w:color w:val="000000"/>
        </w:rPr>
        <w:t>Madurwar</w:t>
      </w:r>
      <w:proofErr w:type="spellEnd"/>
      <w:r w:rsidRPr="00916615">
        <w:rPr>
          <w:rFonts w:ascii="Calibri" w:hAnsiTheme="minorHAnsi" w:cs="Calibri"/>
          <w:color w:val="000000"/>
        </w:rPr>
        <w:t xml:space="preserve">, </w:t>
      </w:r>
      <w:r>
        <w:rPr>
          <w:rFonts w:ascii="Calibri" w:hAnsiTheme="minorHAnsi" w:cs="Calibri"/>
          <w:color w:val="000000"/>
        </w:rPr>
        <w:t xml:space="preserve">R. </w:t>
      </w:r>
      <w:proofErr w:type="spellStart"/>
      <w:r w:rsidRPr="00916615">
        <w:rPr>
          <w:rFonts w:ascii="Calibri" w:hAnsiTheme="minorHAnsi" w:cs="Calibri"/>
          <w:color w:val="000000"/>
        </w:rPr>
        <w:t>Ralegaonkar</w:t>
      </w:r>
      <w:proofErr w:type="spellEnd"/>
      <w:r w:rsidRPr="00916615">
        <w:rPr>
          <w:rFonts w:ascii="Calibri" w:hAnsiTheme="minorHAnsi" w:cs="Calibri"/>
          <w:color w:val="000000"/>
        </w:rPr>
        <w:t xml:space="preserve">, </w:t>
      </w:r>
      <w:r>
        <w:rPr>
          <w:rFonts w:ascii="Calibri" w:hAnsiTheme="minorHAnsi" w:cs="Calibri"/>
          <w:color w:val="000000"/>
        </w:rPr>
        <w:t xml:space="preserve">S. </w:t>
      </w:r>
      <w:proofErr w:type="spellStart"/>
      <w:r w:rsidRPr="00916615">
        <w:rPr>
          <w:rFonts w:ascii="Calibri" w:hAnsiTheme="minorHAnsi" w:cs="Calibri"/>
          <w:color w:val="000000"/>
        </w:rPr>
        <w:t>Mandavgane</w:t>
      </w:r>
      <w:proofErr w:type="spellEnd"/>
      <w:r>
        <w:rPr>
          <w:rFonts w:ascii="Calibri" w:hAnsiTheme="minorHAnsi" w:cs="Calibri"/>
          <w:color w:val="000000"/>
        </w:rPr>
        <w:t>,</w:t>
      </w:r>
      <w:r w:rsidRPr="00916615">
        <w:rPr>
          <w:rFonts w:ascii="Calibri" w:hAnsiTheme="minorHAnsi" w:cs="Calibri"/>
          <w:color w:val="000000"/>
        </w:rPr>
        <w:t xml:space="preserve"> Construction and Building Materials </w:t>
      </w:r>
      <w:r>
        <w:rPr>
          <w:rFonts w:ascii="Calibri" w:hAnsiTheme="minorHAnsi" w:cs="Calibri"/>
          <w:color w:val="000000"/>
        </w:rPr>
        <w:t>38 (</w:t>
      </w:r>
      <w:r w:rsidRPr="00916615">
        <w:rPr>
          <w:rFonts w:ascii="Calibri" w:hAnsiTheme="minorHAnsi" w:cs="Calibri"/>
          <w:color w:val="000000"/>
        </w:rPr>
        <w:t>2013</w:t>
      </w:r>
      <w:r>
        <w:rPr>
          <w:rFonts w:ascii="Calibri" w:hAnsiTheme="minorHAnsi" w:cs="Calibri"/>
          <w:color w:val="000000"/>
        </w:rPr>
        <w:t xml:space="preserve">) </w:t>
      </w:r>
      <w:r w:rsidRPr="00916615">
        <w:rPr>
          <w:rFonts w:ascii="Calibri" w:hAnsiTheme="minorHAnsi" w:cs="Calibri"/>
          <w:color w:val="000000"/>
        </w:rPr>
        <w:t>872–</w:t>
      </w:r>
      <w:r>
        <w:rPr>
          <w:rFonts w:ascii="Calibri" w:hAnsiTheme="minorHAnsi" w:cs="Calibri"/>
          <w:color w:val="000000"/>
        </w:rPr>
        <w:t>87</w:t>
      </w:r>
      <w:r w:rsidRPr="00916615">
        <w:rPr>
          <w:rFonts w:ascii="Calibri" w:hAnsiTheme="minorHAnsi" w:cs="Calibri"/>
          <w:color w:val="000000"/>
        </w:rPr>
        <w:t>8.</w:t>
      </w:r>
      <w:bookmarkStart w:id="0" w:name="_GoBack"/>
      <w:bookmarkEnd w:id="0"/>
    </w:p>
    <w:sectPr w:rsidR="00DB0032" w:rsidRPr="00DB003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253" w:rsidRDefault="00E24253" w:rsidP="004F5E36">
      <w:r>
        <w:separator/>
      </w:r>
    </w:p>
  </w:endnote>
  <w:endnote w:type="continuationSeparator" w:id="0">
    <w:p w:rsidR="00E24253" w:rsidRDefault="00E2425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253" w:rsidRDefault="00E24253" w:rsidP="004F5E36">
      <w:r>
        <w:separator/>
      </w:r>
    </w:p>
  </w:footnote>
  <w:footnote w:type="continuationSeparator" w:id="0">
    <w:p w:rsidR="00E24253" w:rsidRDefault="00E2425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E3C74"/>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3870"/>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21E25"/>
    <w:rsid w:val="00736B13"/>
    <w:rsid w:val="007447F3"/>
    <w:rsid w:val="007661C8"/>
    <w:rsid w:val="007D52CD"/>
    <w:rsid w:val="007E37AB"/>
    <w:rsid w:val="008115C7"/>
    <w:rsid w:val="00813288"/>
    <w:rsid w:val="008168FC"/>
    <w:rsid w:val="008479A2"/>
    <w:rsid w:val="0087637F"/>
    <w:rsid w:val="008A1512"/>
    <w:rsid w:val="008D0BEB"/>
    <w:rsid w:val="008E566E"/>
    <w:rsid w:val="00901EB6"/>
    <w:rsid w:val="00916615"/>
    <w:rsid w:val="00943D7B"/>
    <w:rsid w:val="009450CE"/>
    <w:rsid w:val="0095164B"/>
    <w:rsid w:val="00996483"/>
    <w:rsid w:val="009E1B3D"/>
    <w:rsid w:val="009E788A"/>
    <w:rsid w:val="00A1763D"/>
    <w:rsid w:val="00A17CEC"/>
    <w:rsid w:val="00A27EF0"/>
    <w:rsid w:val="00A76EFC"/>
    <w:rsid w:val="00A9626B"/>
    <w:rsid w:val="00A96CC6"/>
    <w:rsid w:val="00A97F29"/>
    <w:rsid w:val="00AB0964"/>
    <w:rsid w:val="00AE377D"/>
    <w:rsid w:val="00B61DBF"/>
    <w:rsid w:val="00B6325C"/>
    <w:rsid w:val="00B83744"/>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B0032"/>
    <w:rsid w:val="00DE0019"/>
    <w:rsid w:val="00DE264A"/>
    <w:rsid w:val="00E041E7"/>
    <w:rsid w:val="00E23CA1"/>
    <w:rsid w:val="00E24253"/>
    <w:rsid w:val="00E409A8"/>
    <w:rsid w:val="00E50CB7"/>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363A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basedOn w:val="Fuentedeprrafopredeter"/>
    <w:uiPriority w:val="99"/>
    <w:unhideWhenUsed/>
    <w:locked/>
    <w:rsid w:val="00B6325C"/>
    <w:rPr>
      <w:color w:val="0000FF" w:themeColor="hyperlink"/>
      <w:u w:val="single"/>
    </w:rPr>
  </w:style>
  <w:style w:type="character" w:styleId="Mencinsinresolver">
    <w:name w:val="Unresolved Mention"/>
    <w:basedOn w:val="Fuentedeprrafopredeter"/>
    <w:uiPriority w:val="99"/>
    <w:semiHidden/>
    <w:unhideWhenUsed/>
    <w:rsid w:val="00B6325C"/>
    <w:rPr>
      <w:color w:val="605E5C"/>
      <w:shd w:val="clear" w:color="auto" w:fill="E1DFDD"/>
    </w:rPr>
  </w:style>
  <w:style w:type="paragraph" w:customStyle="1" w:styleId="Bibliografa1">
    <w:name w:val="Bibliografía1"/>
    <w:basedOn w:val="Normal"/>
    <w:link w:val="BibliographyCar"/>
    <w:rsid w:val="001E3C74"/>
    <w:pPr>
      <w:tabs>
        <w:tab w:val="left" w:pos="380"/>
      </w:tabs>
      <w:snapToGrid w:val="0"/>
      <w:spacing w:before="240" w:line="240" w:lineRule="auto"/>
      <w:ind w:left="384" w:hanging="384"/>
    </w:pPr>
    <w:rPr>
      <w:rFonts w:asciiTheme="minorHAnsi" w:eastAsia="SimSun" w:hAnsiTheme="minorHAnsi"/>
      <w:b/>
      <w:bCs/>
      <w:color w:val="000000"/>
      <w:sz w:val="20"/>
      <w:lang w:val="en-US" w:eastAsia="zh-CN"/>
    </w:rPr>
  </w:style>
  <w:style w:type="character" w:customStyle="1" w:styleId="BibliographyCar">
    <w:name w:val="Bibliography Car"/>
    <w:basedOn w:val="Fuentedeprrafopredeter"/>
    <w:link w:val="Bibliografa1"/>
    <w:rsid w:val="001E3C74"/>
    <w:rPr>
      <w:rFonts w:eastAsia="SimSun" w:cs="Times New Roman"/>
      <w:b/>
      <w:bCs/>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9D82F-BD40-0744-8BCC-2CF050F0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2980</Words>
  <Characters>16390</Characters>
  <Application>Microsoft Office Word</Application>
  <DocSecurity>0</DocSecurity>
  <Lines>136</Lines>
  <Paragraphs>38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Juan Fernando Saldarriaga Elorza</cp:lastModifiedBy>
  <cp:revision>4</cp:revision>
  <cp:lastPrinted>2015-05-12T18:31:00Z</cp:lastPrinted>
  <dcterms:created xsi:type="dcterms:W3CDTF">2019-04-26T19:36:00Z</dcterms:created>
  <dcterms:modified xsi:type="dcterms:W3CDTF">2019-04-29T13:17:00Z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id="mfGSmGzU"/&gt;&lt;style id="http://www.zotero.org/styles/fuel" hasBibliography="1" bibliographyStyleHasBeenSet="1"/&gt;&lt;prefs&gt;&lt;pref name="fieldType" value="Field"/&gt;&lt;/prefs&gt;&lt;/data&gt;</vt:lpwstr>
  </property>
</Properties>
</file>