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C264" w14:textId="77777777" w:rsidR="000A03B2" w:rsidRPr="000A03B2" w:rsidRDefault="000A03B2" w:rsidP="00704BDF">
      <w:pPr>
        <w:pStyle w:val="CETAuthors"/>
        <w:tabs>
          <w:tab w:val="clear" w:pos="7100"/>
          <w:tab w:val="right" w:pos="9070"/>
        </w:tabs>
        <w:rPr>
          <w:lang w:val="en-US"/>
        </w:rPr>
        <w:sectPr w:rsidR="000A03B2" w:rsidRPr="000A03B2" w:rsidSect="00510310">
          <w:headerReference w:type="first" r:id="rId8"/>
          <w:type w:val="continuous"/>
          <w:pgSz w:w="11906" w:h="16838" w:code="9"/>
          <w:pgMar w:top="1702" w:right="1418" w:bottom="1276" w:left="1418" w:header="709" w:footer="0" w:gutter="0"/>
          <w:cols w:space="708"/>
          <w:titlePg/>
          <w:docGrid w:linePitch="360"/>
        </w:sectPr>
      </w:pPr>
    </w:p>
    <w:p w14:paraId="2E275CC2" w14:textId="77777777" w:rsidR="00510310" w:rsidRPr="00510310" w:rsidRDefault="00510310" w:rsidP="00510310">
      <w:pPr>
        <w:tabs>
          <w:tab w:val="clear" w:pos="7100"/>
        </w:tabs>
        <w:spacing w:line="240" w:lineRule="auto"/>
        <w:jc w:val="center"/>
        <w:textAlignment w:val="baseline"/>
        <w:rPr>
          <w:rFonts w:asciiTheme="minorHAnsi" w:hAnsiTheme="minorHAnsi" w:cstheme="minorHAnsi"/>
          <w:b/>
          <w:sz w:val="28"/>
          <w:szCs w:val="28"/>
          <w:lang w:val="en-ZA" w:eastAsia="en-ZA"/>
        </w:rPr>
      </w:pPr>
      <w:r w:rsidRPr="00510310">
        <w:rPr>
          <w:rFonts w:asciiTheme="minorHAnsi" w:eastAsiaTheme="minorEastAsia" w:hAnsiTheme="minorHAnsi" w:cstheme="minorHAnsi"/>
          <w:b/>
          <w:color w:val="000000" w:themeColor="text1"/>
          <w:sz w:val="28"/>
          <w:szCs w:val="28"/>
          <w:lang w:val="en-ZA" w:eastAsia="en-ZA"/>
        </w:rPr>
        <w:t xml:space="preserve">DESIGN OF A CONTINUOUS SEMI-PARTITION BIOREACTOR FOR </w:t>
      </w:r>
      <w:r w:rsidRPr="00510310">
        <w:rPr>
          <w:rFonts w:asciiTheme="minorHAnsi" w:eastAsiaTheme="minorEastAsia" w:hAnsiTheme="minorHAnsi" w:cstheme="minorHAnsi"/>
          <w:b/>
          <w:i/>
          <w:iCs/>
          <w:color w:val="000000" w:themeColor="text1"/>
          <w:sz w:val="28"/>
          <w:szCs w:val="28"/>
          <w:lang w:val="en-ZA" w:eastAsia="en-ZA"/>
        </w:rPr>
        <w:t xml:space="preserve">IN-SITU </w:t>
      </w:r>
      <w:r w:rsidRPr="00510310">
        <w:rPr>
          <w:rFonts w:asciiTheme="minorHAnsi" w:eastAsiaTheme="minorEastAsia" w:hAnsiTheme="minorHAnsi" w:cstheme="minorHAnsi"/>
          <w:b/>
          <w:color w:val="000000" w:themeColor="text1"/>
          <w:sz w:val="28"/>
          <w:szCs w:val="28"/>
          <w:lang w:val="en-ZA" w:eastAsia="en-ZA"/>
        </w:rPr>
        <w:t>(EXTRACTIVE FERMENTATION) PRODUCT REMOVAL</w:t>
      </w:r>
    </w:p>
    <w:p w14:paraId="371E3D91" w14:textId="77777777" w:rsidR="00DE0019" w:rsidRPr="00C76751" w:rsidRDefault="0071404D" w:rsidP="00704BDF">
      <w:pPr>
        <w:snapToGrid w:val="0"/>
        <w:spacing w:after="120"/>
        <w:jc w:val="center"/>
        <w:rPr>
          <w:rFonts w:eastAsia="SimSun"/>
          <w:color w:val="000000"/>
          <w:lang w:val="en-US" w:eastAsia="zh-CN"/>
        </w:rPr>
      </w:pPr>
      <w:r w:rsidRPr="00C76751">
        <w:rPr>
          <w:rFonts w:asciiTheme="minorHAnsi" w:eastAsia="SimSun" w:hAnsiTheme="minorHAnsi"/>
          <w:color w:val="000000"/>
          <w:sz w:val="24"/>
          <w:szCs w:val="24"/>
          <w:lang w:val="en-US" w:eastAsia="zh-CN"/>
        </w:rPr>
        <w:t xml:space="preserve">George .M. Teke </w:t>
      </w:r>
      <w:r w:rsidR="00704BDF" w:rsidRPr="00C76751">
        <w:rPr>
          <w:rFonts w:asciiTheme="minorHAnsi" w:eastAsia="SimSun" w:hAnsiTheme="minorHAnsi"/>
          <w:color w:val="000000"/>
          <w:sz w:val="24"/>
          <w:szCs w:val="24"/>
          <w:vertAlign w:val="superscript"/>
          <w:lang w:val="en-US" w:eastAsia="zh-CN"/>
        </w:rPr>
        <w:t>1</w:t>
      </w:r>
      <w:r w:rsidR="00736B13" w:rsidRPr="00C76751">
        <w:rPr>
          <w:rFonts w:asciiTheme="minorHAnsi" w:eastAsia="SimSun" w:hAnsiTheme="minorHAnsi"/>
          <w:color w:val="000000"/>
          <w:sz w:val="24"/>
          <w:szCs w:val="24"/>
          <w:lang w:val="en-US" w:eastAsia="zh-CN"/>
        </w:rPr>
        <w:t>,</w:t>
      </w:r>
      <w:r w:rsidRPr="00C76751">
        <w:rPr>
          <w:rFonts w:asciiTheme="minorHAnsi" w:eastAsia="SimSun" w:hAnsiTheme="minorHAnsi"/>
          <w:color w:val="000000"/>
          <w:sz w:val="24"/>
          <w:szCs w:val="24"/>
          <w:lang w:val="en-US" w:eastAsia="zh-CN"/>
        </w:rPr>
        <w:t xml:space="preserve"> Robert .W. Pott</w:t>
      </w:r>
      <w:r w:rsidRPr="00C76751">
        <w:rPr>
          <w:rFonts w:eastAsia="SimSun"/>
          <w:color w:val="000000"/>
          <w:vertAlign w:val="superscript"/>
          <w:lang w:val="en-US" w:eastAsia="zh-CN"/>
        </w:rPr>
        <w:t>1</w:t>
      </w:r>
    </w:p>
    <w:p w14:paraId="1E2CBB45" w14:textId="77777777" w:rsidR="00704BDF" w:rsidRPr="00DE0019" w:rsidRDefault="0071404D" w:rsidP="00704BDF">
      <w:pPr>
        <w:snapToGrid w:val="0"/>
        <w:spacing w:after="120"/>
        <w:jc w:val="center"/>
        <w:rPr>
          <w:rFonts w:asciiTheme="minorHAnsi" w:eastAsia="MS PGothic" w:hAnsiTheme="minorHAnsi"/>
          <w:i/>
          <w:iCs/>
          <w:color w:val="000000"/>
          <w:sz w:val="20"/>
          <w:lang w:val="en-US"/>
        </w:rPr>
      </w:pPr>
      <w:r w:rsidRPr="0071404D">
        <w:t xml:space="preserve"> </w:t>
      </w:r>
      <w:r w:rsidRPr="0071404D">
        <w:rPr>
          <w:rFonts w:asciiTheme="minorHAnsi" w:eastAsia="MS PGothic" w:hAnsiTheme="minorHAnsi"/>
          <w:i/>
          <w:iCs/>
          <w:color w:val="000000"/>
          <w:sz w:val="20"/>
          <w:lang w:val="en-US"/>
        </w:rPr>
        <w:t>Department of Process Engineering, University of Stellenbosch, South Africa</w:t>
      </w:r>
      <w:r>
        <w:rPr>
          <w:rFonts w:eastAsia="MS PGothic"/>
          <w:i/>
          <w:iCs/>
          <w:color w:val="000000"/>
          <w:sz w:val="20"/>
          <w:lang w:val="en-US"/>
        </w:rPr>
        <w:t xml:space="preserve"> </w:t>
      </w:r>
      <w:r w:rsidR="00704BDF" w:rsidRPr="00DE0019">
        <w:rPr>
          <w:rFonts w:asciiTheme="minorHAnsi" w:eastAsia="MS PGothic" w:hAnsiTheme="minorHAnsi"/>
          <w:i/>
          <w:iCs/>
          <w:color w:val="000000"/>
          <w:sz w:val="20"/>
          <w:lang w:val="en-US"/>
        </w:rPr>
        <w:t xml:space="preserve"> </w:t>
      </w:r>
    </w:p>
    <w:p w14:paraId="35190681" w14:textId="2EB8E0F5"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9" w:history="1">
        <w:r w:rsidR="00C676E7" w:rsidRPr="00A978BE">
          <w:rPr>
            <w:rStyle w:val="Hyperlink"/>
            <w:rFonts w:asciiTheme="minorHAnsi" w:eastAsia="MS PGothic" w:hAnsiTheme="minorHAnsi"/>
            <w:bCs/>
            <w:i/>
            <w:iCs/>
            <w:sz w:val="20"/>
            <w:lang w:val="en-US"/>
          </w:rPr>
          <w:t>rpott@sun.ac.za</w:t>
        </w:r>
      </w:hyperlink>
      <w:r w:rsidR="00C676E7">
        <w:rPr>
          <w:rFonts w:asciiTheme="minorHAnsi" w:eastAsia="MS PGothic" w:hAnsiTheme="minorHAnsi"/>
          <w:bCs/>
          <w:i/>
          <w:iCs/>
          <w:sz w:val="20"/>
          <w:lang w:val="en-US"/>
        </w:rPr>
        <w:t xml:space="preserve"> </w:t>
      </w:r>
    </w:p>
    <w:p w14:paraId="1C1B64C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1F6A918" w14:textId="77777777" w:rsidR="00704BDF" w:rsidRDefault="00B7115B" w:rsidP="0071404D">
      <w:pPr>
        <w:pStyle w:val="AbstractBody"/>
        <w:numPr>
          <w:ilvl w:val="0"/>
          <w:numId w:val="16"/>
        </w:numPr>
        <w:tabs>
          <w:tab w:val="left" w:pos="1530"/>
        </w:tabs>
        <w:ind w:left="990" w:right="-483"/>
        <w:rPr>
          <w:rFonts w:asciiTheme="minorHAnsi" w:hAnsiTheme="minorHAnsi"/>
        </w:rPr>
      </w:pPr>
      <w:r>
        <w:rPr>
          <w:rFonts w:asciiTheme="minorHAnsi" w:hAnsiTheme="minorHAnsi"/>
        </w:rPr>
        <w:t xml:space="preserve">A novel </w:t>
      </w:r>
      <w:r w:rsidR="0071404D">
        <w:rPr>
          <w:rFonts w:asciiTheme="minorHAnsi" w:hAnsiTheme="minorHAnsi"/>
        </w:rPr>
        <w:t xml:space="preserve">adapted </w:t>
      </w:r>
      <w:r>
        <w:rPr>
          <w:rFonts w:asciiTheme="minorHAnsi" w:hAnsiTheme="minorHAnsi"/>
        </w:rPr>
        <w:t xml:space="preserve">bioreactor </w:t>
      </w:r>
      <w:r w:rsidR="0071404D">
        <w:rPr>
          <w:rFonts w:asciiTheme="minorHAnsi" w:hAnsiTheme="minorHAnsi"/>
        </w:rPr>
        <w:t xml:space="preserve">for </w:t>
      </w:r>
      <w:r w:rsidR="0071404D">
        <w:rPr>
          <w:rFonts w:asciiTheme="minorHAnsi" w:hAnsiTheme="minorHAnsi"/>
          <w:i/>
        </w:rPr>
        <w:t xml:space="preserve">in-situ </w:t>
      </w:r>
      <w:r w:rsidR="0071404D">
        <w:rPr>
          <w:rFonts w:asciiTheme="minorHAnsi" w:hAnsiTheme="minorHAnsi"/>
        </w:rPr>
        <w:t>product recovery (ISPR) was design and demonstrated.</w:t>
      </w:r>
    </w:p>
    <w:p w14:paraId="4EC1E665" w14:textId="77777777" w:rsidR="0071404D" w:rsidRDefault="003D5CD3" w:rsidP="0071404D">
      <w:pPr>
        <w:pStyle w:val="AbstractBody"/>
        <w:numPr>
          <w:ilvl w:val="0"/>
          <w:numId w:val="16"/>
        </w:numPr>
        <w:ind w:left="990" w:right="417"/>
        <w:rPr>
          <w:rFonts w:asciiTheme="minorHAnsi" w:hAnsiTheme="minorHAnsi"/>
        </w:rPr>
      </w:pPr>
      <w:r>
        <w:rPr>
          <w:rFonts w:asciiTheme="minorHAnsi" w:hAnsiTheme="minorHAnsi"/>
        </w:rPr>
        <w:t>Separation profile, m</w:t>
      </w:r>
      <w:r w:rsidR="0071404D">
        <w:rPr>
          <w:rFonts w:asciiTheme="minorHAnsi" w:hAnsiTheme="minorHAnsi"/>
        </w:rPr>
        <w:t>ixing and settling studies were conducted and evaluated.</w:t>
      </w:r>
    </w:p>
    <w:p w14:paraId="7FB08103" w14:textId="77777777" w:rsidR="0071404D" w:rsidRDefault="0071404D" w:rsidP="0071404D">
      <w:pPr>
        <w:pStyle w:val="AbstractBody"/>
        <w:numPr>
          <w:ilvl w:val="0"/>
          <w:numId w:val="16"/>
        </w:numPr>
        <w:ind w:left="990" w:right="417"/>
        <w:rPr>
          <w:rFonts w:asciiTheme="minorHAnsi" w:hAnsiTheme="minorHAnsi"/>
        </w:rPr>
      </w:pPr>
      <w:r>
        <w:rPr>
          <w:rFonts w:asciiTheme="minorHAnsi" w:hAnsiTheme="minorHAnsi"/>
        </w:rPr>
        <w:t xml:space="preserve">Mathematical model was demonstrated for mass transfer </w:t>
      </w:r>
      <w:r w:rsidR="003D5CD3">
        <w:rPr>
          <w:rFonts w:asciiTheme="minorHAnsi" w:hAnsiTheme="minorHAnsi"/>
        </w:rPr>
        <w:t xml:space="preserve">and flowrate </w:t>
      </w:r>
      <w:r>
        <w:rPr>
          <w:rFonts w:asciiTheme="minorHAnsi" w:hAnsiTheme="minorHAnsi"/>
        </w:rPr>
        <w:t>characterization.</w:t>
      </w:r>
    </w:p>
    <w:p w14:paraId="31524581"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C41319E" w14:textId="145BA26C" w:rsidR="00EF62E7" w:rsidRPr="002D1738" w:rsidRDefault="00EF62E7" w:rsidP="00EC5A72">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Fermentation technology involves the use </w:t>
      </w:r>
      <w:r w:rsidR="00BE3A1A">
        <w:rPr>
          <w:rFonts w:asciiTheme="minorHAnsi" w:eastAsia="MS PGothic" w:hAnsiTheme="minorHAnsi"/>
          <w:color w:val="000000"/>
          <w:sz w:val="22"/>
          <w:szCs w:val="22"/>
          <w:lang w:val="en-US"/>
        </w:rPr>
        <w:t>microorganism to convert simple</w:t>
      </w:r>
      <w:r w:rsidR="00F9149A">
        <w:rPr>
          <w:rFonts w:asciiTheme="minorHAnsi" w:eastAsia="MS PGothic" w:hAnsiTheme="minorHAnsi"/>
          <w:color w:val="000000"/>
          <w:sz w:val="22"/>
          <w:szCs w:val="22"/>
          <w:lang w:val="en-US"/>
        </w:rPr>
        <w:t xml:space="preserve"> substrates</w:t>
      </w:r>
      <w:r w:rsidR="00AE2747">
        <w:rPr>
          <w:rFonts w:asciiTheme="minorHAnsi" w:eastAsia="MS PGothic" w:hAnsiTheme="minorHAnsi"/>
          <w:color w:val="000000"/>
          <w:sz w:val="22"/>
          <w:szCs w:val="22"/>
          <w:lang w:val="en-US"/>
        </w:rPr>
        <w:t xml:space="preserve"> </w:t>
      </w:r>
      <w:r w:rsidR="00BE3A1A">
        <w:rPr>
          <w:rFonts w:asciiTheme="minorHAnsi" w:eastAsia="MS PGothic" w:hAnsiTheme="minorHAnsi"/>
          <w:color w:val="000000"/>
          <w:sz w:val="22"/>
          <w:szCs w:val="22"/>
          <w:lang w:val="en-US"/>
        </w:rPr>
        <w:t xml:space="preserve">to </w:t>
      </w:r>
      <w:r w:rsidR="00F9149A">
        <w:rPr>
          <w:rFonts w:asciiTheme="minorHAnsi" w:eastAsia="MS PGothic" w:hAnsiTheme="minorHAnsi"/>
          <w:color w:val="000000"/>
          <w:sz w:val="22"/>
          <w:szCs w:val="22"/>
          <w:lang w:val="en-US"/>
        </w:rPr>
        <w:t>valuable products, which find use in a variety of industries, from pharmaceuticals to fine chemicals.</w:t>
      </w:r>
      <w:r w:rsidR="00BE3A1A">
        <w:rPr>
          <w:rFonts w:asciiTheme="minorHAnsi" w:eastAsia="MS PGothic" w:hAnsiTheme="minorHAnsi"/>
          <w:color w:val="000000"/>
          <w:sz w:val="22"/>
          <w:szCs w:val="22"/>
          <w:lang w:val="en-US"/>
        </w:rPr>
        <w:t xml:space="preserve"> </w:t>
      </w:r>
      <w:r w:rsidR="00F9149A">
        <w:rPr>
          <w:rFonts w:asciiTheme="minorHAnsi" w:eastAsia="MS PGothic" w:hAnsiTheme="minorHAnsi"/>
          <w:color w:val="000000"/>
          <w:sz w:val="22"/>
          <w:szCs w:val="22"/>
          <w:lang w:val="en-US"/>
        </w:rPr>
        <w:t xml:space="preserve">While fermentation technologies are commonly used, and represent a mature technology, there are nonetheless still </w:t>
      </w:r>
      <w:r w:rsidR="00EC5A72">
        <w:rPr>
          <w:rFonts w:asciiTheme="minorHAnsi" w:eastAsia="MS PGothic" w:hAnsiTheme="minorHAnsi"/>
          <w:color w:val="000000"/>
          <w:sz w:val="22"/>
          <w:szCs w:val="22"/>
          <w:lang w:val="en-US"/>
        </w:rPr>
        <w:t>challenges</w:t>
      </w:r>
      <w:r w:rsidR="00F9149A">
        <w:rPr>
          <w:rFonts w:asciiTheme="minorHAnsi" w:eastAsia="MS PGothic" w:hAnsiTheme="minorHAnsi"/>
          <w:color w:val="000000"/>
          <w:sz w:val="22"/>
          <w:szCs w:val="22"/>
          <w:lang w:val="en-US"/>
        </w:rPr>
        <w:t>, particularly with regards</w:t>
      </w:r>
      <w:r w:rsidR="00EC5A72">
        <w:rPr>
          <w:rFonts w:asciiTheme="minorHAnsi" w:eastAsia="MS PGothic" w:hAnsiTheme="minorHAnsi"/>
          <w:color w:val="000000"/>
          <w:sz w:val="22"/>
          <w:szCs w:val="22"/>
          <w:lang w:val="en-US"/>
        </w:rPr>
        <w:t xml:space="preserve"> low product yield and productivity caused by product inhibition, high energy consumption, mass transfer and selective metaboli</w:t>
      </w:r>
      <w:r w:rsidR="00F9149A">
        <w:rPr>
          <w:rFonts w:asciiTheme="minorHAnsi" w:eastAsia="MS PGothic" w:hAnsiTheme="minorHAnsi"/>
          <w:color w:val="000000"/>
          <w:sz w:val="22"/>
          <w:szCs w:val="22"/>
          <w:lang w:val="en-US"/>
        </w:rPr>
        <w:t>c</w:t>
      </w:r>
      <w:r w:rsidR="00EC5A72">
        <w:rPr>
          <w:rFonts w:asciiTheme="minorHAnsi" w:eastAsia="MS PGothic" w:hAnsiTheme="minorHAnsi"/>
          <w:color w:val="000000"/>
          <w:sz w:val="22"/>
          <w:szCs w:val="22"/>
          <w:lang w:val="en-US"/>
        </w:rPr>
        <w:t xml:space="preserve"> issues</w:t>
      </w:r>
      <w:r w:rsidR="00510310">
        <w:rPr>
          <w:rFonts w:asciiTheme="minorHAnsi" w:eastAsia="MS PGothic" w:hAnsiTheme="minorHAnsi"/>
          <w:color w:val="000000"/>
          <w:sz w:val="22"/>
          <w:szCs w:val="22"/>
          <w:lang w:val="en-US"/>
        </w:rPr>
        <w:t xml:space="preserve"> </w:t>
      </w:r>
      <w:r w:rsidR="00510310">
        <w:rPr>
          <w:rFonts w:asciiTheme="minorHAnsi" w:eastAsia="MS PGothic" w:hAnsiTheme="minorHAnsi"/>
          <w:color w:val="000000"/>
          <w:sz w:val="22"/>
          <w:szCs w:val="22"/>
          <w:lang w:val="en-US"/>
        </w:rPr>
        <w:fldChar w:fldCharType="begin" w:fldLock="1"/>
      </w:r>
      <w:r w:rsidR="003C6F3F">
        <w:rPr>
          <w:rFonts w:asciiTheme="minorHAnsi" w:eastAsia="MS PGothic" w:hAnsiTheme="minorHAnsi"/>
          <w:color w:val="000000"/>
          <w:sz w:val="22"/>
          <w:szCs w:val="22"/>
          <w:lang w:val="en-US"/>
        </w:rPr>
        <w:instrText>ADDIN CSL_CITATION {"citationItems":[{"id":"ITEM-1","itemData":{"ISBN":"9781119460268","author":[{"dropping-particle":"","family":"Kuila","given":"Arindam","non-dropping-particle":"","parse-names":false,"suffix":""},{"dropping-particle":"","family":"Sharma","given":"Vinay","non-dropping-particle":"","parse-names":false,"suffix":""}],"edition":"first","editor":[{"dropping-particle":"","family":"Kuila","given":"Arindam","non-dropping-particle":"","parse-names":false,"suffix":""},{"dropping-particle":"","family":"Sharma","given":"Vinay","non-dropping-particle":"","parse-names":false,"suffix":""}],"id":"ITEM-1","issued":{"date-parts":[["2018"]]},"number-of-pages":"1-12","publisher":"Martin Scrivener and Phillip Carmical","title":"Principles and Applications of Fermentation Technology","type":"book"},"uris":["http://www.mendeley.com/documents/?uuid=ed00df42-f59a-4a42-8e33-c6a63533edea"]},{"id":"ITEM-2","itemData":{"ISBN":"9780080999531","author":[{"dropping-particle":"","family":"Stanbury","given":"Peter F.","non-dropping-particle":"","parse-names":false,"suffix":""},{"dropping-particle":"","family":"Whitaker","given":"Allan","non-dropping-particle":"","parse-names":false,"suffix":""},{"dropping-particle":"","family":"Hall","given":"Stephen J.","non-dropping-particle":"","parse-names":false,"suffix":""}],"edition":"third","editor":[{"dropping-particle":"","family":"Geraghty","given":"Fiona","non-dropping-particle":"","parse-names":false,"suffix":""}],"id":"ITEM-2","issued":{"date-parts":[["2017"]]},"number-of-pages":"1-19","publisher":"Joe Hayton","title":"Principles of fermentation technology","type":"book"},"uris":["http://www.mendeley.com/documents/?uuid=50d709cf-1ff8-46b0-8e99-d584f96b86a5"]}],"mendeley":{"formattedCitation":"[1], [2]","plainTextFormattedCitation":"[1], [2]","previouslyFormattedCitation":"[1], [2]"},"properties":{"noteIndex":0},"schema":"https://github.com/citation-style-language/schema/raw/master/csl-citation.json"}</w:instrText>
      </w:r>
      <w:r w:rsidR="00510310">
        <w:rPr>
          <w:rFonts w:asciiTheme="minorHAnsi" w:eastAsia="MS PGothic" w:hAnsiTheme="minorHAnsi"/>
          <w:color w:val="000000"/>
          <w:sz w:val="22"/>
          <w:szCs w:val="22"/>
          <w:lang w:val="en-US"/>
        </w:rPr>
        <w:fldChar w:fldCharType="separate"/>
      </w:r>
      <w:r w:rsidR="00510310" w:rsidRPr="00510310">
        <w:rPr>
          <w:rFonts w:asciiTheme="minorHAnsi" w:eastAsia="MS PGothic" w:hAnsiTheme="minorHAnsi"/>
          <w:noProof/>
          <w:color w:val="000000"/>
          <w:sz w:val="22"/>
          <w:szCs w:val="22"/>
          <w:lang w:val="en-US"/>
        </w:rPr>
        <w:t>[1], [2]</w:t>
      </w:r>
      <w:r w:rsidR="00510310">
        <w:rPr>
          <w:rFonts w:asciiTheme="minorHAnsi" w:eastAsia="MS PGothic" w:hAnsiTheme="minorHAnsi"/>
          <w:color w:val="000000"/>
          <w:sz w:val="22"/>
          <w:szCs w:val="22"/>
          <w:lang w:val="en-US"/>
        </w:rPr>
        <w:fldChar w:fldCharType="end"/>
      </w:r>
      <w:r w:rsidR="003C6F3F">
        <w:rPr>
          <w:rFonts w:asciiTheme="minorHAnsi" w:eastAsia="MS PGothic" w:hAnsiTheme="minorHAnsi"/>
          <w:color w:val="000000"/>
          <w:sz w:val="22"/>
          <w:szCs w:val="22"/>
          <w:lang w:val="en-US"/>
        </w:rPr>
        <w:t>.</w:t>
      </w:r>
    </w:p>
    <w:p w14:paraId="2C194661" w14:textId="06D29C2D" w:rsidR="00F575EC" w:rsidRDefault="00EC5A72" w:rsidP="00EC5A72">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Extractive fermentation was introduced in the 1960’</w:t>
      </w:r>
      <w:r w:rsidR="00AE2747">
        <w:rPr>
          <w:rFonts w:asciiTheme="minorHAnsi" w:eastAsia="MS PGothic" w:hAnsiTheme="minorHAnsi"/>
          <w:color w:val="000000"/>
          <w:sz w:val="22"/>
          <w:szCs w:val="22"/>
          <w:lang w:val="en-US"/>
        </w:rPr>
        <w:t>s,</w:t>
      </w:r>
      <w:r w:rsidR="00F9149A">
        <w:rPr>
          <w:rFonts w:asciiTheme="minorHAnsi" w:eastAsia="MS PGothic" w:hAnsiTheme="minorHAnsi"/>
          <w:color w:val="000000"/>
          <w:sz w:val="22"/>
          <w:szCs w:val="22"/>
          <w:lang w:val="en-US"/>
        </w:rPr>
        <w:t xml:space="preserve"> as a mechanism to combat several of these issues. The technique is</w:t>
      </w:r>
      <w:r w:rsidR="00AE2747">
        <w:rPr>
          <w:rFonts w:asciiTheme="minorHAnsi" w:eastAsia="MS PGothic" w:hAnsiTheme="minorHAnsi"/>
          <w:color w:val="000000"/>
          <w:sz w:val="22"/>
          <w:szCs w:val="22"/>
          <w:lang w:val="en-US"/>
        </w:rPr>
        <w:t xml:space="preserve"> based</w:t>
      </w:r>
      <w:r>
        <w:rPr>
          <w:rFonts w:asciiTheme="minorHAnsi" w:eastAsia="MS PGothic" w:hAnsiTheme="minorHAnsi"/>
          <w:color w:val="000000"/>
          <w:sz w:val="22"/>
          <w:szCs w:val="22"/>
          <w:lang w:val="en-US"/>
        </w:rPr>
        <w:t xml:space="preserve"> on </w:t>
      </w:r>
      <w:r w:rsidR="00AE2747">
        <w:rPr>
          <w:rFonts w:asciiTheme="minorHAnsi" w:eastAsia="MS PGothic" w:hAnsiTheme="minorHAnsi"/>
          <w:color w:val="000000"/>
          <w:sz w:val="22"/>
          <w:szCs w:val="22"/>
          <w:lang w:val="en-US"/>
        </w:rPr>
        <w:t xml:space="preserve">product removal </w:t>
      </w:r>
      <w:r>
        <w:rPr>
          <w:rFonts w:asciiTheme="minorHAnsi" w:eastAsia="MS PGothic" w:hAnsiTheme="minorHAnsi"/>
          <w:color w:val="000000"/>
          <w:sz w:val="22"/>
          <w:szCs w:val="22"/>
          <w:lang w:val="en-US"/>
        </w:rPr>
        <w:t>while it</w:t>
      </w:r>
      <w:r w:rsidR="00F9149A">
        <w:rPr>
          <w:rFonts w:asciiTheme="minorHAnsi" w:eastAsia="MS PGothic" w:hAnsiTheme="minorHAnsi"/>
          <w:color w:val="000000"/>
          <w:sz w:val="22"/>
          <w:szCs w:val="22"/>
          <w:lang w:val="en-US"/>
        </w:rPr>
        <w:t xml:space="preserve"> i</w:t>
      </w:r>
      <w:r>
        <w:rPr>
          <w:rFonts w:asciiTheme="minorHAnsi" w:eastAsia="MS PGothic" w:hAnsiTheme="minorHAnsi"/>
          <w:color w:val="000000"/>
          <w:sz w:val="22"/>
          <w:szCs w:val="22"/>
          <w:lang w:val="en-US"/>
        </w:rPr>
        <w:t>s been formed (</w:t>
      </w:r>
      <w:r>
        <w:rPr>
          <w:rFonts w:asciiTheme="minorHAnsi" w:eastAsia="MS PGothic" w:hAnsiTheme="minorHAnsi"/>
          <w:i/>
          <w:color w:val="000000"/>
          <w:sz w:val="22"/>
          <w:szCs w:val="22"/>
          <w:lang w:val="en-US"/>
        </w:rPr>
        <w:t>in-situ</w:t>
      </w:r>
      <w:r>
        <w:rPr>
          <w:rFonts w:asciiTheme="minorHAnsi" w:eastAsia="MS PGothic" w:hAnsiTheme="minorHAnsi"/>
          <w:color w:val="000000"/>
          <w:sz w:val="22"/>
          <w:szCs w:val="22"/>
          <w:lang w:val="en-US"/>
        </w:rPr>
        <w:t>).</w:t>
      </w:r>
      <w:r w:rsidR="00AE274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This technology</w:t>
      </w:r>
      <w:r w:rsidR="00C46DE9">
        <w:rPr>
          <w:rFonts w:asciiTheme="minorHAnsi" w:eastAsia="MS PGothic" w:hAnsiTheme="minorHAnsi"/>
          <w:color w:val="000000"/>
          <w:sz w:val="22"/>
          <w:szCs w:val="22"/>
          <w:lang w:val="en-US"/>
        </w:rPr>
        <w:t xml:space="preserve"> has developed over</w:t>
      </w:r>
      <w:r w:rsidR="00AE2747">
        <w:rPr>
          <w:rFonts w:asciiTheme="minorHAnsi" w:eastAsia="MS PGothic" w:hAnsiTheme="minorHAnsi"/>
          <w:color w:val="000000"/>
          <w:sz w:val="22"/>
          <w:szCs w:val="22"/>
          <w:lang w:val="en-US"/>
        </w:rPr>
        <w:t xml:space="preserve"> </w:t>
      </w:r>
      <w:r w:rsidR="00C46DE9">
        <w:rPr>
          <w:rFonts w:asciiTheme="minorHAnsi" w:eastAsia="MS PGothic" w:hAnsiTheme="minorHAnsi"/>
          <w:color w:val="000000"/>
          <w:sz w:val="22"/>
          <w:szCs w:val="22"/>
          <w:lang w:val="en-US"/>
        </w:rPr>
        <w:t>years</w:t>
      </w:r>
      <w:r w:rsidR="00F9149A">
        <w:rPr>
          <w:rFonts w:asciiTheme="minorHAnsi" w:eastAsia="MS PGothic" w:hAnsiTheme="minorHAnsi"/>
          <w:color w:val="000000"/>
          <w:sz w:val="22"/>
          <w:szCs w:val="22"/>
          <w:lang w:val="en-US"/>
        </w:rPr>
        <w:t>,</w:t>
      </w:r>
      <w:r w:rsidR="00C46DE9">
        <w:rPr>
          <w:rFonts w:asciiTheme="minorHAnsi" w:eastAsia="MS PGothic" w:hAnsiTheme="minorHAnsi"/>
          <w:color w:val="000000"/>
          <w:sz w:val="22"/>
          <w:szCs w:val="22"/>
          <w:lang w:val="en-US"/>
        </w:rPr>
        <w:t xml:space="preserve"> with </w:t>
      </w:r>
      <w:r w:rsidR="00F575EC">
        <w:rPr>
          <w:rFonts w:asciiTheme="minorHAnsi" w:eastAsia="MS PGothic" w:hAnsiTheme="minorHAnsi"/>
          <w:color w:val="000000"/>
          <w:sz w:val="22"/>
          <w:szCs w:val="22"/>
          <w:lang w:val="en-US"/>
        </w:rPr>
        <w:t xml:space="preserve">usage of different separation techniques such as gas stripping, pervaporation, adsorption and liquid-liquid extraction. </w:t>
      </w:r>
      <w:r w:rsidR="00F9149A">
        <w:rPr>
          <w:rFonts w:asciiTheme="minorHAnsi" w:eastAsia="MS PGothic" w:hAnsiTheme="minorHAnsi"/>
          <w:color w:val="000000"/>
          <w:sz w:val="22"/>
          <w:szCs w:val="22"/>
          <w:lang w:val="en-US"/>
        </w:rPr>
        <w:t xml:space="preserve">For the most part, many of these systems have been developed to run on batch mode operation. While development of fed-batch or continuous production systems has not received as much attention. Continuous systems, in particular, can be attractive, since </w:t>
      </w:r>
      <w:r w:rsidR="00F575EC">
        <w:rPr>
          <w:rFonts w:asciiTheme="minorHAnsi" w:eastAsia="MS PGothic" w:hAnsiTheme="minorHAnsi"/>
          <w:color w:val="000000"/>
          <w:sz w:val="22"/>
          <w:szCs w:val="22"/>
          <w:lang w:val="en-US"/>
        </w:rPr>
        <w:t xml:space="preserve">yield, productivity and </w:t>
      </w:r>
      <w:r w:rsidR="00F9149A">
        <w:rPr>
          <w:rFonts w:asciiTheme="minorHAnsi" w:eastAsia="MS PGothic" w:hAnsiTheme="minorHAnsi"/>
          <w:color w:val="000000"/>
          <w:sz w:val="22"/>
          <w:szCs w:val="22"/>
          <w:lang w:val="en-US"/>
        </w:rPr>
        <w:t>economies of scale can be improved over batch operation (although other operational challenges remain)</w:t>
      </w:r>
      <w:r w:rsidR="005849FA">
        <w:rPr>
          <w:rFonts w:asciiTheme="minorHAnsi" w:eastAsia="MS PGothic" w:hAnsiTheme="minorHAnsi"/>
          <w:color w:val="000000"/>
          <w:sz w:val="22"/>
          <w:szCs w:val="22"/>
          <w:lang w:val="en-US"/>
        </w:rPr>
        <w:t xml:space="preserve"> </w:t>
      </w:r>
      <w:r w:rsidR="003C6F3F">
        <w:rPr>
          <w:rFonts w:asciiTheme="minorHAnsi" w:eastAsia="MS PGothic" w:hAnsiTheme="minorHAnsi"/>
          <w:color w:val="000000"/>
          <w:sz w:val="22"/>
          <w:szCs w:val="22"/>
          <w:lang w:val="en-US"/>
        </w:rPr>
        <w:fldChar w:fldCharType="begin" w:fldLock="1"/>
      </w:r>
      <w:r w:rsidR="005849FA">
        <w:rPr>
          <w:rFonts w:asciiTheme="minorHAnsi" w:eastAsia="MS PGothic" w:hAnsiTheme="minorHAnsi"/>
          <w:color w:val="000000"/>
          <w:sz w:val="22"/>
          <w:szCs w:val="22"/>
          <w:lang w:val="en-US"/>
        </w:rPr>
        <w:instrText>ADDIN CSL_CITATION {"citationItems":[{"id":"ITEM-1","itemData":{"DOI":"10.1007/3-540-36782-9_5","ISBN":"978-3-540-43630-0","ISSN":"0724-6145","PMID":"12747544","abstract":"This review sums up the activity in the field of in situ product removal in whole cell bioprocesses over the last 20 years. It gives a complete summary of ISPR operations with microbial cells and cites a series of interesting ISPR applications in plant and animal cell technology. All the ISPR projects with microbial cells are categorized according to their products, their ISPR techniques, and their applied configurations of the ISPR set-up. Research on ISPR application has primarily increased in the field of microbial production of aromas and organic acids such lactic acid over the last ten years. Apart from the field of de novo formation of bioproducts, ISPR is increasingly applied to microbial bioconversion processes. However, despite of the large number of microbial whole cell ISPR projects (approximately 250), very few processes have been transferred to an industrial scale. The proposed processes have mostly been too complex and consequently not cost effective. Therefore, this review emphasizes that the planning of a successful whole cell ISPR process should not only consider the choice of ISPR technique according to the physicochemical properties of the product, but also the potential configuration of the whole process set-up. Furthermore, additional process aspects, biological and legal constraint need to be considered from the very beginning for the design of an ISPR project. Finally, future trends of new, modified or improved ISPR techniques are given.","author":[{"dropping-particle":"","family":"Stark","given":"Daniel","non-dropping-particle":"","parse-names":false,"suffix":""},{"dropping-particle":"","family":"Stockar","given":"Urs","non-dropping-particle":"von","parse-names":false,"suffix":""}],"container-title":"Process Integration in Biochemical Engineering","id":"ITEM-1","issued":{"date-parts":[["2003"]]},"page":"149-175","title":"In Situ Product Removal (ISPR) in Whole Cell Biotechnology During the Last Twenty Years","type":"chapter","volume":"80"},"uris":["http://www.mendeley.com/documents/?uuid=63a7bdc8-cc7b-4f36-aa0e-3a8f866f9ae2"]},{"id":"ITEM-2","itemData":{"DOI":"10.1016/j.biotechadv.2014.07.003","ISBN":"0734-9750","ISSN":"07349750","PMID":"25072605","abstract":"The review presents the state-of-the-art in the applications of in-situ product recovery (ISPR) in whole-cell biotechnology over the last 10. years. It summarizes various ISPR-integrated fermentation processes for the production of a wide spectrum of bio-based products. A critical assessment of the performance of various ISPR concepts with respect to the degree of product enrichment, improved productivity, reduced process flows and increased yields is provided. Requirements to allow a successful industrial implementation of ISPR are also discussed. Finally, supporting technologies such as online monitoring, mathematical modeling and use of recombinant microorganisms with ISPR are presented.","author":[{"dropping-particle":"","family":"Hecke","given":"Wouter","non-dropping-particle":"Van","parse-names":false,"suffix":""},{"dropping-particle":"","family":"Kaur","given":"Guneet","non-dropping-particle":"","parse-names":false,"suffix":""},{"dropping-particle":"","family":"Wever","given":"Heleen","non-dropping-particle":"De","parse-names":false,"suffix":""}],"container-title":"Biotechnology Advances","id":"ITEM-2","issue":"7","issued":{"date-parts":[["2014"]]},"page":"1245-1255","publisher":"Elsevier Inc.","title":"Advances in in-situ product recovery (ISPR) in whole cell biotechnology during the last decade","type":"article-journal","volume":"32"},"uris":["http://www.mendeley.com/documents/?uuid=5a93407d-97bc-4760-a042-fbb140f5ccca"]}],"mendeley":{"formattedCitation":"[3], [4]","plainTextFormattedCitation":"[3], [4]","previouslyFormattedCitation":"[4], [5]"},"properties":{"noteIndex":0},"schema":"https://github.com/citation-style-language/schema/raw/master/csl-citation.json"}</w:instrText>
      </w:r>
      <w:r w:rsidR="003C6F3F">
        <w:rPr>
          <w:rFonts w:asciiTheme="minorHAnsi" w:eastAsia="MS PGothic" w:hAnsiTheme="minorHAnsi"/>
          <w:color w:val="000000"/>
          <w:sz w:val="22"/>
          <w:szCs w:val="22"/>
          <w:lang w:val="en-US"/>
        </w:rPr>
        <w:fldChar w:fldCharType="separate"/>
      </w:r>
      <w:r w:rsidR="005849FA" w:rsidRPr="005849FA">
        <w:rPr>
          <w:rFonts w:asciiTheme="minorHAnsi" w:eastAsia="MS PGothic" w:hAnsiTheme="minorHAnsi"/>
          <w:noProof/>
          <w:color w:val="000000"/>
          <w:sz w:val="22"/>
          <w:szCs w:val="22"/>
          <w:lang w:val="en-US"/>
        </w:rPr>
        <w:t>[3], [4]</w:t>
      </w:r>
      <w:r w:rsidR="003C6F3F">
        <w:rPr>
          <w:rFonts w:asciiTheme="minorHAnsi" w:eastAsia="MS PGothic" w:hAnsiTheme="minorHAnsi"/>
          <w:color w:val="000000"/>
          <w:sz w:val="22"/>
          <w:szCs w:val="22"/>
          <w:lang w:val="en-US"/>
        </w:rPr>
        <w:fldChar w:fldCharType="end"/>
      </w:r>
      <w:r w:rsidR="003C6F3F">
        <w:rPr>
          <w:rFonts w:asciiTheme="minorHAnsi" w:eastAsia="MS PGothic" w:hAnsiTheme="minorHAnsi"/>
          <w:color w:val="000000"/>
          <w:sz w:val="22"/>
          <w:szCs w:val="22"/>
          <w:lang w:val="en-US"/>
        </w:rPr>
        <w:t>.</w:t>
      </w:r>
    </w:p>
    <w:p w14:paraId="60ADB1C1" w14:textId="21F6DF7B" w:rsidR="00BE3A1A" w:rsidRDefault="00F9149A" w:rsidP="00947CE7">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To give biotechnologists another operational mode from which to select from, more research needs to be focused on a</w:t>
      </w:r>
      <w:r w:rsidR="00F575EC">
        <w:rPr>
          <w:rFonts w:asciiTheme="minorHAnsi" w:eastAsia="MS PGothic" w:hAnsiTheme="minorHAnsi"/>
          <w:color w:val="000000"/>
          <w:sz w:val="22"/>
          <w:szCs w:val="22"/>
          <w:lang w:val="en-US"/>
        </w:rPr>
        <w:t xml:space="preserve"> robust </w:t>
      </w:r>
      <w:r w:rsidR="00F575EC" w:rsidRPr="00F575EC">
        <w:rPr>
          <w:rFonts w:asciiTheme="minorHAnsi" w:eastAsia="MS PGothic" w:hAnsiTheme="minorHAnsi"/>
          <w:i/>
          <w:color w:val="000000"/>
          <w:sz w:val="22"/>
          <w:szCs w:val="22"/>
          <w:lang w:val="en-US"/>
        </w:rPr>
        <w:t>in-situ</w:t>
      </w:r>
      <w:r w:rsidR="00F575EC">
        <w:rPr>
          <w:rFonts w:asciiTheme="minorHAnsi" w:eastAsia="MS PGothic" w:hAnsiTheme="minorHAnsi"/>
          <w:color w:val="000000"/>
          <w:sz w:val="22"/>
          <w:szCs w:val="22"/>
          <w:lang w:val="en-US"/>
        </w:rPr>
        <w:t xml:space="preserve"> </w:t>
      </w:r>
      <w:r w:rsidR="00F575EC" w:rsidRPr="00F575EC">
        <w:rPr>
          <w:rFonts w:asciiTheme="minorHAnsi" w:eastAsia="MS PGothic" w:hAnsiTheme="minorHAnsi"/>
          <w:color w:val="000000"/>
          <w:sz w:val="22"/>
          <w:szCs w:val="22"/>
          <w:lang w:val="en-US"/>
        </w:rPr>
        <w:t>design</w:t>
      </w:r>
      <w:r w:rsidRPr="00F9149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on the continuous systems of production,</w:t>
      </w:r>
      <w:r w:rsidR="00F575EC">
        <w:rPr>
          <w:rFonts w:asciiTheme="minorHAnsi" w:eastAsia="MS PGothic" w:hAnsiTheme="minorHAnsi"/>
          <w:color w:val="000000"/>
          <w:sz w:val="22"/>
          <w:szCs w:val="22"/>
          <w:lang w:val="en-US"/>
        </w:rPr>
        <w:t xml:space="preserve"> to be implemented for industrial use.</w:t>
      </w:r>
      <w:r>
        <w:rPr>
          <w:rFonts w:asciiTheme="minorHAnsi" w:eastAsia="MS PGothic" w:hAnsiTheme="minorHAnsi"/>
          <w:color w:val="000000"/>
          <w:sz w:val="22"/>
          <w:szCs w:val="22"/>
          <w:lang w:val="en-US"/>
        </w:rPr>
        <w:t xml:space="preserve"> This project presents the </w:t>
      </w:r>
      <w:r w:rsidR="00F575EC">
        <w:rPr>
          <w:rFonts w:asciiTheme="minorHAnsi" w:eastAsia="MS PGothic" w:hAnsiTheme="minorHAnsi"/>
          <w:color w:val="000000"/>
          <w:sz w:val="22"/>
          <w:szCs w:val="22"/>
          <w:lang w:val="en-US"/>
        </w:rPr>
        <w:t xml:space="preserve">design and </w:t>
      </w:r>
      <w:r>
        <w:rPr>
          <w:rFonts w:asciiTheme="minorHAnsi" w:eastAsia="MS PGothic" w:hAnsiTheme="minorHAnsi"/>
          <w:color w:val="000000"/>
          <w:sz w:val="22"/>
          <w:szCs w:val="22"/>
          <w:lang w:val="en-US"/>
        </w:rPr>
        <w:t xml:space="preserve">evaluation of </w:t>
      </w:r>
      <w:r w:rsidR="00F575EC">
        <w:rPr>
          <w:rFonts w:asciiTheme="minorHAnsi" w:eastAsia="MS PGothic" w:hAnsiTheme="minorHAnsi"/>
          <w:color w:val="000000"/>
          <w:sz w:val="22"/>
          <w:szCs w:val="22"/>
          <w:lang w:val="en-US"/>
        </w:rPr>
        <w:t>adapted bioreactor</w:t>
      </w:r>
      <w:r w:rsidR="006B7AF1">
        <w:rPr>
          <w:rFonts w:asciiTheme="minorHAnsi" w:eastAsia="MS PGothic" w:hAnsiTheme="minorHAnsi"/>
          <w:color w:val="000000"/>
          <w:sz w:val="22"/>
          <w:szCs w:val="22"/>
          <w:lang w:val="en-US"/>
        </w:rPr>
        <w:t xml:space="preserve">s for usage during </w:t>
      </w:r>
      <w:r w:rsidR="006D50F7">
        <w:rPr>
          <w:rFonts w:asciiTheme="minorHAnsi" w:eastAsia="MS PGothic" w:hAnsiTheme="minorHAnsi"/>
          <w:i/>
          <w:color w:val="000000"/>
          <w:sz w:val="22"/>
          <w:szCs w:val="22"/>
          <w:lang w:val="en-US"/>
        </w:rPr>
        <w:t xml:space="preserve">in situ </w:t>
      </w:r>
      <w:r w:rsidR="006B7AF1">
        <w:rPr>
          <w:rFonts w:asciiTheme="minorHAnsi" w:eastAsia="MS PGothic" w:hAnsiTheme="minorHAnsi"/>
          <w:color w:val="000000"/>
          <w:sz w:val="22"/>
          <w:szCs w:val="22"/>
          <w:lang w:val="en-US"/>
        </w:rPr>
        <w:t xml:space="preserve">liquid-liquid </w:t>
      </w:r>
      <w:r w:rsidR="00F575EC">
        <w:rPr>
          <w:rFonts w:asciiTheme="minorHAnsi" w:eastAsia="MS PGothic" w:hAnsiTheme="minorHAnsi"/>
          <w:color w:val="000000"/>
          <w:sz w:val="22"/>
          <w:szCs w:val="22"/>
          <w:lang w:val="en-US"/>
        </w:rPr>
        <w:t>extractive fermentation</w:t>
      </w:r>
      <w:r>
        <w:rPr>
          <w:rFonts w:asciiTheme="minorHAnsi" w:eastAsia="MS PGothic" w:hAnsiTheme="minorHAnsi"/>
          <w:color w:val="000000"/>
          <w:sz w:val="22"/>
          <w:szCs w:val="22"/>
          <w:lang w:val="en-US"/>
        </w:rPr>
        <w:t>.</w:t>
      </w:r>
      <w:r w:rsidR="00F575EC">
        <w:rPr>
          <w:rFonts w:asciiTheme="minorHAnsi" w:eastAsia="MS PGothic" w:hAnsiTheme="minorHAnsi"/>
          <w:color w:val="000000"/>
          <w:sz w:val="22"/>
          <w:szCs w:val="22"/>
          <w:lang w:val="en-US"/>
        </w:rPr>
        <w:t xml:space="preserve"> </w:t>
      </w:r>
    </w:p>
    <w:p w14:paraId="02893400" w14:textId="77777777" w:rsidR="002D2BDB" w:rsidRDefault="002D2BDB" w:rsidP="00947CE7">
      <w:pPr>
        <w:snapToGrid w:val="0"/>
        <w:rPr>
          <w:rFonts w:asciiTheme="minorHAnsi" w:eastAsia="MS PGothic" w:hAnsiTheme="minorHAnsi"/>
          <w:color w:val="000000"/>
          <w:sz w:val="22"/>
          <w:szCs w:val="22"/>
          <w:lang w:val="en-US"/>
        </w:rPr>
      </w:pPr>
    </w:p>
    <w:p w14:paraId="649C9347" w14:textId="77777777" w:rsidR="00704BDF" w:rsidRPr="008D0BEB" w:rsidRDefault="00704BDF" w:rsidP="00AE2747">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5CAFC3C" w14:textId="77777777" w:rsidR="00B7115B" w:rsidRPr="00B7115B" w:rsidRDefault="00B7115B" w:rsidP="00AE2747">
      <w:pPr>
        <w:snapToGrid w:val="0"/>
        <w:rPr>
          <w:rFonts w:asciiTheme="minorHAnsi" w:eastAsia="MS PGothic" w:hAnsiTheme="minorHAnsi"/>
          <w:b/>
          <w:color w:val="000000"/>
          <w:sz w:val="22"/>
          <w:szCs w:val="22"/>
          <w:lang w:val="en-US"/>
        </w:rPr>
      </w:pPr>
      <w:r w:rsidRPr="00B7115B">
        <w:rPr>
          <w:rFonts w:asciiTheme="minorHAnsi" w:eastAsia="MS PGothic" w:hAnsiTheme="minorHAnsi"/>
          <w:b/>
          <w:color w:val="000000"/>
          <w:sz w:val="22"/>
          <w:szCs w:val="22"/>
          <w:lang w:val="en-US"/>
        </w:rPr>
        <w:t xml:space="preserve">Reactor operation </w:t>
      </w:r>
    </w:p>
    <w:p w14:paraId="1BE79500" w14:textId="74CA53E3" w:rsidR="005C2480" w:rsidRDefault="002D2BDB" w:rsidP="00AE2747">
      <w:pPr>
        <w:snapToGrid w:val="0"/>
        <w:rPr>
          <w:rFonts w:asciiTheme="minorHAnsi" w:hAnsiTheme="minorHAnsi" w:cstheme="minorHAnsi"/>
          <w:sz w:val="22"/>
          <w:szCs w:val="22"/>
        </w:rPr>
      </w:pPr>
      <w:r>
        <w:rPr>
          <w:rFonts w:asciiTheme="minorHAnsi" w:eastAsia="MS PGothic" w:hAnsiTheme="minorHAnsi"/>
          <w:color w:val="000000"/>
          <w:sz w:val="22"/>
          <w:szCs w:val="22"/>
          <w:lang w:val="en-US"/>
        </w:rPr>
        <w:t>The</w:t>
      </w:r>
      <w:r w:rsidR="004E0290">
        <w:rPr>
          <w:rFonts w:asciiTheme="minorHAnsi" w:eastAsia="MS PGothic" w:hAnsiTheme="minorHAnsi"/>
          <w:color w:val="000000"/>
          <w:sz w:val="22"/>
          <w:szCs w:val="22"/>
          <w:lang w:val="en-US"/>
        </w:rPr>
        <w:t xml:space="preserve"> designed bioreactor is shown </w:t>
      </w:r>
      <w:r w:rsidR="004E0290" w:rsidRPr="004E0290">
        <w:rPr>
          <w:rFonts w:asciiTheme="minorHAnsi" w:eastAsia="MS PGothic" w:hAnsiTheme="minorHAnsi" w:cstheme="minorHAnsi"/>
          <w:color w:val="000000"/>
          <w:sz w:val="22"/>
          <w:szCs w:val="22"/>
          <w:lang w:val="en-US"/>
        </w:rPr>
        <w:t xml:space="preserve">in </w:t>
      </w:r>
      <w:r w:rsidR="004E0290" w:rsidRPr="004E0290">
        <w:rPr>
          <w:rFonts w:asciiTheme="minorHAnsi" w:eastAsia="MS PGothic" w:hAnsiTheme="minorHAnsi" w:cstheme="minorHAnsi"/>
          <w:color w:val="000000"/>
          <w:sz w:val="22"/>
          <w:szCs w:val="22"/>
          <w:lang w:val="en-US"/>
        </w:rPr>
        <w:fldChar w:fldCharType="begin"/>
      </w:r>
      <w:r w:rsidR="004E0290" w:rsidRPr="004E0290">
        <w:rPr>
          <w:rFonts w:asciiTheme="minorHAnsi" w:eastAsia="MS PGothic" w:hAnsiTheme="minorHAnsi" w:cstheme="minorHAnsi"/>
          <w:color w:val="000000"/>
          <w:sz w:val="22"/>
          <w:szCs w:val="22"/>
          <w:lang w:val="en-US"/>
        </w:rPr>
        <w:instrText xml:space="preserve"> REF _Ref6835473 \h  \* MERGEFORMAT </w:instrText>
      </w:r>
      <w:r w:rsidR="004E0290" w:rsidRPr="004E0290">
        <w:rPr>
          <w:rFonts w:asciiTheme="minorHAnsi" w:eastAsia="MS PGothic" w:hAnsiTheme="minorHAnsi" w:cstheme="minorHAnsi"/>
          <w:color w:val="000000"/>
          <w:sz w:val="22"/>
          <w:szCs w:val="22"/>
          <w:lang w:val="en-US"/>
        </w:rPr>
      </w:r>
      <w:r w:rsidR="004E0290" w:rsidRPr="004E0290">
        <w:rPr>
          <w:rFonts w:asciiTheme="minorHAnsi" w:eastAsia="MS PGothic" w:hAnsiTheme="minorHAnsi" w:cstheme="minorHAnsi"/>
          <w:color w:val="000000"/>
          <w:sz w:val="22"/>
          <w:szCs w:val="22"/>
          <w:lang w:val="en-US"/>
        </w:rPr>
        <w:fldChar w:fldCharType="separate"/>
      </w:r>
      <w:r w:rsidR="004E0290" w:rsidRPr="004E0290">
        <w:rPr>
          <w:rFonts w:asciiTheme="minorHAnsi" w:hAnsiTheme="minorHAnsi" w:cstheme="minorHAnsi"/>
          <w:sz w:val="22"/>
          <w:szCs w:val="22"/>
        </w:rPr>
        <w:t xml:space="preserve">Figure </w:t>
      </w:r>
      <w:r w:rsidR="004E0290" w:rsidRPr="004E0290">
        <w:rPr>
          <w:rFonts w:asciiTheme="minorHAnsi" w:hAnsiTheme="minorHAnsi" w:cstheme="minorHAnsi"/>
          <w:noProof/>
          <w:sz w:val="22"/>
          <w:szCs w:val="22"/>
        </w:rPr>
        <w:t>1</w:t>
      </w:r>
      <w:r w:rsidR="004E0290" w:rsidRPr="004E0290">
        <w:rPr>
          <w:rFonts w:asciiTheme="minorHAnsi" w:eastAsia="MS PGothic" w:hAnsiTheme="minorHAnsi" w:cstheme="minorHAnsi"/>
          <w:color w:val="000000"/>
          <w:sz w:val="22"/>
          <w:szCs w:val="22"/>
          <w:lang w:val="en-US"/>
        </w:rPr>
        <w:fldChar w:fldCharType="end"/>
      </w:r>
      <w:r w:rsidR="004E0290" w:rsidRPr="004E0290">
        <w:rPr>
          <w:rFonts w:asciiTheme="minorHAnsi" w:eastAsia="MS PGothic" w:hAnsiTheme="minorHAnsi" w:cstheme="minorHAnsi"/>
          <w:color w:val="000000"/>
          <w:sz w:val="22"/>
          <w:szCs w:val="22"/>
          <w:lang w:val="en-US"/>
        </w:rPr>
        <w:t xml:space="preserve"> </w:t>
      </w:r>
      <w:r w:rsidR="004E0290" w:rsidRPr="004E0290">
        <w:rPr>
          <w:rFonts w:asciiTheme="minorHAnsi" w:eastAsia="MS PGothic" w:hAnsiTheme="minorHAnsi" w:cstheme="minorHAnsi"/>
          <w:color w:val="000000"/>
          <w:sz w:val="22"/>
          <w:szCs w:val="22"/>
          <w:lang w:val="en-US"/>
        </w:rPr>
        <w:fldChar w:fldCharType="begin"/>
      </w:r>
      <w:r w:rsidR="004E0290" w:rsidRPr="004E0290">
        <w:rPr>
          <w:rFonts w:asciiTheme="minorHAnsi" w:eastAsia="MS PGothic" w:hAnsiTheme="minorHAnsi" w:cstheme="minorHAnsi"/>
          <w:color w:val="000000"/>
          <w:sz w:val="22"/>
          <w:szCs w:val="22"/>
          <w:lang w:val="en-US"/>
        </w:rPr>
        <w:instrText xml:space="preserve"> REF _Ref6835446 \p \h  \* MERGEFORMAT </w:instrText>
      </w:r>
      <w:r w:rsidR="004E0290" w:rsidRPr="004E0290">
        <w:rPr>
          <w:rFonts w:asciiTheme="minorHAnsi" w:eastAsia="MS PGothic" w:hAnsiTheme="minorHAnsi" w:cstheme="minorHAnsi"/>
          <w:color w:val="000000"/>
          <w:sz w:val="22"/>
          <w:szCs w:val="22"/>
          <w:lang w:val="en-US"/>
        </w:rPr>
      </w:r>
      <w:r w:rsidR="004E0290" w:rsidRPr="004E0290">
        <w:rPr>
          <w:rFonts w:asciiTheme="minorHAnsi" w:eastAsia="MS PGothic" w:hAnsiTheme="minorHAnsi" w:cstheme="minorHAnsi"/>
          <w:color w:val="000000"/>
          <w:sz w:val="22"/>
          <w:szCs w:val="22"/>
          <w:lang w:val="en-US"/>
        </w:rPr>
        <w:fldChar w:fldCharType="separate"/>
      </w:r>
      <w:r w:rsidR="004E0290" w:rsidRPr="004E0290">
        <w:rPr>
          <w:rFonts w:asciiTheme="minorHAnsi" w:eastAsia="MS PGothic" w:hAnsiTheme="minorHAnsi" w:cstheme="minorHAnsi"/>
          <w:color w:val="000000"/>
          <w:sz w:val="22"/>
          <w:szCs w:val="22"/>
          <w:lang w:val="en-US"/>
        </w:rPr>
        <w:t>below</w:t>
      </w:r>
      <w:r w:rsidR="004E0290" w:rsidRPr="004E0290">
        <w:rPr>
          <w:rFonts w:asciiTheme="minorHAnsi" w:eastAsia="MS PGothic" w:hAnsiTheme="minorHAnsi" w:cstheme="minorHAnsi"/>
          <w:color w:val="000000"/>
          <w:sz w:val="22"/>
          <w:szCs w:val="22"/>
          <w:lang w:val="en-US"/>
        </w:rPr>
        <w:fldChar w:fldCharType="end"/>
      </w:r>
      <w:r w:rsidR="004E0290">
        <w:rPr>
          <w:rFonts w:asciiTheme="minorHAnsi" w:eastAsia="MS PGothic" w:hAnsiTheme="minorHAnsi" w:cstheme="minorHAnsi"/>
          <w:color w:val="000000"/>
          <w:sz w:val="22"/>
          <w:szCs w:val="22"/>
          <w:lang w:val="en-US"/>
        </w:rPr>
        <w:t xml:space="preserve">, </w:t>
      </w:r>
      <w:r w:rsidR="00B20FFB">
        <w:rPr>
          <w:rFonts w:asciiTheme="minorHAnsi" w:eastAsia="MS PGothic" w:hAnsiTheme="minorHAnsi" w:cstheme="minorHAnsi"/>
          <w:color w:val="000000"/>
          <w:sz w:val="22"/>
          <w:szCs w:val="22"/>
          <w:lang w:val="en-US"/>
        </w:rPr>
        <w:t xml:space="preserve">this design permitted the continuous mixing and settling of two immiscible liquids. The mixing region used a Continuous stirred tank bioreactor (CSTR) while the settling region was an insert. </w:t>
      </w:r>
      <w:r w:rsidR="006D50F7">
        <w:rPr>
          <w:rFonts w:asciiTheme="minorHAnsi" w:eastAsia="MS PGothic" w:hAnsiTheme="minorHAnsi" w:cstheme="minorHAnsi"/>
          <w:color w:val="000000"/>
          <w:sz w:val="22"/>
          <w:szCs w:val="22"/>
          <w:lang w:val="en-US"/>
        </w:rPr>
        <w:t xml:space="preserve">As an exemplary </w:t>
      </w:r>
      <w:r w:rsidR="00F511CD">
        <w:rPr>
          <w:rFonts w:asciiTheme="minorHAnsi" w:eastAsia="MS PGothic" w:hAnsiTheme="minorHAnsi" w:cstheme="minorHAnsi"/>
          <w:color w:val="000000"/>
          <w:sz w:val="22"/>
          <w:szCs w:val="22"/>
          <w:lang w:val="en-US"/>
        </w:rPr>
        <w:t>two-phase</w:t>
      </w:r>
      <w:r w:rsidR="006D50F7">
        <w:rPr>
          <w:rFonts w:asciiTheme="minorHAnsi" w:eastAsia="MS PGothic" w:hAnsiTheme="minorHAnsi" w:cstheme="minorHAnsi"/>
          <w:color w:val="000000"/>
          <w:sz w:val="22"/>
          <w:szCs w:val="22"/>
          <w:lang w:val="en-US"/>
        </w:rPr>
        <w:t xml:space="preserve"> system, </w:t>
      </w:r>
      <w:r w:rsidR="00B20FFB">
        <w:rPr>
          <w:rFonts w:asciiTheme="minorHAnsi" w:eastAsia="MS PGothic" w:hAnsiTheme="minorHAnsi" w:cstheme="minorHAnsi"/>
          <w:color w:val="000000"/>
          <w:sz w:val="22"/>
          <w:szCs w:val="22"/>
          <w:lang w:val="en-US"/>
        </w:rPr>
        <w:t xml:space="preserve">10 </w:t>
      </w:r>
      <w:proofErr w:type="spellStart"/>
      <w:r w:rsidR="00B20FFB">
        <w:rPr>
          <w:rFonts w:asciiTheme="minorHAnsi" w:eastAsia="MS PGothic" w:hAnsiTheme="minorHAnsi" w:cstheme="minorHAnsi"/>
          <w:color w:val="000000"/>
          <w:sz w:val="22"/>
          <w:szCs w:val="22"/>
          <w:lang w:val="en-US"/>
        </w:rPr>
        <w:t>wt</w:t>
      </w:r>
      <w:proofErr w:type="spellEnd"/>
      <w:r w:rsidR="00B20FFB">
        <w:rPr>
          <w:rFonts w:asciiTheme="minorHAnsi" w:eastAsia="MS PGothic" w:hAnsiTheme="minorHAnsi" w:cstheme="minorHAnsi"/>
          <w:color w:val="000000"/>
          <w:sz w:val="22"/>
          <w:szCs w:val="22"/>
          <w:lang w:val="en-US"/>
        </w:rPr>
        <w:t>% of polyethylene glycol (PEG</w:t>
      </w:r>
      <w:r w:rsidR="00F511CD">
        <w:rPr>
          <w:rFonts w:asciiTheme="minorHAnsi" w:eastAsia="MS PGothic" w:hAnsiTheme="minorHAnsi" w:cstheme="minorHAnsi"/>
          <w:color w:val="000000"/>
          <w:sz w:val="22"/>
          <w:szCs w:val="22"/>
          <w:lang w:val="en-US"/>
        </w:rPr>
        <w:t>-8000</w:t>
      </w:r>
      <w:r w:rsidR="00B20FFB">
        <w:rPr>
          <w:rFonts w:asciiTheme="minorHAnsi" w:eastAsia="MS PGothic" w:hAnsiTheme="minorHAnsi" w:cstheme="minorHAnsi"/>
          <w:color w:val="000000"/>
          <w:sz w:val="22"/>
          <w:szCs w:val="22"/>
          <w:lang w:val="en-US"/>
        </w:rPr>
        <w:t xml:space="preserve">) and 10wt% potassium phosphate </w:t>
      </w:r>
      <w:r w:rsidR="006D50F7">
        <w:rPr>
          <w:rFonts w:asciiTheme="minorHAnsi" w:eastAsia="MS PGothic" w:hAnsiTheme="minorHAnsi" w:cstheme="minorHAnsi"/>
          <w:color w:val="000000"/>
          <w:sz w:val="22"/>
          <w:szCs w:val="22"/>
          <w:lang w:val="en-US"/>
        </w:rPr>
        <w:t xml:space="preserve">solutions </w:t>
      </w:r>
      <w:r w:rsidR="00B20FFB">
        <w:rPr>
          <w:rFonts w:asciiTheme="minorHAnsi" w:eastAsia="MS PGothic" w:hAnsiTheme="minorHAnsi" w:cstheme="minorHAnsi"/>
          <w:color w:val="000000"/>
          <w:sz w:val="22"/>
          <w:szCs w:val="22"/>
          <w:lang w:val="en-US"/>
        </w:rPr>
        <w:t xml:space="preserve">where added to the system of deionized water and stirred continuously. The addition of </w:t>
      </w:r>
      <w:r w:rsidR="00B20FFB" w:rsidRPr="00B20FFB">
        <w:rPr>
          <w:rFonts w:asciiTheme="minorHAnsi" w:hAnsiTheme="minorHAnsi" w:cstheme="minorHAnsi"/>
          <w:sz w:val="22"/>
          <w:szCs w:val="22"/>
        </w:rPr>
        <w:t xml:space="preserve">New </w:t>
      </w:r>
      <w:proofErr w:type="spellStart"/>
      <w:r w:rsidR="00B20FFB" w:rsidRPr="00B20FFB">
        <w:rPr>
          <w:rFonts w:asciiTheme="minorHAnsi" w:hAnsiTheme="minorHAnsi" w:cstheme="minorHAnsi"/>
          <w:sz w:val="22"/>
          <w:szCs w:val="22"/>
        </w:rPr>
        <w:t>Coccine</w:t>
      </w:r>
      <w:proofErr w:type="spellEnd"/>
      <w:r w:rsidR="00B20FFB" w:rsidRPr="00B20FFB">
        <w:rPr>
          <w:rFonts w:asciiTheme="minorHAnsi" w:hAnsiTheme="minorHAnsi" w:cstheme="minorHAnsi"/>
          <w:sz w:val="22"/>
          <w:szCs w:val="22"/>
        </w:rPr>
        <w:t xml:space="preserve"> dye</w:t>
      </w:r>
      <w:r w:rsidR="00B20FFB">
        <w:rPr>
          <w:rFonts w:asciiTheme="minorHAnsi" w:hAnsiTheme="minorHAnsi" w:cstheme="minorHAnsi"/>
          <w:sz w:val="22"/>
          <w:szCs w:val="22"/>
        </w:rPr>
        <w:t xml:space="preserve"> to the mixture permit</w:t>
      </w:r>
      <w:r w:rsidR="006D50F7">
        <w:rPr>
          <w:rFonts w:asciiTheme="minorHAnsi" w:hAnsiTheme="minorHAnsi" w:cstheme="minorHAnsi"/>
          <w:sz w:val="22"/>
          <w:szCs w:val="22"/>
        </w:rPr>
        <w:t>s</w:t>
      </w:r>
      <w:r w:rsidR="00B20FFB">
        <w:rPr>
          <w:rFonts w:asciiTheme="minorHAnsi" w:hAnsiTheme="minorHAnsi" w:cstheme="minorHAnsi"/>
          <w:sz w:val="22"/>
          <w:szCs w:val="22"/>
        </w:rPr>
        <w:t xml:space="preserve"> the reco</w:t>
      </w:r>
      <w:r w:rsidR="008553B4">
        <w:rPr>
          <w:rFonts w:asciiTheme="minorHAnsi" w:hAnsiTheme="minorHAnsi" w:cstheme="minorHAnsi"/>
          <w:sz w:val="22"/>
          <w:szCs w:val="22"/>
        </w:rPr>
        <w:t>rding of the separation profile of the liquids w</w:t>
      </w:r>
      <w:r w:rsidR="005C2480">
        <w:rPr>
          <w:rFonts w:asciiTheme="minorHAnsi" w:hAnsiTheme="minorHAnsi" w:cstheme="minorHAnsi"/>
          <w:sz w:val="22"/>
          <w:szCs w:val="22"/>
        </w:rPr>
        <w:t>hich was based on settling heights of the top and the bottom phase</w:t>
      </w:r>
      <w:r w:rsidR="00F511CD">
        <w:rPr>
          <w:rFonts w:asciiTheme="minorHAnsi" w:hAnsiTheme="minorHAnsi" w:cstheme="minorHAnsi"/>
          <w:sz w:val="22"/>
          <w:szCs w:val="22"/>
        </w:rPr>
        <w:t xml:space="preserve">s </w:t>
      </w:r>
      <w:r w:rsidR="005C2480">
        <w:rPr>
          <w:rFonts w:asciiTheme="minorHAnsi" w:hAnsiTheme="minorHAnsi" w:cstheme="minorHAnsi"/>
          <w:sz w:val="22"/>
          <w:szCs w:val="22"/>
        </w:rPr>
        <w:t>with respect to time.</w:t>
      </w:r>
    </w:p>
    <w:p w14:paraId="373B7ACA" w14:textId="257A0C0B" w:rsidR="00B20FFB" w:rsidRDefault="008553B4" w:rsidP="00AE2747">
      <w:pPr>
        <w:snapToGrid w:val="0"/>
        <w:rPr>
          <w:rFonts w:asciiTheme="minorHAnsi" w:eastAsia="MS PGothic" w:hAnsiTheme="minorHAnsi" w:cstheme="minorHAnsi"/>
          <w:color w:val="000000"/>
          <w:sz w:val="22"/>
          <w:szCs w:val="22"/>
          <w:lang w:val="en-US"/>
        </w:rPr>
      </w:pPr>
      <w:r>
        <w:rPr>
          <w:rFonts w:asciiTheme="minorHAnsi" w:hAnsiTheme="minorHAnsi" w:cstheme="minorHAnsi"/>
          <w:sz w:val="22"/>
          <w:szCs w:val="22"/>
        </w:rPr>
        <w:t xml:space="preserve">Tracer solutions of 0.1M NaCl salt was used that permitted </w:t>
      </w:r>
      <w:r w:rsidR="006D50F7">
        <w:rPr>
          <w:rFonts w:asciiTheme="minorHAnsi" w:hAnsiTheme="minorHAnsi" w:cstheme="minorHAnsi"/>
          <w:sz w:val="22"/>
          <w:szCs w:val="22"/>
        </w:rPr>
        <w:t>the validation and parameter fitting of a</w:t>
      </w:r>
      <w:r>
        <w:rPr>
          <w:rFonts w:asciiTheme="minorHAnsi" w:hAnsiTheme="minorHAnsi" w:cstheme="minorHAnsi"/>
          <w:sz w:val="22"/>
          <w:szCs w:val="22"/>
        </w:rPr>
        <w:t xml:space="preserve"> mathematical model </w:t>
      </w:r>
      <w:r w:rsidR="006D50F7">
        <w:rPr>
          <w:rFonts w:asciiTheme="minorHAnsi" w:hAnsiTheme="minorHAnsi" w:cstheme="minorHAnsi"/>
          <w:sz w:val="22"/>
          <w:szCs w:val="22"/>
        </w:rPr>
        <w:t xml:space="preserve">derived </w:t>
      </w:r>
      <w:r>
        <w:rPr>
          <w:rFonts w:asciiTheme="minorHAnsi" w:hAnsiTheme="minorHAnsi" w:cstheme="minorHAnsi"/>
          <w:sz w:val="22"/>
          <w:szCs w:val="22"/>
        </w:rPr>
        <w:t xml:space="preserve">to obtain the mass transfer and </w:t>
      </w:r>
      <w:r w:rsidR="006D50F7">
        <w:rPr>
          <w:rFonts w:asciiTheme="minorHAnsi" w:hAnsiTheme="minorHAnsi" w:cstheme="minorHAnsi"/>
          <w:sz w:val="22"/>
          <w:szCs w:val="22"/>
        </w:rPr>
        <w:t>inter-compartmental flux values</w:t>
      </w:r>
      <w:r>
        <w:rPr>
          <w:rFonts w:asciiTheme="minorHAnsi" w:hAnsiTheme="minorHAnsi" w:cstheme="minorHAnsi"/>
          <w:sz w:val="22"/>
          <w:szCs w:val="22"/>
        </w:rPr>
        <w:t xml:space="preserve">. Also, a mixing time studies was done using this tracer solution to understand the homogeneity of the systems. </w:t>
      </w:r>
      <w:r w:rsidR="00E84885">
        <w:rPr>
          <w:rFonts w:asciiTheme="minorHAnsi" w:hAnsiTheme="minorHAnsi" w:cstheme="minorHAnsi"/>
          <w:sz w:val="22"/>
          <w:szCs w:val="22"/>
        </w:rPr>
        <w:t>All experiments were done in triplicates for errors minimization.</w:t>
      </w:r>
    </w:p>
    <w:p w14:paraId="2C9FEF12" w14:textId="4240B159" w:rsidR="002D1738" w:rsidRDefault="00741FBD" w:rsidP="005849FA">
      <w:pPr>
        <w:snapToGrid w:val="0"/>
        <w:jc w:val="center"/>
      </w:pPr>
      <w:r w:rsidRPr="005849FA">
        <w:rPr>
          <w:rFonts w:asciiTheme="minorHAnsi" w:hAnsiTheme="minorHAnsi" w:cstheme="minorHAnsi"/>
          <w:noProof/>
          <w:szCs w:val="18"/>
          <w:lang w:val="en-ZA" w:eastAsia="en-ZA"/>
        </w:rPr>
        <w:lastRenderedPageBreak/>
        <w:drawing>
          <wp:inline distT="0" distB="0" distL="0" distR="0" wp14:anchorId="754C624E" wp14:editId="111A4D24">
            <wp:extent cx="2316041" cy="1578544"/>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01" cy="1616889"/>
                    </a:xfrm>
                    <a:prstGeom prst="rect">
                      <a:avLst/>
                    </a:prstGeom>
                    <a:noFill/>
                  </pic:spPr>
                </pic:pic>
              </a:graphicData>
            </a:graphic>
          </wp:inline>
        </w:drawing>
      </w:r>
    </w:p>
    <w:p w14:paraId="0EA35497" w14:textId="14738B16" w:rsidR="006F52A8" w:rsidRPr="00B24568" w:rsidRDefault="002D1738" w:rsidP="003C6F3F">
      <w:pPr>
        <w:pStyle w:val="Caption"/>
        <w:jc w:val="center"/>
        <w:rPr>
          <w:rFonts w:asciiTheme="minorHAnsi" w:eastAsia="MS PGothic" w:hAnsiTheme="minorHAnsi"/>
          <w:color w:val="auto"/>
          <w:sz w:val="22"/>
          <w:szCs w:val="22"/>
          <w:lang w:val="en-US"/>
        </w:rPr>
      </w:pPr>
      <w:r w:rsidRPr="00014E19">
        <w:rPr>
          <w:color w:val="auto"/>
        </w:rPr>
        <w:t xml:space="preserve">Figure </w:t>
      </w:r>
      <w:r w:rsidRPr="00014E19">
        <w:rPr>
          <w:color w:val="auto"/>
        </w:rPr>
        <w:fldChar w:fldCharType="begin"/>
      </w:r>
      <w:r w:rsidRPr="00014E19">
        <w:rPr>
          <w:color w:val="auto"/>
        </w:rPr>
        <w:instrText xml:space="preserve"> SEQ Figure \* ARABIC </w:instrText>
      </w:r>
      <w:r w:rsidRPr="00014E19">
        <w:rPr>
          <w:color w:val="auto"/>
        </w:rPr>
        <w:fldChar w:fldCharType="separate"/>
      </w:r>
      <w:r w:rsidRPr="00014E19">
        <w:rPr>
          <w:noProof/>
          <w:color w:val="auto"/>
        </w:rPr>
        <w:t>1</w:t>
      </w:r>
      <w:r w:rsidRPr="00014E19">
        <w:rPr>
          <w:color w:val="auto"/>
        </w:rPr>
        <w:fldChar w:fldCharType="end"/>
      </w:r>
      <w:bookmarkStart w:id="0" w:name="_Ref6835446"/>
      <w:r w:rsidR="004E0290" w:rsidRPr="00014E19">
        <w:rPr>
          <w:color w:val="auto"/>
        </w:rPr>
        <w:t xml:space="preserve">: A </w:t>
      </w:r>
      <w:r w:rsidR="00014E19">
        <w:rPr>
          <w:color w:val="auto"/>
        </w:rPr>
        <w:t>S</w:t>
      </w:r>
      <w:r w:rsidR="004E0290" w:rsidRPr="00014E19">
        <w:rPr>
          <w:color w:val="auto"/>
        </w:rPr>
        <w:t>emi-</w:t>
      </w:r>
      <w:r w:rsidR="00014E19">
        <w:rPr>
          <w:color w:val="auto"/>
        </w:rPr>
        <w:t>P</w:t>
      </w:r>
      <w:r w:rsidR="004E0290" w:rsidRPr="00014E19">
        <w:rPr>
          <w:color w:val="auto"/>
        </w:rPr>
        <w:t xml:space="preserve">artitioning </w:t>
      </w:r>
      <w:r w:rsidR="004E0290" w:rsidRPr="00B24568">
        <w:rPr>
          <w:color w:val="auto"/>
        </w:rPr>
        <w:t>Bioreactor</w:t>
      </w:r>
      <w:bookmarkEnd w:id="0"/>
      <w:r>
        <w:rPr>
          <w:color w:val="auto"/>
        </w:rPr>
        <w:t xml:space="preserve"> </w:t>
      </w:r>
      <w:r w:rsidR="00014E19">
        <w:rPr>
          <w:color w:val="auto"/>
        </w:rPr>
        <w:t>Diagram</w:t>
      </w:r>
      <w:r>
        <w:rPr>
          <w:color w:val="auto"/>
        </w:rPr>
        <w:t xml:space="preserve">, 1- </w:t>
      </w:r>
      <w:r w:rsidR="00014E19">
        <w:rPr>
          <w:color w:val="auto"/>
        </w:rPr>
        <w:t>CSTR (</w:t>
      </w:r>
      <w:r>
        <w:rPr>
          <w:color w:val="auto"/>
        </w:rPr>
        <w:t>Mix</w:t>
      </w:r>
      <w:r w:rsidR="00014E19">
        <w:rPr>
          <w:color w:val="auto"/>
        </w:rPr>
        <w:t>er)</w:t>
      </w:r>
      <w:r>
        <w:rPr>
          <w:color w:val="auto"/>
        </w:rPr>
        <w:t xml:space="preserve"> and 2- </w:t>
      </w:r>
      <w:r w:rsidR="00014E19">
        <w:rPr>
          <w:color w:val="auto"/>
        </w:rPr>
        <w:t>Inserted tube (settler)</w:t>
      </w:r>
      <w:r>
        <w:rPr>
          <w:color w:val="auto"/>
        </w:rPr>
        <w:t xml:space="preserve"> </w:t>
      </w:r>
    </w:p>
    <w:p w14:paraId="2AF0F089" w14:textId="77777777" w:rsidR="00704BDF" w:rsidRPr="008D0BEB" w:rsidRDefault="00704BDF" w:rsidP="003C6F3F">
      <w:pPr>
        <w:snapToGrid w:val="0"/>
        <w:spacing w:before="24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78487CC6" w14:textId="65AED04A" w:rsidR="00C26C02" w:rsidRPr="00C76585" w:rsidRDefault="00F511CD" w:rsidP="00C26C02">
      <w:pPr>
        <w:tabs>
          <w:tab w:val="clear" w:pos="7100"/>
        </w:tabs>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w:t>
      </w:r>
      <w:r w:rsidR="00B24568" w:rsidRPr="00B24568">
        <w:rPr>
          <w:rFonts w:asciiTheme="minorHAnsi" w:eastAsia="MS PGothic" w:hAnsiTheme="minorHAnsi" w:cstheme="minorHAnsi"/>
          <w:color w:val="000000"/>
          <w:sz w:val="22"/>
          <w:szCs w:val="22"/>
          <w:lang w:val="en-US"/>
        </w:rPr>
        <w:fldChar w:fldCharType="begin"/>
      </w:r>
      <w:r w:rsidR="00B24568" w:rsidRPr="00B24568">
        <w:rPr>
          <w:rFonts w:asciiTheme="minorHAnsi" w:eastAsia="MS PGothic" w:hAnsiTheme="minorHAnsi" w:cstheme="minorHAnsi"/>
          <w:color w:val="000000"/>
          <w:sz w:val="22"/>
          <w:szCs w:val="22"/>
          <w:lang w:val="en-US"/>
        </w:rPr>
        <w:instrText xml:space="preserve"> REF _Ref6840962 \h  \* MERGEFORMAT </w:instrText>
      </w:r>
      <w:r w:rsidR="00B24568" w:rsidRPr="00B24568">
        <w:rPr>
          <w:rFonts w:asciiTheme="minorHAnsi" w:eastAsia="MS PGothic" w:hAnsiTheme="minorHAnsi" w:cstheme="minorHAnsi"/>
          <w:color w:val="000000"/>
          <w:sz w:val="22"/>
          <w:szCs w:val="22"/>
          <w:lang w:val="en-US"/>
        </w:rPr>
      </w:r>
      <w:r w:rsidR="00B24568" w:rsidRPr="00B24568">
        <w:rPr>
          <w:rFonts w:asciiTheme="minorHAnsi" w:eastAsia="MS PGothic" w:hAnsiTheme="minorHAnsi" w:cstheme="minorHAnsi"/>
          <w:color w:val="000000"/>
          <w:sz w:val="22"/>
          <w:szCs w:val="22"/>
          <w:lang w:val="en-US"/>
        </w:rPr>
        <w:fldChar w:fldCharType="separate"/>
      </w:r>
      <w:r w:rsidR="00B24568" w:rsidRPr="00B24568">
        <w:rPr>
          <w:rFonts w:asciiTheme="minorHAnsi" w:hAnsiTheme="minorHAnsi" w:cstheme="minorHAnsi"/>
          <w:sz w:val="22"/>
          <w:szCs w:val="22"/>
        </w:rPr>
        <w:t xml:space="preserve">Figure </w:t>
      </w:r>
      <w:r w:rsidR="00B24568" w:rsidRPr="00B24568">
        <w:rPr>
          <w:rFonts w:asciiTheme="minorHAnsi" w:hAnsiTheme="minorHAnsi" w:cstheme="minorHAnsi"/>
          <w:noProof/>
          <w:sz w:val="22"/>
          <w:szCs w:val="22"/>
        </w:rPr>
        <w:t>2</w:t>
      </w:r>
      <w:r w:rsidR="00B24568" w:rsidRPr="00B24568">
        <w:rPr>
          <w:rFonts w:asciiTheme="minorHAnsi" w:eastAsia="MS PGothic" w:hAnsiTheme="minorHAnsi" w:cstheme="minorHAnsi"/>
          <w:color w:val="000000"/>
          <w:sz w:val="22"/>
          <w:szCs w:val="22"/>
          <w:lang w:val="en-US"/>
        </w:rPr>
        <w:fldChar w:fldCharType="end"/>
      </w:r>
      <w:r w:rsidR="00B24568" w:rsidRPr="00B24568">
        <w:rPr>
          <w:rFonts w:asciiTheme="minorHAnsi" w:eastAsia="MS PGothic" w:hAnsiTheme="minorHAnsi" w:cstheme="minorHAnsi"/>
          <w:color w:val="000000"/>
          <w:sz w:val="22"/>
          <w:szCs w:val="22"/>
          <w:lang w:val="en-US"/>
        </w:rPr>
        <w:t xml:space="preserve"> </w:t>
      </w:r>
      <w:r w:rsidR="00B24568" w:rsidRPr="00B24568">
        <w:rPr>
          <w:rFonts w:asciiTheme="minorHAnsi" w:eastAsia="MS PGothic" w:hAnsiTheme="minorHAnsi" w:cstheme="minorHAnsi"/>
          <w:color w:val="000000"/>
          <w:sz w:val="22"/>
          <w:szCs w:val="22"/>
          <w:lang w:val="en-US"/>
        </w:rPr>
        <w:fldChar w:fldCharType="begin"/>
      </w:r>
      <w:r w:rsidR="00B24568" w:rsidRPr="00B24568">
        <w:rPr>
          <w:rFonts w:asciiTheme="minorHAnsi" w:eastAsia="MS PGothic" w:hAnsiTheme="minorHAnsi" w:cstheme="minorHAnsi"/>
          <w:color w:val="000000"/>
          <w:sz w:val="22"/>
          <w:szCs w:val="22"/>
          <w:lang w:val="en-US"/>
        </w:rPr>
        <w:instrText xml:space="preserve"> REF _Ref6840970 \p \h  \* MERGEFORMAT </w:instrText>
      </w:r>
      <w:r w:rsidR="00B24568" w:rsidRPr="00B24568">
        <w:rPr>
          <w:rFonts w:asciiTheme="minorHAnsi" w:eastAsia="MS PGothic" w:hAnsiTheme="minorHAnsi" w:cstheme="minorHAnsi"/>
          <w:color w:val="000000"/>
          <w:sz w:val="22"/>
          <w:szCs w:val="22"/>
          <w:lang w:val="en-US"/>
        </w:rPr>
      </w:r>
      <w:r w:rsidR="00B24568" w:rsidRPr="00B24568">
        <w:rPr>
          <w:rFonts w:asciiTheme="minorHAnsi" w:eastAsia="MS PGothic" w:hAnsiTheme="minorHAnsi" w:cstheme="minorHAnsi"/>
          <w:color w:val="000000"/>
          <w:sz w:val="22"/>
          <w:szCs w:val="22"/>
          <w:lang w:val="en-US"/>
        </w:rPr>
        <w:fldChar w:fldCharType="separate"/>
      </w:r>
      <w:r w:rsidR="00B24568" w:rsidRPr="00B24568">
        <w:rPr>
          <w:rFonts w:asciiTheme="minorHAnsi" w:eastAsia="MS PGothic" w:hAnsiTheme="minorHAnsi" w:cstheme="minorHAnsi"/>
          <w:color w:val="000000"/>
          <w:sz w:val="22"/>
          <w:szCs w:val="22"/>
          <w:lang w:val="en-US"/>
        </w:rPr>
        <w:t>below</w:t>
      </w:r>
      <w:r w:rsidR="00B24568" w:rsidRPr="00B24568">
        <w:rPr>
          <w:rFonts w:asciiTheme="minorHAnsi" w:eastAsia="MS PGothic" w:hAnsiTheme="minorHAnsi" w:cstheme="minorHAnsi"/>
          <w:color w:val="000000"/>
          <w:sz w:val="22"/>
          <w:szCs w:val="22"/>
          <w:lang w:val="en-US"/>
        </w:rPr>
        <w:fldChar w:fldCharType="end"/>
      </w:r>
      <w:r w:rsidR="001448BA">
        <w:rPr>
          <w:rFonts w:asciiTheme="minorHAnsi" w:eastAsia="MS PGothic" w:hAnsiTheme="minorHAnsi"/>
          <w:color w:val="000000"/>
          <w:sz w:val="22"/>
          <w:szCs w:val="22"/>
          <w:lang w:val="en-US"/>
        </w:rPr>
        <w:t>, 2(A) demonstrate a mixing and settl</w:t>
      </w:r>
      <w:r>
        <w:rPr>
          <w:rFonts w:asciiTheme="minorHAnsi" w:eastAsia="MS PGothic" w:hAnsiTheme="minorHAnsi"/>
          <w:color w:val="000000"/>
          <w:sz w:val="22"/>
          <w:szCs w:val="22"/>
          <w:lang w:val="en-US"/>
        </w:rPr>
        <w:t>ing c</w:t>
      </w:r>
      <w:r w:rsidR="001448BA">
        <w:rPr>
          <w:rFonts w:asciiTheme="minorHAnsi" w:eastAsia="MS PGothic" w:hAnsiTheme="minorHAnsi"/>
          <w:color w:val="000000"/>
          <w:sz w:val="22"/>
          <w:szCs w:val="22"/>
          <w:lang w:val="en-US"/>
        </w:rPr>
        <w:t xml:space="preserve">apacity of the </w:t>
      </w:r>
      <w:r>
        <w:rPr>
          <w:rFonts w:asciiTheme="minorHAnsi" w:eastAsia="MS PGothic" w:hAnsiTheme="minorHAnsi"/>
          <w:color w:val="000000"/>
          <w:sz w:val="22"/>
          <w:szCs w:val="22"/>
          <w:lang w:val="en-US"/>
        </w:rPr>
        <w:t xml:space="preserve">designed </w:t>
      </w:r>
      <w:r w:rsidR="001448BA">
        <w:rPr>
          <w:rFonts w:asciiTheme="minorHAnsi" w:eastAsia="MS PGothic" w:hAnsiTheme="minorHAnsi"/>
          <w:color w:val="000000"/>
          <w:sz w:val="22"/>
          <w:szCs w:val="22"/>
          <w:lang w:val="en-US"/>
        </w:rPr>
        <w:t>bioreactor</w:t>
      </w:r>
      <w:r>
        <w:rPr>
          <w:rFonts w:asciiTheme="minorHAnsi" w:eastAsia="MS PGothic" w:hAnsiTheme="minorHAnsi"/>
          <w:color w:val="000000"/>
          <w:sz w:val="22"/>
          <w:szCs w:val="22"/>
          <w:lang w:val="en-US"/>
        </w:rPr>
        <w:t xml:space="preserve"> which is in line with other works o</w:t>
      </w:r>
      <w:r w:rsidR="006E418E">
        <w:rPr>
          <w:rFonts w:asciiTheme="minorHAnsi" w:eastAsia="MS PGothic" w:hAnsiTheme="minorHAnsi"/>
          <w:color w:val="000000"/>
          <w:sz w:val="22"/>
          <w:szCs w:val="22"/>
          <w:lang w:val="en-US"/>
        </w:rPr>
        <w:t xml:space="preserve">n phase separation </w:t>
      </w:r>
      <w:r w:rsidR="00CA66F5">
        <w:rPr>
          <w:rFonts w:asciiTheme="minorHAnsi" w:eastAsia="MS PGothic" w:hAnsiTheme="minorHAnsi"/>
          <w:color w:val="000000"/>
          <w:sz w:val="22"/>
          <w:szCs w:val="22"/>
          <w:lang w:val="en-US"/>
        </w:rPr>
        <w:fldChar w:fldCharType="begin" w:fldLock="1"/>
      </w:r>
      <w:r w:rsidR="005849FA">
        <w:rPr>
          <w:rFonts w:asciiTheme="minorHAnsi" w:eastAsia="MS PGothic" w:hAnsiTheme="minorHAnsi"/>
          <w:color w:val="000000"/>
          <w:sz w:val="22"/>
          <w:szCs w:val="22"/>
          <w:lang w:val="en-US"/>
        </w:rPr>
        <w:instrText>ADDIN CSL_CITATION {"citationItems":[{"id":"ITEM-1","itemData":{"author":[{"dropping-particle":"","family":"Barnea","given":"E.","non-dropping-particle":"","parse-names":false,"suffix":""},{"dropping-particle":"","family":"Mizrahi","given":"J.","non-dropping-particle":"","parse-names":false,"suffix":""}],"container-title":"Trans. Inst. Chem. Eng.","id":"ITEM-1","issued":{"date-parts":[["1975"]]},"page":"83-92","title":"Separation mechanism of Liquid-Liquid Dispersions in a deep-Layer Gravity Settler: Part IV - Continuous Settler Characteristics.","type":"article-journal","volume":"53"},"uris":["http://www.mendeley.com/documents/?uuid=ae5afab1-6767-4e21-bd69-e46edc9a3db4"]},{"id":"ITEM-2","itemData":{"DOI":"10.1002/bit.10273","author":[{"dropping-particle":"","family":"Asenjo","given":"J A","non-dropping-particle":"","parse-names":false,"suffix":""},{"dropping-particle":"","family":"Mistry","given":"S L","non-dropping-particle":"","parse-names":false,"suffix":""},{"dropping-particle":"","family":"Andrews","given":"B A","non-dropping-particle":"","parse-names":false,"suffix":""},{"dropping-particle":"","family":"Merchuk","given":"J C","non-dropping-particle":"","parse-names":false,"suffix":""}],"id":"ITEM-2","issued":{"date-parts":[["2002"]]},"title":"Phase Separation Rates of Aqueous Two-Phase Systems : Correlation with System Properties","type":"article-journal"},"uris":["http://www.mendeley.com/documents/?uuid=267ae20f-6af9-4e05-9053-3aeb29d1d6aa"]},{"id":"ITEM-3","itemData":{"author":[{"dropping-particle":"","family":"Golob","given":"J.","non-dropping-particle":"","parse-names":false,"suffix":""},{"dropping-particle":"","family":"Modic","given":"R.","non-dropping-particle":"","parse-names":false,"suffix":""}],"container-title":"Trans. Inst. Chem. Eng.","id":"ITEM-3","issued":{"date-parts":[["1977"]]},"page":"207-211","title":"Coalescence of liquid/liquid in dispersions in Gravity Settler","type":"article-journal","volume":"55"},"uris":["http://www.mendeley.com/documents/?uuid=02971448-51fe-4e7c-ad2b-dd73b98f64b7"]}],"mendeley":{"formattedCitation":"[5]–[7]","plainTextFormattedCitation":"[5]–[7]","previouslyFormattedCitation":"[6]–[8]"},"properties":{"noteIndex":0},"schema":"https://github.com/citation-style-language/schema/raw/master/csl-citation.json"}</w:instrText>
      </w:r>
      <w:r w:rsidR="00CA66F5">
        <w:rPr>
          <w:rFonts w:asciiTheme="minorHAnsi" w:eastAsia="MS PGothic" w:hAnsiTheme="minorHAnsi"/>
          <w:color w:val="000000"/>
          <w:sz w:val="22"/>
          <w:szCs w:val="22"/>
          <w:lang w:val="en-US"/>
        </w:rPr>
        <w:fldChar w:fldCharType="separate"/>
      </w:r>
      <w:r w:rsidR="005849FA" w:rsidRPr="005849FA">
        <w:rPr>
          <w:rFonts w:asciiTheme="minorHAnsi" w:eastAsia="MS PGothic" w:hAnsiTheme="minorHAnsi"/>
          <w:noProof/>
          <w:color w:val="000000"/>
          <w:sz w:val="22"/>
          <w:szCs w:val="22"/>
          <w:lang w:val="en-US"/>
        </w:rPr>
        <w:t>[5]–[7]</w:t>
      </w:r>
      <w:r w:rsidR="00CA66F5">
        <w:rPr>
          <w:rFonts w:asciiTheme="minorHAnsi" w:eastAsia="MS PGothic" w:hAnsiTheme="minorHAnsi"/>
          <w:color w:val="000000"/>
          <w:sz w:val="22"/>
          <w:szCs w:val="22"/>
          <w:lang w:val="en-US"/>
        </w:rPr>
        <w:fldChar w:fldCharType="end"/>
      </w:r>
      <w:r w:rsidR="001448BA">
        <w:rPr>
          <w:rFonts w:asciiTheme="minorHAnsi" w:eastAsia="MS PGothic" w:hAnsiTheme="minorHAnsi"/>
          <w:color w:val="000000"/>
          <w:sz w:val="22"/>
          <w:szCs w:val="22"/>
          <w:lang w:val="en-US"/>
        </w:rPr>
        <w:t xml:space="preserve">. </w:t>
      </w:r>
      <w:r w:rsidR="009505CA">
        <w:rPr>
          <w:rFonts w:asciiTheme="minorHAnsi" w:eastAsia="MS PGothic" w:hAnsiTheme="minorHAnsi"/>
          <w:color w:val="000000"/>
          <w:sz w:val="22"/>
          <w:szCs w:val="22"/>
          <w:lang w:val="en-US"/>
        </w:rPr>
        <w:t xml:space="preserve">These previous studies demonstrate a </w:t>
      </w:r>
      <w:r w:rsidR="006E418E">
        <w:rPr>
          <w:rFonts w:asciiTheme="minorHAnsi" w:eastAsia="MS PGothic" w:hAnsiTheme="minorHAnsi"/>
          <w:color w:val="000000"/>
          <w:sz w:val="22"/>
          <w:szCs w:val="22"/>
          <w:lang w:val="en-US"/>
        </w:rPr>
        <w:t xml:space="preserve">phase boundary after settling </w:t>
      </w:r>
      <w:r w:rsidR="00490932">
        <w:rPr>
          <w:rFonts w:asciiTheme="minorHAnsi" w:eastAsia="MS PGothic" w:hAnsiTheme="minorHAnsi"/>
          <w:color w:val="000000"/>
          <w:sz w:val="22"/>
          <w:szCs w:val="22"/>
          <w:lang w:val="en-US"/>
        </w:rPr>
        <w:t>which is not</w:t>
      </w:r>
      <w:r w:rsidR="009505CA">
        <w:rPr>
          <w:rFonts w:asciiTheme="minorHAnsi" w:eastAsia="MS PGothic" w:hAnsiTheme="minorHAnsi"/>
          <w:color w:val="000000"/>
          <w:sz w:val="22"/>
          <w:szCs w:val="22"/>
          <w:lang w:val="en-US"/>
        </w:rPr>
        <w:t xml:space="preserve"> </w:t>
      </w:r>
      <w:r w:rsidR="00490932">
        <w:rPr>
          <w:rFonts w:asciiTheme="minorHAnsi" w:eastAsia="MS PGothic" w:hAnsiTheme="minorHAnsi"/>
          <w:color w:val="000000"/>
          <w:sz w:val="22"/>
          <w:szCs w:val="22"/>
          <w:lang w:val="en-US"/>
        </w:rPr>
        <w:t xml:space="preserve">our case because </w:t>
      </w:r>
      <w:r w:rsidR="006E418E">
        <w:rPr>
          <w:rFonts w:asciiTheme="minorHAnsi" w:eastAsia="MS PGothic" w:hAnsiTheme="minorHAnsi"/>
          <w:color w:val="000000"/>
          <w:sz w:val="22"/>
          <w:szCs w:val="22"/>
          <w:lang w:val="en-US"/>
        </w:rPr>
        <w:t xml:space="preserve">the driving force of the impellers into </w:t>
      </w:r>
      <w:r w:rsidR="009505CA">
        <w:rPr>
          <w:rFonts w:asciiTheme="minorHAnsi" w:eastAsia="MS PGothic" w:hAnsiTheme="minorHAnsi"/>
          <w:color w:val="000000"/>
          <w:sz w:val="22"/>
          <w:szCs w:val="22"/>
          <w:lang w:val="en-US"/>
        </w:rPr>
        <w:t>the</w:t>
      </w:r>
      <w:r w:rsidR="006E418E">
        <w:rPr>
          <w:rFonts w:asciiTheme="minorHAnsi" w:eastAsia="MS PGothic" w:hAnsiTheme="minorHAnsi"/>
          <w:color w:val="000000"/>
          <w:sz w:val="22"/>
          <w:szCs w:val="22"/>
          <w:lang w:val="en-US"/>
        </w:rPr>
        <w:t xml:space="preserve"> settler still </w:t>
      </w:r>
      <w:r w:rsidR="00490932">
        <w:rPr>
          <w:rFonts w:asciiTheme="minorHAnsi" w:eastAsia="MS PGothic" w:hAnsiTheme="minorHAnsi"/>
          <w:color w:val="000000"/>
          <w:sz w:val="22"/>
          <w:szCs w:val="22"/>
          <w:lang w:val="en-US"/>
        </w:rPr>
        <w:t xml:space="preserve">permits </w:t>
      </w:r>
      <w:r w:rsidR="006E418E">
        <w:rPr>
          <w:rFonts w:asciiTheme="minorHAnsi" w:eastAsia="MS PGothic" w:hAnsiTheme="minorHAnsi"/>
          <w:color w:val="000000"/>
          <w:sz w:val="22"/>
          <w:szCs w:val="22"/>
          <w:lang w:val="en-US"/>
        </w:rPr>
        <w:t>some mixing</w:t>
      </w:r>
      <w:r w:rsidR="00014E19">
        <w:rPr>
          <w:rFonts w:asciiTheme="minorHAnsi" w:eastAsia="MS PGothic" w:hAnsiTheme="minorHAnsi"/>
          <w:color w:val="000000"/>
          <w:sz w:val="22"/>
          <w:szCs w:val="22"/>
          <w:lang w:val="en-US"/>
        </w:rPr>
        <w:t xml:space="preserve"> as </w:t>
      </w:r>
      <w:r w:rsidR="006E418E">
        <w:rPr>
          <w:rFonts w:asciiTheme="minorHAnsi" w:eastAsia="MS PGothic" w:hAnsiTheme="minorHAnsi"/>
          <w:color w:val="000000"/>
          <w:sz w:val="22"/>
          <w:szCs w:val="22"/>
          <w:lang w:val="en-US"/>
        </w:rPr>
        <w:t>demonstrat</w:t>
      </w:r>
      <w:r w:rsidR="00014E19">
        <w:rPr>
          <w:rFonts w:asciiTheme="minorHAnsi" w:eastAsia="MS PGothic" w:hAnsiTheme="minorHAnsi"/>
          <w:color w:val="000000"/>
          <w:sz w:val="22"/>
          <w:szCs w:val="22"/>
          <w:lang w:val="en-US"/>
        </w:rPr>
        <w:t xml:space="preserve">ed by </w:t>
      </w:r>
      <w:r w:rsidR="00490932" w:rsidRPr="005849FA">
        <w:rPr>
          <w:rFonts w:asciiTheme="minorHAnsi" w:eastAsia="MS PGothic" w:hAnsiTheme="minorHAnsi"/>
          <w:color w:val="000000"/>
          <w:sz w:val="22"/>
          <w:szCs w:val="22"/>
          <w:lang w:val="en-US"/>
        </w:rPr>
        <w:t>S</w:t>
      </w:r>
      <w:r w:rsidR="00490932">
        <w:rPr>
          <w:rFonts w:asciiTheme="minorHAnsi" w:eastAsia="MS PGothic" w:hAnsiTheme="minorHAnsi"/>
          <w:b/>
          <w:color w:val="000000"/>
          <w:sz w:val="22"/>
          <w:szCs w:val="22"/>
          <w:lang w:val="en-US"/>
        </w:rPr>
        <w:t xml:space="preserve"> </w:t>
      </w:r>
      <w:r w:rsidR="00014E19" w:rsidRPr="00014E19">
        <w:rPr>
          <w:rFonts w:asciiTheme="minorHAnsi" w:eastAsia="MS PGothic" w:hAnsiTheme="minorHAnsi"/>
          <w:color w:val="000000"/>
          <w:sz w:val="22"/>
          <w:szCs w:val="22"/>
          <w:lang w:val="en-US"/>
        </w:rPr>
        <w:t>(</w:t>
      </w:r>
      <w:r w:rsidR="00490932" w:rsidRPr="00014E19">
        <w:rPr>
          <w:rFonts w:asciiTheme="minorHAnsi" w:eastAsia="MS PGothic" w:hAnsiTheme="minorHAnsi"/>
          <w:color w:val="000000"/>
          <w:sz w:val="22"/>
          <w:szCs w:val="22"/>
          <w:lang w:val="en-US"/>
        </w:rPr>
        <w:t>figure</w:t>
      </w:r>
      <w:r w:rsidR="00490932">
        <w:rPr>
          <w:rFonts w:asciiTheme="minorHAnsi" w:eastAsia="MS PGothic" w:hAnsiTheme="minorHAnsi"/>
          <w:color w:val="000000"/>
          <w:sz w:val="22"/>
          <w:szCs w:val="22"/>
          <w:lang w:val="en-US"/>
        </w:rPr>
        <w:t xml:space="preserve"> 2A</w:t>
      </w:r>
      <w:r w:rsidR="00137DF6">
        <w:rPr>
          <w:rFonts w:asciiTheme="minorHAnsi" w:eastAsia="MS PGothic" w:hAnsiTheme="minorHAnsi"/>
          <w:color w:val="000000"/>
          <w:sz w:val="22"/>
          <w:szCs w:val="22"/>
          <w:lang w:val="en-US"/>
        </w:rPr>
        <w:t>). This</w:t>
      </w:r>
      <w:r w:rsidR="009505CA">
        <w:rPr>
          <w:rFonts w:asciiTheme="minorHAnsi" w:eastAsia="MS PGothic" w:hAnsiTheme="minorHAnsi"/>
          <w:color w:val="000000"/>
          <w:sz w:val="22"/>
          <w:szCs w:val="22"/>
          <w:lang w:val="en-US"/>
        </w:rPr>
        <w:t xml:space="preserve"> </w:t>
      </w:r>
      <w:r w:rsidR="00490932">
        <w:rPr>
          <w:rFonts w:asciiTheme="minorHAnsi" w:eastAsia="MS PGothic" w:hAnsiTheme="minorHAnsi"/>
          <w:color w:val="000000"/>
          <w:sz w:val="22"/>
          <w:szCs w:val="22"/>
          <w:lang w:val="en-US"/>
        </w:rPr>
        <w:t xml:space="preserve">indicates the possibility of a continual mixing, settling, </w:t>
      </w:r>
      <w:r w:rsidR="00137DF6">
        <w:rPr>
          <w:rFonts w:asciiTheme="minorHAnsi" w:eastAsia="MS PGothic" w:hAnsiTheme="minorHAnsi"/>
          <w:color w:val="000000"/>
          <w:sz w:val="22"/>
          <w:szCs w:val="22"/>
          <w:lang w:val="en-US"/>
        </w:rPr>
        <w:t xml:space="preserve">potential substrate addition, cell or organic phase recycling, </w:t>
      </w:r>
      <w:r w:rsidR="009505CA">
        <w:rPr>
          <w:rFonts w:asciiTheme="minorHAnsi" w:eastAsia="MS PGothic" w:hAnsiTheme="minorHAnsi"/>
          <w:color w:val="000000"/>
          <w:sz w:val="22"/>
          <w:szCs w:val="22"/>
          <w:lang w:val="en-US"/>
        </w:rPr>
        <w:t>and</w:t>
      </w:r>
      <w:r w:rsidR="00137DF6">
        <w:rPr>
          <w:rFonts w:asciiTheme="minorHAnsi" w:eastAsia="MS PGothic" w:hAnsiTheme="minorHAnsi"/>
          <w:color w:val="000000"/>
          <w:sz w:val="22"/>
          <w:szCs w:val="22"/>
          <w:lang w:val="en-US"/>
        </w:rPr>
        <w:t xml:space="preserve"> a possibility of product/ by-product removal from the top organic phase there by reducing production cost. </w:t>
      </w:r>
      <w:r w:rsidR="00C26C02">
        <w:rPr>
          <w:rFonts w:asciiTheme="minorHAnsi" w:eastAsia="MS PGothic" w:hAnsiTheme="minorHAnsi"/>
          <w:color w:val="000000"/>
          <w:sz w:val="22"/>
          <w:szCs w:val="22"/>
          <w:lang w:val="en-US"/>
        </w:rPr>
        <w:t>2(B) demonstrated a perfectly fitted model that</w:t>
      </w:r>
      <w:r w:rsidR="00137DF6">
        <w:rPr>
          <w:rFonts w:asciiTheme="minorHAnsi" w:eastAsia="MS PGothic" w:hAnsiTheme="minorHAnsi"/>
          <w:color w:val="000000"/>
          <w:sz w:val="22"/>
          <w:szCs w:val="22"/>
          <w:lang w:val="en-US"/>
        </w:rPr>
        <w:t xml:space="preserve"> </w:t>
      </w:r>
      <w:r w:rsidR="00C26C02">
        <w:rPr>
          <w:rFonts w:asciiTheme="minorHAnsi" w:eastAsia="MS PGothic" w:hAnsiTheme="minorHAnsi"/>
          <w:color w:val="000000"/>
          <w:sz w:val="22"/>
          <w:szCs w:val="22"/>
          <w:lang w:val="en-US"/>
        </w:rPr>
        <w:t>generates</w:t>
      </w:r>
      <w:r w:rsidR="00C76585">
        <w:rPr>
          <w:rFonts w:asciiTheme="minorHAnsi" w:eastAsia="MS PGothic" w:hAnsiTheme="minorHAnsi"/>
          <w:color w:val="000000"/>
          <w:sz w:val="22"/>
          <w:szCs w:val="22"/>
          <w:lang w:val="en-US"/>
        </w:rPr>
        <w:t xml:space="preserve"> a </w:t>
      </w:r>
      <w:r w:rsidR="00C76585" w:rsidRPr="00C26C02">
        <w:rPr>
          <w:rFonts w:asciiTheme="minorHAnsi" w:eastAsia="MS PGothic" w:hAnsiTheme="minorHAnsi" w:cstheme="minorHAnsi"/>
          <w:color w:val="000000"/>
          <w:sz w:val="22"/>
          <w:szCs w:val="22"/>
          <w:lang w:val="en-US"/>
        </w:rPr>
        <w:t xml:space="preserve">0.005 </w:t>
      </w:r>
      <m:oMath>
        <m:r>
          <w:rPr>
            <w:rFonts w:ascii="Cambria Math" w:eastAsiaTheme="minorEastAsia" w:hAnsi="Cambria Math" w:cstheme="minorHAnsi"/>
            <w:color w:val="000000" w:themeColor="text1"/>
            <w:kern w:val="24"/>
            <w:sz w:val="22"/>
            <w:szCs w:val="22"/>
            <w:lang w:val="en-ZA" w:eastAsia="en-ZA"/>
          </w:rPr>
          <m:t>l</m:t>
        </m:r>
        <m:sSup>
          <m:sSupPr>
            <m:ctrlPr>
              <w:rPr>
                <w:rFonts w:ascii="Cambria Math" w:eastAsiaTheme="minorEastAsia" w:hAnsi="Cambria Math" w:cstheme="minorHAnsi"/>
                <w:i/>
                <w:iCs/>
                <w:color w:val="000000" w:themeColor="text1"/>
                <w:kern w:val="24"/>
                <w:sz w:val="22"/>
                <w:szCs w:val="22"/>
                <w:lang w:val="en-ZA" w:eastAsia="en-ZA"/>
              </w:rPr>
            </m:ctrlPr>
          </m:sSupPr>
          <m:e>
            <m:r>
              <m:rPr>
                <m:sty m:val="p"/>
              </m:rPr>
              <w:rPr>
                <w:rFonts w:ascii="Cambria Math" w:eastAsiaTheme="minorEastAsia" w:hAnsi="Cambria Math" w:cstheme="minorHAnsi"/>
                <w:color w:val="000000" w:themeColor="text1"/>
                <w:kern w:val="24"/>
                <w:sz w:val="22"/>
                <w:szCs w:val="22"/>
                <w:lang w:val="en-ZA" w:eastAsia="en-ZA"/>
              </w:rPr>
              <m:t>(sec</m:t>
            </m:r>
            <m:r>
              <w:rPr>
                <w:rFonts w:ascii="Cambria Math" w:eastAsiaTheme="minorEastAsia" w:hAnsi="Cambria Math" w:cstheme="minorHAnsi"/>
                <w:color w:val="000000" w:themeColor="text1"/>
                <w:kern w:val="24"/>
                <w:sz w:val="22"/>
                <w:szCs w:val="22"/>
                <w:lang w:val="en-ZA" w:eastAsia="en-ZA"/>
              </w:rPr>
              <m:t>⁡)</m:t>
            </m:r>
          </m:e>
          <m:sup>
            <m:r>
              <w:rPr>
                <w:rFonts w:ascii="Cambria Math" w:eastAsiaTheme="minorEastAsia" w:hAnsi="Cambria Math" w:cstheme="minorHAnsi"/>
                <w:color w:val="000000" w:themeColor="text1"/>
                <w:kern w:val="24"/>
                <w:sz w:val="22"/>
                <w:szCs w:val="22"/>
                <w:lang w:val="en-ZA" w:eastAsia="en-ZA"/>
              </w:rPr>
              <m:t>-1</m:t>
            </m:r>
          </m:sup>
        </m:sSup>
      </m:oMath>
      <w:r w:rsidR="00C76585">
        <w:rPr>
          <w:rFonts w:asciiTheme="minorHAnsi" w:eastAsia="MS PGothic" w:hAnsiTheme="minorHAnsi"/>
          <w:color w:val="000000"/>
          <w:sz w:val="22"/>
          <w:szCs w:val="22"/>
          <w:lang w:val="en-US"/>
        </w:rPr>
        <w:t xml:space="preserve"> and </w:t>
      </w:r>
      <m:oMath>
        <m:r>
          <m:rPr>
            <m:sty m:val="p"/>
          </m:rPr>
          <w:rPr>
            <w:rFonts w:ascii="Cambria Math" w:eastAsiaTheme="minorEastAsia" w:hAnsi="Cambria Math" w:cstheme="minorHAnsi"/>
            <w:color w:val="000000" w:themeColor="text1"/>
            <w:kern w:val="24"/>
            <w:sz w:val="22"/>
            <w:szCs w:val="22"/>
            <w:lang w:val="en-ZA" w:eastAsia="en-ZA"/>
          </w:rPr>
          <m:t>1.53 </m:t>
        </m:r>
        <m:r>
          <w:rPr>
            <w:rFonts w:ascii="Cambria Math" w:eastAsiaTheme="minorEastAsia" w:hAnsi="Cambria Math" w:cstheme="minorHAnsi"/>
            <w:color w:val="000000" w:themeColor="text1"/>
            <w:kern w:val="24"/>
            <w:sz w:val="22"/>
            <w:szCs w:val="22"/>
            <w:lang w:val="en-ZA" w:eastAsia="en-ZA"/>
          </w:rPr>
          <m:t>l</m:t>
        </m:r>
        <m:sSup>
          <m:sSupPr>
            <m:ctrlPr>
              <w:rPr>
                <w:rFonts w:ascii="Cambria Math" w:eastAsiaTheme="minorEastAsia" w:hAnsi="Cambria Math" w:cstheme="minorHAnsi"/>
                <w:i/>
                <w:iCs/>
                <w:color w:val="000000" w:themeColor="text1"/>
                <w:kern w:val="24"/>
                <w:sz w:val="22"/>
                <w:szCs w:val="22"/>
                <w:lang w:val="en-ZA" w:eastAsia="en-ZA"/>
              </w:rPr>
            </m:ctrlPr>
          </m:sSupPr>
          <m:e>
            <m:r>
              <w:rPr>
                <w:rFonts w:ascii="Cambria Math" w:eastAsiaTheme="minorEastAsia" w:hAnsi="Cambria Math" w:cstheme="minorHAnsi"/>
                <w:color w:val="000000" w:themeColor="text1"/>
                <w:kern w:val="24"/>
                <w:sz w:val="22"/>
                <w:szCs w:val="22"/>
                <w:lang w:val="en-ZA" w:eastAsia="en-ZA"/>
              </w:rPr>
              <m:t>m</m:t>
            </m:r>
          </m:e>
          <m:sup>
            <m:r>
              <w:rPr>
                <w:rFonts w:ascii="Cambria Math" w:eastAsiaTheme="minorEastAsia" w:hAnsi="Cambria Math" w:cstheme="minorHAnsi"/>
                <w:color w:val="000000" w:themeColor="text1"/>
                <w:kern w:val="24"/>
                <w:sz w:val="22"/>
                <w:szCs w:val="22"/>
                <w:lang w:val="en-ZA" w:eastAsia="en-ZA"/>
              </w:rPr>
              <m:t>-2</m:t>
            </m:r>
          </m:sup>
        </m:sSup>
        <m:sSup>
          <m:sSupPr>
            <m:ctrlPr>
              <w:rPr>
                <w:rFonts w:ascii="Cambria Math" w:eastAsiaTheme="minorEastAsia" w:hAnsi="Cambria Math" w:cstheme="minorHAnsi"/>
                <w:i/>
                <w:iCs/>
                <w:color w:val="000000" w:themeColor="text1"/>
                <w:kern w:val="24"/>
                <w:sz w:val="22"/>
                <w:szCs w:val="22"/>
                <w:lang w:val="en-ZA" w:eastAsia="en-ZA"/>
              </w:rPr>
            </m:ctrlPr>
          </m:sSupPr>
          <m:e>
            <m:r>
              <m:rPr>
                <m:sty m:val="p"/>
              </m:rPr>
              <w:rPr>
                <w:rFonts w:ascii="Cambria Math" w:eastAsiaTheme="minorEastAsia" w:hAnsi="Cambria Math" w:cstheme="minorHAnsi"/>
                <w:color w:val="000000" w:themeColor="text1"/>
                <w:kern w:val="24"/>
                <w:sz w:val="22"/>
                <w:szCs w:val="22"/>
                <w:lang w:val="en-ZA" w:eastAsia="en-ZA"/>
              </w:rPr>
              <m:t>(sec</m:t>
            </m:r>
            <m:r>
              <w:rPr>
                <w:rFonts w:ascii="Cambria Math" w:eastAsiaTheme="minorEastAsia" w:hAnsi="Cambria Math" w:cstheme="minorHAnsi"/>
                <w:color w:val="000000" w:themeColor="text1"/>
                <w:kern w:val="24"/>
                <w:sz w:val="22"/>
                <w:szCs w:val="22"/>
                <w:lang w:val="en-ZA" w:eastAsia="en-ZA"/>
              </w:rPr>
              <m:t>⁡)</m:t>
            </m:r>
          </m:e>
          <m:sup>
            <m:r>
              <w:rPr>
                <w:rFonts w:ascii="Cambria Math" w:eastAsiaTheme="minorEastAsia" w:hAnsi="Cambria Math" w:cstheme="minorHAnsi"/>
                <w:color w:val="000000" w:themeColor="text1"/>
                <w:kern w:val="24"/>
                <w:sz w:val="22"/>
                <w:szCs w:val="22"/>
                <w:lang w:val="en-ZA" w:eastAsia="en-ZA"/>
              </w:rPr>
              <m:t>-1</m:t>
            </m:r>
          </m:sup>
        </m:sSup>
        <m:r>
          <w:rPr>
            <w:rFonts w:ascii="Cambria Math" w:eastAsiaTheme="minorEastAsia" w:hAnsi="Cambria Math" w:cstheme="minorHAnsi"/>
            <w:color w:val="000000" w:themeColor="text1"/>
            <w:kern w:val="24"/>
            <w:sz w:val="22"/>
            <w:szCs w:val="22"/>
            <w:lang w:val="en-ZA" w:eastAsia="en-ZA"/>
          </w:rPr>
          <m:t xml:space="preserve"> </m:t>
        </m:r>
      </m:oMath>
      <w:r w:rsidR="00C76585">
        <w:rPr>
          <w:rFonts w:asciiTheme="minorHAnsi" w:eastAsia="MS PGothic" w:hAnsiTheme="minorHAnsi"/>
          <w:iCs/>
          <w:color w:val="000000" w:themeColor="text1"/>
          <w:kern w:val="24"/>
          <w:sz w:val="22"/>
          <w:szCs w:val="22"/>
          <w:lang w:val="en-ZA" w:eastAsia="en-ZA"/>
        </w:rPr>
        <w:t xml:space="preserve">of flowrate and mass transfer </w:t>
      </w:r>
      <m:oMath>
        <m:sSub>
          <m:sSubPr>
            <m:ctrlPr>
              <w:rPr>
                <w:rFonts w:ascii="Cambria Math" w:eastAsiaTheme="minorEastAsia" w:hAnsi="Cambria Math" w:cstheme="minorHAnsi"/>
                <w:i/>
                <w:iCs/>
                <w:color w:val="000000" w:themeColor="text1"/>
                <w:kern w:val="24"/>
                <w:sz w:val="22"/>
                <w:szCs w:val="22"/>
                <w:lang w:val="en-ZA" w:eastAsia="en-ZA"/>
              </w:rPr>
            </m:ctrlPr>
          </m:sSubPr>
          <m:e>
            <m:r>
              <m:rPr>
                <m:sty m:val="p"/>
              </m:rPr>
              <w:rPr>
                <w:rFonts w:ascii="Cambria Math" w:eastAsiaTheme="minorEastAsia" w:hAnsi="Cambria Math" w:cstheme="minorHAnsi"/>
                <w:color w:val="000000" w:themeColor="text1"/>
                <w:kern w:val="24"/>
                <w:sz w:val="22"/>
                <w:szCs w:val="22"/>
                <w:lang w:val="en-ZA" w:eastAsia="en-ZA"/>
              </w:rPr>
              <m:t>(K</m:t>
            </m:r>
          </m:e>
          <m:sub>
            <m:r>
              <m:rPr>
                <m:sty m:val="p"/>
              </m:rPr>
              <w:rPr>
                <w:rFonts w:ascii="Cambria Math" w:eastAsiaTheme="minorEastAsia" w:hAnsi="Cambria Math" w:cstheme="minorHAnsi"/>
                <w:color w:val="000000" w:themeColor="text1"/>
                <w:kern w:val="24"/>
                <w:sz w:val="22"/>
                <w:szCs w:val="22"/>
                <w:lang w:val="en-ZA" w:eastAsia="en-ZA"/>
              </w:rPr>
              <m:t>L</m:t>
            </m:r>
          </m:sub>
        </m:sSub>
        <m:r>
          <m:rPr>
            <m:sty m:val="p"/>
          </m:rPr>
          <w:rPr>
            <w:rFonts w:ascii="Cambria Math" w:eastAsiaTheme="minorEastAsia" w:hAnsi="Cambria Math" w:cstheme="minorHAnsi"/>
            <w:color w:val="000000" w:themeColor="text1"/>
            <w:kern w:val="24"/>
            <w:sz w:val="22"/>
            <w:szCs w:val="22"/>
            <w:lang w:val="en-ZA" w:eastAsia="en-ZA"/>
          </w:rPr>
          <m:t xml:space="preserve">) </m:t>
        </m:r>
      </m:oMath>
      <w:r w:rsidR="00C76585">
        <w:rPr>
          <w:rFonts w:asciiTheme="minorHAnsi" w:eastAsia="MS PGothic" w:hAnsiTheme="minorHAnsi" w:cstheme="minorHAnsi"/>
          <w:iCs/>
          <w:color w:val="000000" w:themeColor="text1"/>
          <w:kern w:val="24"/>
          <w:sz w:val="22"/>
          <w:szCs w:val="22"/>
          <w:lang w:val="en-ZA" w:eastAsia="en-ZA"/>
        </w:rPr>
        <w:t xml:space="preserve">values respectively of the system </w:t>
      </w:r>
      <w:r w:rsidR="00C76585">
        <w:rPr>
          <w:rFonts w:asciiTheme="minorHAnsi" w:eastAsia="MS PGothic" w:hAnsiTheme="minorHAnsi"/>
          <w:color w:val="000000"/>
          <w:sz w:val="22"/>
          <w:szCs w:val="22"/>
          <w:lang w:val="en-US"/>
        </w:rPr>
        <w:t>(Semi-partitioning bioreactor) after triplicate runs.</w:t>
      </w:r>
      <w:r w:rsidR="00C26C02">
        <w:rPr>
          <w:rFonts w:asciiTheme="minorHAnsi" w:eastAsia="MS PGothic" w:hAnsiTheme="minorHAnsi" w:cstheme="minorHAnsi"/>
          <w:iCs/>
          <w:color w:val="000000" w:themeColor="text1"/>
          <w:kern w:val="24"/>
          <w:sz w:val="22"/>
          <w:szCs w:val="22"/>
          <w:lang w:val="en-ZA" w:eastAsia="en-ZA"/>
        </w:rPr>
        <w:t xml:space="preserve"> </w:t>
      </w:r>
      <w:r w:rsidR="00AF13C9">
        <w:rPr>
          <w:rFonts w:asciiTheme="minorHAnsi" w:eastAsia="MS PGothic" w:hAnsiTheme="minorHAnsi" w:cstheme="minorHAnsi"/>
          <w:iCs/>
          <w:color w:val="000000" w:themeColor="text1"/>
          <w:kern w:val="24"/>
          <w:sz w:val="22"/>
          <w:szCs w:val="22"/>
          <w:lang w:val="en-ZA" w:eastAsia="en-ZA"/>
        </w:rPr>
        <w:t xml:space="preserve">This high rate of exchange of materials is evident as there is a rapid homogeneity of the </w:t>
      </w:r>
      <w:r w:rsidR="00C76585">
        <w:rPr>
          <w:rFonts w:asciiTheme="minorHAnsi" w:eastAsia="MS PGothic" w:hAnsiTheme="minorHAnsi" w:cstheme="minorHAnsi"/>
          <w:iCs/>
          <w:color w:val="000000" w:themeColor="text1"/>
          <w:kern w:val="24"/>
          <w:sz w:val="22"/>
          <w:szCs w:val="22"/>
          <w:lang w:val="en-ZA" w:eastAsia="en-ZA"/>
        </w:rPr>
        <w:t xml:space="preserve">system as shown in the mixing time </w:t>
      </w:r>
      <w:r w:rsidR="00BC0B51">
        <w:rPr>
          <w:rFonts w:asciiTheme="minorHAnsi" w:eastAsia="MS PGothic" w:hAnsiTheme="minorHAnsi" w:cstheme="minorHAnsi"/>
          <w:iCs/>
          <w:color w:val="000000" w:themeColor="text1"/>
          <w:kern w:val="24"/>
          <w:sz w:val="22"/>
          <w:szCs w:val="22"/>
          <w:lang w:val="en-ZA" w:eastAsia="en-ZA"/>
        </w:rPr>
        <w:t>(</w:t>
      </w:r>
      <m:oMath>
        <m:sSub>
          <m:sSubPr>
            <m:ctrlPr>
              <w:rPr>
                <w:rFonts w:ascii="Cambria Math" w:eastAsiaTheme="minorEastAsia" w:hAnsi="Cambria Math" w:cstheme="minorHAnsi"/>
                <w:i/>
                <w:iCs/>
                <w:color w:val="000000" w:themeColor="text1"/>
                <w:kern w:val="24"/>
                <w:sz w:val="22"/>
                <w:szCs w:val="22"/>
                <w:lang w:val="en-ZA" w:eastAsia="en-ZA"/>
              </w:rPr>
            </m:ctrlPr>
          </m:sSubPr>
          <m:e>
            <m:r>
              <m:rPr>
                <m:sty m:val="p"/>
              </m:rPr>
              <w:rPr>
                <w:rFonts w:ascii="Cambria Math" w:eastAsiaTheme="minorEastAsia" w:hAnsi="Cambria Math" w:cstheme="minorHAnsi"/>
                <w:color w:val="000000" w:themeColor="text1"/>
                <w:kern w:val="24"/>
                <w:sz w:val="22"/>
                <w:szCs w:val="22"/>
                <w:lang w:val="en-ZA" w:eastAsia="en-ZA"/>
              </w:rPr>
              <m:t>t</m:t>
            </m:r>
          </m:e>
          <m:sub>
            <m:r>
              <m:rPr>
                <m:sty m:val="p"/>
              </m:rPr>
              <w:rPr>
                <w:rFonts w:ascii="Cambria Math" w:eastAsiaTheme="minorEastAsia" w:hAnsi="Cambria Math" w:cstheme="minorHAnsi"/>
                <w:color w:val="000000" w:themeColor="text1"/>
                <w:kern w:val="24"/>
                <w:sz w:val="22"/>
                <w:szCs w:val="22"/>
                <w:lang w:val="en-ZA" w:eastAsia="en-ZA"/>
              </w:rPr>
              <m:t>m</m:t>
            </m:r>
          </m:sub>
        </m:sSub>
      </m:oMath>
      <w:r w:rsidR="00DF3DB6">
        <w:rPr>
          <w:rFonts w:asciiTheme="minorHAnsi" w:eastAsia="MS PGothic" w:hAnsiTheme="minorHAnsi" w:cstheme="minorHAnsi"/>
          <w:iCs/>
          <w:color w:val="000000" w:themeColor="text1"/>
          <w:kern w:val="24"/>
          <w:sz w:val="22"/>
          <w:szCs w:val="22"/>
          <w:lang w:val="en-ZA" w:eastAsia="en-ZA"/>
        </w:rPr>
        <w:t xml:space="preserve">) </w:t>
      </w:r>
      <w:bookmarkStart w:id="1" w:name="_GoBack"/>
      <w:bookmarkEnd w:id="1"/>
      <w:r w:rsidR="00C76585">
        <w:rPr>
          <w:rFonts w:asciiTheme="minorHAnsi" w:eastAsia="MS PGothic" w:hAnsiTheme="minorHAnsi" w:cstheme="minorHAnsi"/>
          <w:iCs/>
          <w:color w:val="000000" w:themeColor="text1"/>
          <w:kern w:val="24"/>
          <w:sz w:val="22"/>
          <w:szCs w:val="22"/>
          <w:lang w:val="en-ZA" w:eastAsia="en-ZA"/>
        </w:rPr>
        <w:t xml:space="preserve">curves in 2(C) with  </w:t>
      </w:r>
      <m:oMath>
        <m:sSub>
          <m:sSubPr>
            <m:ctrlPr>
              <w:rPr>
                <w:rFonts w:ascii="Cambria Math" w:eastAsiaTheme="minorEastAsia" w:hAnsi="Cambria Math" w:cstheme="minorHAnsi"/>
                <w:i/>
                <w:iCs/>
                <w:color w:val="000000" w:themeColor="text1"/>
                <w:kern w:val="24"/>
                <w:sz w:val="22"/>
                <w:szCs w:val="22"/>
                <w:lang w:val="en-ZA" w:eastAsia="en-ZA"/>
              </w:rPr>
            </m:ctrlPr>
          </m:sSubPr>
          <m:e>
            <m:r>
              <m:rPr>
                <m:sty m:val="p"/>
              </m:rPr>
              <w:rPr>
                <w:rFonts w:ascii="Cambria Math" w:eastAsiaTheme="minorEastAsia" w:hAnsi="Cambria Math" w:cstheme="minorHAnsi"/>
                <w:color w:val="000000" w:themeColor="text1"/>
                <w:kern w:val="24"/>
                <w:sz w:val="22"/>
                <w:szCs w:val="22"/>
                <w:lang w:val="en-ZA" w:eastAsia="en-ZA"/>
              </w:rPr>
              <m:t>t</m:t>
            </m:r>
          </m:e>
          <m:sub>
            <m:r>
              <m:rPr>
                <m:sty m:val="p"/>
              </m:rPr>
              <w:rPr>
                <w:rFonts w:ascii="Cambria Math" w:eastAsiaTheme="minorEastAsia" w:hAnsi="Cambria Math" w:cstheme="minorHAnsi"/>
                <w:color w:val="000000" w:themeColor="text1"/>
                <w:kern w:val="24"/>
                <w:sz w:val="22"/>
                <w:szCs w:val="22"/>
                <w:lang w:val="en-ZA" w:eastAsia="en-ZA"/>
              </w:rPr>
              <m:t>m</m:t>
            </m:r>
          </m:sub>
        </m:sSub>
      </m:oMath>
      <w:r w:rsidR="00C76585">
        <w:rPr>
          <w:rFonts w:asciiTheme="minorHAnsi" w:eastAsia="MS PGothic" w:hAnsiTheme="minorHAnsi" w:cstheme="minorHAnsi"/>
          <w:iCs/>
          <w:color w:val="000000" w:themeColor="text1"/>
          <w:kern w:val="24"/>
          <w:sz w:val="22"/>
          <w:szCs w:val="22"/>
          <w:lang w:val="en-ZA" w:eastAsia="en-ZA"/>
        </w:rPr>
        <w:t xml:space="preserve"> being </w:t>
      </w:r>
      <w:r w:rsidR="00AF13C9">
        <w:rPr>
          <w:rFonts w:asciiTheme="minorHAnsi" w:eastAsia="MS PGothic" w:hAnsiTheme="minorHAnsi" w:cstheme="minorHAnsi"/>
          <w:iCs/>
          <w:color w:val="000000" w:themeColor="text1"/>
          <w:kern w:val="24"/>
          <w:sz w:val="22"/>
          <w:szCs w:val="22"/>
          <w:lang w:val="en-ZA" w:eastAsia="en-ZA"/>
        </w:rPr>
        <w:t>112 seconds and 9 seconds of the settler and mixer sections respectively.</w:t>
      </w:r>
    </w:p>
    <w:p w14:paraId="0FE7C34D" w14:textId="77777777" w:rsidR="00B24568" w:rsidRDefault="00B24568" w:rsidP="00C26C02">
      <w:pPr>
        <w:keepNext/>
        <w:snapToGrid w:val="0"/>
        <w:spacing w:after="120"/>
        <w:jc w:val="center"/>
      </w:pPr>
      <w:r>
        <w:rPr>
          <w:rFonts w:asciiTheme="minorHAnsi" w:eastAsia="MS PGothic" w:hAnsiTheme="minorHAnsi"/>
          <w:noProof/>
          <w:color w:val="000000"/>
          <w:lang w:val="en-ZA" w:eastAsia="en-ZA"/>
        </w:rPr>
        <w:drawing>
          <wp:inline distT="0" distB="0" distL="0" distR="0" wp14:anchorId="7FFF99C0" wp14:editId="0BBA6479">
            <wp:extent cx="6156960" cy="21585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7278" cy="2162175"/>
                    </a:xfrm>
                    <a:prstGeom prst="rect">
                      <a:avLst/>
                    </a:prstGeom>
                    <a:noFill/>
                  </pic:spPr>
                </pic:pic>
              </a:graphicData>
            </a:graphic>
          </wp:inline>
        </w:drawing>
      </w:r>
    </w:p>
    <w:p w14:paraId="493C0EC1" w14:textId="3940829D" w:rsidR="00704BDF" w:rsidRPr="003C6F3F" w:rsidRDefault="00B24568" w:rsidP="00AF13C9">
      <w:pPr>
        <w:pStyle w:val="Caption"/>
        <w:jc w:val="center"/>
        <w:rPr>
          <w:rFonts w:asciiTheme="minorHAnsi" w:eastAsia="MS PGothic" w:hAnsiTheme="minorHAnsi" w:cstheme="minorHAnsi"/>
          <w:color w:val="auto"/>
        </w:rPr>
      </w:pPr>
      <w:bookmarkStart w:id="2" w:name="_Ref6840962"/>
      <w:bookmarkStart w:id="3" w:name="_Ref6840970"/>
      <w:r w:rsidRPr="003C6F3F">
        <w:rPr>
          <w:rFonts w:asciiTheme="minorHAnsi" w:hAnsiTheme="minorHAnsi" w:cstheme="minorHAnsi"/>
          <w:color w:val="auto"/>
        </w:rPr>
        <w:t xml:space="preserve">Figure </w:t>
      </w:r>
      <w:r w:rsidRPr="003C6F3F">
        <w:rPr>
          <w:rFonts w:asciiTheme="minorHAnsi" w:hAnsiTheme="minorHAnsi" w:cstheme="minorHAnsi"/>
          <w:color w:val="auto"/>
        </w:rPr>
        <w:fldChar w:fldCharType="begin"/>
      </w:r>
      <w:r w:rsidRPr="003C6F3F">
        <w:rPr>
          <w:rFonts w:asciiTheme="minorHAnsi" w:hAnsiTheme="minorHAnsi" w:cstheme="minorHAnsi"/>
          <w:color w:val="auto"/>
        </w:rPr>
        <w:instrText xml:space="preserve"> SEQ Figure \* ARABIC </w:instrText>
      </w:r>
      <w:r w:rsidRPr="003C6F3F">
        <w:rPr>
          <w:rFonts w:asciiTheme="minorHAnsi" w:hAnsiTheme="minorHAnsi" w:cstheme="minorHAnsi"/>
          <w:color w:val="auto"/>
        </w:rPr>
        <w:fldChar w:fldCharType="separate"/>
      </w:r>
      <w:r w:rsidR="002D1738" w:rsidRPr="003C6F3F">
        <w:rPr>
          <w:rFonts w:asciiTheme="minorHAnsi" w:hAnsiTheme="minorHAnsi" w:cstheme="minorHAnsi"/>
          <w:noProof/>
          <w:color w:val="auto"/>
        </w:rPr>
        <w:t>3</w:t>
      </w:r>
      <w:r w:rsidRPr="003C6F3F">
        <w:rPr>
          <w:rFonts w:asciiTheme="minorHAnsi" w:hAnsiTheme="minorHAnsi" w:cstheme="minorHAnsi"/>
          <w:color w:val="auto"/>
        </w:rPr>
        <w:fldChar w:fldCharType="end"/>
      </w:r>
      <w:bookmarkEnd w:id="2"/>
      <w:r w:rsidRPr="003C6F3F">
        <w:rPr>
          <w:rFonts w:asciiTheme="minorHAnsi" w:hAnsiTheme="minorHAnsi" w:cstheme="minorHAnsi"/>
          <w:color w:val="auto"/>
        </w:rPr>
        <w:t xml:space="preserve">:A Brief result summary (A)-Separation Profile, (B)- Mathematical model for Flowrate and Mass Transfer </w:t>
      </w:r>
      <w:r w:rsidR="003C6F3F">
        <w:rPr>
          <w:rFonts w:asciiTheme="minorHAnsi" w:hAnsiTheme="minorHAnsi" w:cstheme="minorHAnsi"/>
          <w:color w:val="auto"/>
        </w:rPr>
        <w:t xml:space="preserve">obtained </w:t>
      </w:r>
      <w:r w:rsidRPr="003C6F3F">
        <w:rPr>
          <w:rFonts w:asciiTheme="minorHAnsi" w:hAnsiTheme="minorHAnsi" w:cstheme="minorHAnsi"/>
          <w:color w:val="auto"/>
        </w:rPr>
        <w:t xml:space="preserve">(C)- </w:t>
      </w:r>
      <w:r w:rsidR="003C6F3F">
        <w:rPr>
          <w:rFonts w:asciiTheme="minorHAnsi" w:hAnsiTheme="minorHAnsi" w:cstheme="minorHAnsi"/>
          <w:color w:val="auto"/>
        </w:rPr>
        <w:t xml:space="preserve">Extent of </w:t>
      </w:r>
      <w:r w:rsidR="00137DF6">
        <w:rPr>
          <w:rFonts w:asciiTheme="minorHAnsi" w:hAnsiTheme="minorHAnsi" w:cstheme="minorHAnsi"/>
          <w:color w:val="auto"/>
        </w:rPr>
        <w:t>mixing</w:t>
      </w:r>
      <w:r w:rsidR="00137DF6" w:rsidRPr="003C6F3F">
        <w:rPr>
          <w:rFonts w:asciiTheme="minorHAnsi" w:hAnsiTheme="minorHAnsi" w:cstheme="minorHAnsi"/>
          <w:color w:val="auto"/>
        </w:rPr>
        <w:t xml:space="preserve"> (</w:t>
      </w:r>
      <w:r w:rsidRPr="003C6F3F">
        <w:rPr>
          <w:rFonts w:asciiTheme="minorHAnsi" w:hAnsiTheme="minorHAnsi" w:cstheme="minorHAnsi"/>
          <w:color w:val="auto"/>
        </w:rPr>
        <w:t>Mixing time)</w:t>
      </w:r>
      <w:bookmarkEnd w:id="3"/>
      <w:r w:rsidR="00AF13C9" w:rsidRPr="003C6F3F">
        <w:rPr>
          <w:rFonts w:asciiTheme="minorHAnsi" w:hAnsiTheme="minorHAnsi" w:cstheme="minorHAnsi"/>
          <w:color w:val="auto"/>
        </w:rPr>
        <w:t xml:space="preserve">. Large volumes </w:t>
      </w:r>
      <w:r w:rsidR="003C6F3F">
        <w:rPr>
          <w:rFonts w:asciiTheme="minorHAnsi" w:hAnsiTheme="minorHAnsi" w:cstheme="minorHAnsi"/>
          <w:color w:val="auto"/>
        </w:rPr>
        <w:t xml:space="preserve">- </w:t>
      </w:r>
      <w:r w:rsidR="00AF13C9" w:rsidRPr="003C6F3F">
        <w:rPr>
          <w:rFonts w:asciiTheme="minorHAnsi" w:hAnsiTheme="minorHAnsi" w:cstheme="minorHAnsi"/>
          <w:color w:val="auto"/>
        </w:rPr>
        <w:t>mix</w:t>
      </w:r>
      <w:r w:rsidR="00137DF6">
        <w:rPr>
          <w:rFonts w:asciiTheme="minorHAnsi" w:hAnsiTheme="minorHAnsi" w:cstheme="minorHAnsi"/>
          <w:color w:val="auto"/>
        </w:rPr>
        <w:t>er</w:t>
      </w:r>
      <w:r w:rsidR="00AF13C9" w:rsidRPr="003C6F3F">
        <w:rPr>
          <w:rFonts w:asciiTheme="minorHAnsi" w:hAnsiTheme="minorHAnsi" w:cstheme="minorHAnsi"/>
          <w:color w:val="auto"/>
        </w:rPr>
        <w:t xml:space="preserve"> section while smaller volume</w:t>
      </w:r>
      <w:r w:rsidR="003C6F3F">
        <w:rPr>
          <w:rFonts w:asciiTheme="minorHAnsi" w:hAnsiTheme="minorHAnsi" w:cstheme="minorHAnsi"/>
          <w:color w:val="auto"/>
        </w:rPr>
        <w:t xml:space="preserve"> - </w:t>
      </w:r>
      <w:r w:rsidR="00AF13C9" w:rsidRPr="003C6F3F">
        <w:rPr>
          <w:rFonts w:asciiTheme="minorHAnsi" w:hAnsiTheme="minorHAnsi" w:cstheme="minorHAnsi"/>
          <w:color w:val="auto"/>
        </w:rPr>
        <w:t>settler section.</w:t>
      </w:r>
    </w:p>
    <w:p w14:paraId="200EDB4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4FF1279" w14:textId="544DDF9C" w:rsidR="00704BDF" w:rsidRPr="008D0BEB" w:rsidRDefault="00AF13C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results above have demonstrated the possibility of designing a mixer-settler bioreactor which would be </w:t>
      </w:r>
      <w:r w:rsidR="006D50F7">
        <w:rPr>
          <w:rFonts w:asciiTheme="minorHAnsi" w:eastAsia="MS PGothic" w:hAnsiTheme="minorHAnsi"/>
          <w:color w:val="000000"/>
          <w:sz w:val="22"/>
          <w:szCs w:val="22"/>
          <w:lang w:val="en-US"/>
        </w:rPr>
        <w:t>applicable for</w:t>
      </w:r>
      <w:r>
        <w:rPr>
          <w:rFonts w:asciiTheme="minorHAnsi" w:eastAsia="MS PGothic" w:hAnsiTheme="minorHAnsi"/>
          <w:color w:val="000000"/>
          <w:sz w:val="22"/>
          <w:szCs w:val="22"/>
          <w:lang w:val="en-US"/>
        </w:rPr>
        <w:t xml:space="preserve"> </w:t>
      </w:r>
      <w:r>
        <w:rPr>
          <w:rFonts w:asciiTheme="minorHAnsi" w:eastAsia="MS PGothic" w:hAnsiTheme="minorHAnsi"/>
          <w:i/>
          <w:color w:val="000000"/>
          <w:sz w:val="22"/>
          <w:szCs w:val="22"/>
          <w:lang w:val="en-US"/>
        </w:rPr>
        <w:t xml:space="preserve">in-situ </w:t>
      </w:r>
      <w:r>
        <w:rPr>
          <w:rFonts w:asciiTheme="minorHAnsi" w:eastAsia="MS PGothic" w:hAnsiTheme="minorHAnsi"/>
          <w:color w:val="000000"/>
          <w:sz w:val="22"/>
          <w:szCs w:val="22"/>
          <w:lang w:val="en-US"/>
        </w:rPr>
        <w:t xml:space="preserve">product removal. This implies there would be a continuous addition of substrate in the mixer section with a spontaneous removal of the product through settling section of the bioreactor. </w:t>
      </w:r>
      <w:r w:rsidR="006D50F7">
        <w:rPr>
          <w:rFonts w:asciiTheme="minorHAnsi" w:eastAsia="MS PGothic" w:hAnsiTheme="minorHAnsi"/>
          <w:color w:val="000000"/>
          <w:sz w:val="22"/>
          <w:szCs w:val="22"/>
          <w:lang w:val="en-US"/>
        </w:rPr>
        <w:t>A m</w:t>
      </w:r>
      <w:r>
        <w:rPr>
          <w:rFonts w:asciiTheme="minorHAnsi" w:eastAsia="MS PGothic" w:hAnsiTheme="minorHAnsi"/>
          <w:color w:val="000000"/>
          <w:sz w:val="22"/>
          <w:szCs w:val="22"/>
          <w:lang w:val="en-US"/>
        </w:rPr>
        <w:t xml:space="preserve">athematical model was generated for the system which made us better understand the </w:t>
      </w:r>
      <w:r w:rsidR="00DD2EC3">
        <w:rPr>
          <w:rFonts w:asciiTheme="minorHAnsi" w:eastAsia="MS PGothic" w:hAnsiTheme="minorHAnsi"/>
          <w:color w:val="000000"/>
          <w:sz w:val="22"/>
          <w:szCs w:val="22"/>
          <w:lang w:val="en-US"/>
        </w:rPr>
        <w:t xml:space="preserve">extent </w:t>
      </w:r>
      <w:r>
        <w:rPr>
          <w:rFonts w:asciiTheme="minorHAnsi" w:eastAsia="MS PGothic" w:hAnsiTheme="minorHAnsi"/>
          <w:color w:val="000000"/>
          <w:sz w:val="22"/>
          <w:szCs w:val="22"/>
          <w:lang w:val="en-US"/>
        </w:rPr>
        <w:t xml:space="preserve">of mixing or the fast rate of homogeneity in the system. </w:t>
      </w:r>
    </w:p>
    <w:p w14:paraId="7874AA6F" w14:textId="77777777" w:rsidR="00704BDF" w:rsidRDefault="00704BDF" w:rsidP="00510310">
      <w:pPr>
        <w:snapToGrid w:val="0"/>
        <w:spacing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5107B74F" w14:textId="7E02D5F6" w:rsidR="005849FA" w:rsidRPr="005849FA" w:rsidRDefault="00510310" w:rsidP="005849FA">
      <w:pPr>
        <w:widowControl w:val="0"/>
        <w:autoSpaceDE w:val="0"/>
        <w:autoSpaceDN w:val="0"/>
        <w:adjustRightInd w:val="0"/>
        <w:spacing w:line="240" w:lineRule="auto"/>
        <w:ind w:left="640" w:hanging="640"/>
        <w:rPr>
          <w:rFonts w:ascii="Calibri" w:hAnsi="Calibri" w:cs="Calibri"/>
          <w:noProof/>
          <w:szCs w:val="24"/>
        </w:rPr>
      </w:pPr>
      <w:r w:rsidRPr="00510310">
        <w:rPr>
          <w:rFonts w:asciiTheme="minorHAnsi" w:eastAsia="SimSun" w:hAnsiTheme="minorHAnsi"/>
          <w:b/>
          <w:bCs/>
          <w:color w:val="000000"/>
          <w:szCs w:val="18"/>
          <w:lang w:val="en-US" w:eastAsia="zh-CN"/>
        </w:rPr>
        <w:fldChar w:fldCharType="begin" w:fldLock="1"/>
      </w:r>
      <w:r w:rsidRPr="00510310">
        <w:rPr>
          <w:rFonts w:asciiTheme="minorHAnsi" w:eastAsia="SimSun" w:hAnsiTheme="minorHAnsi"/>
          <w:b/>
          <w:bCs/>
          <w:color w:val="000000"/>
          <w:szCs w:val="18"/>
          <w:lang w:val="en-US" w:eastAsia="zh-CN"/>
        </w:rPr>
        <w:instrText xml:space="preserve">ADDIN Mendeley Bibliography CSL_BIBLIOGRAPHY </w:instrText>
      </w:r>
      <w:r w:rsidRPr="00510310">
        <w:rPr>
          <w:rFonts w:asciiTheme="minorHAnsi" w:eastAsia="SimSun" w:hAnsiTheme="minorHAnsi"/>
          <w:b/>
          <w:bCs/>
          <w:color w:val="000000"/>
          <w:szCs w:val="18"/>
          <w:lang w:val="en-US" w:eastAsia="zh-CN"/>
        </w:rPr>
        <w:fldChar w:fldCharType="separate"/>
      </w:r>
      <w:r w:rsidR="005849FA" w:rsidRPr="005849FA">
        <w:rPr>
          <w:rFonts w:ascii="Calibri" w:hAnsi="Calibri" w:cs="Calibri"/>
          <w:noProof/>
          <w:szCs w:val="24"/>
        </w:rPr>
        <w:t>[1]</w:t>
      </w:r>
      <w:r w:rsidR="005849FA" w:rsidRPr="005849FA">
        <w:rPr>
          <w:rFonts w:ascii="Calibri" w:hAnsi="Calibri" w:cs="Calibri"/>
          <w:noProof/>
          <w:szCs w:val="24"/>
        </w:rPr>
        <w:tab/>
        <w:t xml:space="preserve">A. Kuila and V. Sharma, </w:t>
      </w:r>
      <w:r w:rsidR="005849FA" w:rsidRPr="005849FA">
        <w:rPr>
          <w:rFonts w:ascii="Calibri" w:hAnsi="Calibri" w:cs="Calibri"/>
          <w:i/>
          <w:iCs/>
          <w:noProof/>
          <w:szCs w:val="24"/>
        </w:rPr>
        <w:t>Principles and Applications of Fermentation Technology</w:t>
      </w:r>
      <w:r w:rsidR="005849FA" w:rsidRPr="005849FA">
        <w:rPr>
          <w:rFonts w:ascii="Calibri" w:hAnsi="Calibri" w:cs="Calibri"/>
          <w:noProof/>
          <w:szCs w:val="24"/>
        </w:rPr>
        <w:t>, First. Martin Scrivener and Phillip Carmical, 2018.</w:t>
      </w:r>
    </w:p>
    <w:p w14:paraId="301039A0" w14:textId="77777777" w:rsidR="005849FA" w:rsidRPr="005849FA" w:rsidRDefault="005849FA" w:rsidP="005849FA">
      <w:pPr>
        <w:widowControl w:val="0"/>
        <w:autoSpaceDE w:val="0"/>
        <w:autoSpaceDN w:val="0"/>
        <w:adjustRightInd w:val="0"/>
        <w:spacing w:line="240" w:lineRule="auto"/>
        <w:ind w:left="640" w:hanging="640"/>
        <w:rPr>
          <w:rFonts w:ascii="Calibri" w:hAnsi="Calibri" w:cs="Calibri"/>
          <w:noProof/>
          <w:szCs w:val="24"/>
        </w:rPr>
      </w:pPr>
      <w:r w:rsidRPr="005849FA">
        <w:rPr>
          <w:rFonts w:ascii="Calibri" w:hAnsi="Calibri" w:cs="Calibri"/>
          <w:noProof/>
          <w:szCs w:val="24"/>
        </w:rPr>
        <w:t>[2]</w:t>
      </w:r>
      <w:r w:rsidRPr="005849FA">
        <w:rPr>
          <w:rFonts w:ascii="Calibri" w:hAnsi="Calibri" w:cs="Calibri"/>
          <w:noProof/>
          <w:szCs w:val="24"/>
        </w:rPr>
        <w:tab/>
        <w:t xml:space="preserve">P. F. Stanbury, A. Whitaker, and S. J. Hall, </w:t>
      </w:r>
      <w:r w:rsidRPr="005849FA">
        <w:rPr>
          <w:rFonts w:ascii="Calibri" w:hAnsi="Calibri" w:cs="Calibri"/>
          <w:i/>
          <w:iCs/>
          <w:noProof/>
          <w:szCs w:val="24"/>
        </w:rPr>
        <w:t>Principles of fermentation technology</w:t>
      </w:r>
      <w:r w:rsidRPr="005849FA">
        <w:rPr>
          <w:rFonts w:ascii="Calibri" w:hAnsi="Calibri" w:cs="Calibri"/>
          <w:noProof/>
          <w:szCs w:val="24"/>
        </w:rPr>
        <w:t>, Third. Joe Hayton, 2017.</w:t>
      </w:r>
    </w:p>
    <w:p w14:paraId="797F867D" w14:textId="77777777" w:rsidR="005849FA" w:rsidRPr="005849FA" w:rsidRDefault="005849FA" w:rsidP="005849FA">
      <w:pPr>
        <w:widowControl w:val="0"/>
        <w:autoSpaceDE w:val="0"/>
        <w:autoSpaceDN w:val="0"/>
        <w:adjustRightInd w:val="0"/>
        <w:spacing w:line="240" w:lineRule="auto"/>
        <w:ind w:left="640" w:hanging="640"/>
        <w:rPr>
          <w:rFonts w:ascii="Calibri" w:hAnsi="Calibri" w:cs="Calibri"/>
          <w:noProof/>
          <w:szCs w:val="24"/>
        </w:rPr>
      </w:pPr>
      <w:r w:rsidRPr="005849FA">
        <w:rPr>
          <w:rFonts w:ascii="Calibri" w:hAnsi="Calibri" w:cs="Calibri"/>
          <w:noProof/>
          <w:szCs w:val="24"/>
        </w:rPr>
        <w:t>[3]</w:t>
      </w:r>
      <w:r w:rsidRPr="005849FA">
        <w:rPr>
          <w:rFonts w:ascii="Calibri" w:hAnsi="Calibri" w:cs="Calibri"/>
          <w:noProof/>
          <w:szCs w:val="24"/>
        </w:rPr>
        <w:tab/>
        <w:t xml:space="preserve">D. Stark and U. von Stockar, “In Situ Product Removal (ISPR) in Whole Cell Biotechnology During the Last Twenty Years,” in </w:t>
      </w:r>
      <w:r w:rsidRPr="005849FA">
        <w:rPr>
          <w:rFonts w:ascii="Calibri" w:hAnsi="Calibri" w:cs="Calibri"/>
          <w:i/>
          <w:iCs/>
          <w:noProof/>
          <w:szCs w:val="24"/>
        </w:rPr>
        <w:t>Process Integration in Biochemical Engineering</w:t>
      </w:r>
      <w:r w:rsidRPr="005849FA">
        <w:rPr>
          <w:rFonts w:ascii="Calibri" w:hAnsi="Calibri" w:cs="Calibri"/>
          <w:noProof/>
          <w:szCs w:val="24"/>
        </w:rPr>
        <w:t>, vol. 80, 2003, pp. 149–175.</w:t>
      </w:r>
    </w:p>
    <w:p w14:paraId="2C5761AC" w14:textId="77777777" w:rsidR="005849FA" w:rsidRPr="005849FA" w:rsidRDefault="005849FA" w:rsidP="005849FA">
      <w:pPr>
        <w:widowControl w:val="0"/>
        <w:autoSpaceDE w:val="0"/>
        <w:autoSpaceDN w:val="0"/>
        <w:adjustRightInd w:val="0"/>
        <w:spacing w:line="240" w:lineRule="auto"/>
        <w:ind w:left="640" w:hanging="640"/>
        <w:rPr>
          <w:rFonts w:ascii="Calibri" w:hAnsi="Calibri" w:cs="Calibri"/>
          <w:noProof/>
          <w:szCs w:val="24"/>
        </w:rPr>
      </w:pPr>
      <w:r w:rsidRPr="005849FA">
        <w:rPr>
          <w:rFonts w:ascii="Calibri" w:hAnsi="Calibri" w:cs="Calibri"/>
          <w:noProof/>
          <w:szCs w:val="24"/>
        </w:rPr>
        <w:t>[4]</w:t>
      </w:r>
      <w:r w:rsidRPr="005849FA">
        <w:rPr>
          <w:rFonts w:ascii="Calibri" w:hAnsi="Calibri" w:cs="Calibri"/>
          <w:noProof/>
          <w:szCs w:val="24"/>
        </w:rPr>
        <w:tab/>
        <w:t xml:space="preserve">W. Van Hecke, G. Kaur, and H. De Wever, “Advances in in-situ product recovery (ISPR) in whole cell biotechnology during the last decade,” </w:t>
      </w:r>
      <w:r w:rsidRPr="005849FA">
        <w:rPr>
          <w:rFonts w:ascii="Calibri" w:hAnsi="Calibri" w:cs="Calibri"/>
          <w:i/>
          <w:iCs/>
          <w:noProof/>
          <w:szCs w:val="24"/>
        </w:rPr>
        <w:t>Biotechnol. Adv.</w:t>
      </w:r>
      <w:r w:rsidRPr="005849FA">
        <w:rPr>
          <w:rFonts w:ascii="Calibri" w:hAnsi="Calibri" w:cs="Calibri"/>
          <w:noProof/>
          <w:szCs w:val="24"/>
        </w:rPr>
        <w:t>, vol. 32, no. 7, pp. 1245–1255, 2014.</w:t>
      </w:r>
    </w:p>
    <w:p w14:paraId="2F4ACB7E" w14:textId="77777777" w:rsidR="005849FA" w:rsidRPr="005849FA" w:rsidRDefault="005849FA" w:rsidP="005849FA">
      <w:pPr>
        <w:widowControl w:val="0"/>
        <w:autoSpaceDE w:val="0"/>
        <w:autoSpaceDN w:val="0"/>
        <w:adjustRightInd w:val="0"/>
        <w:spacing w:line="240" w:lineRule="auto"/>
        <w:ind w:left="640" w:hanging="640"/>
        <w:rPr>
          <w:rFonts w:ascii="Calibri" w:hAnsi="Calibri" w:cs="Calibri"/>
          <w:noProof/>
          <w:szCs w:val="24"/>
        </w:rPr>
      </w:pPr>
      <w:r w:rsidRPr="005849FA">
        <w:rPr>
          <w:rFonts w:ascii="Calibri" w:hAnsi="Calibri" w:cs="Calibri"/>
          <w:noProof/>
          <w:szCs w:val="24"/>
        </w:rPr>
        <w:t>[5]</w:t>
      </w:r>
      <w:r w:rsidRPr="005849FA">
        <w:rPr>
          <w:rFonts w:ascii="Calibri" w:hAnsi="Calibri" w:cs="Calibri"/>
          <w:noProof/>
          <w:szCs w:val="24"/>
        </w:rPr>
        <w:tab/>
        <w:t xml:space="preserve">E. Barnea and J. Mizrahi, “Separation mechanism of Liquid-Liquid Dispersions in a deep-Layer Gravity Settler: Part IV - Continuous Settler Characteristics.,” </w:t>
      </w:r>
      <w:r w:rsidRPr="005849FA">
        <w:rPr>
          <w:rFonts w:ascii="Calibri" w:hAnsi="Calibri" w:cs="Calibri"/>
          <w:i/>
          <w:iCs/>
          <w:noProof/>
          <w:szCs w:val="24"/>
        </w:rPr>
        <w:t>Trans. Inst. Chem. Eng.</w:t>
      </w:r>
      <w:r w:rsidRPr="005849FA">
        <w:rPr>
          <w:rFonts w:ascii="Calibri" w:hAnsi="Calibri" w:cs="Calibri"/>
          <w:noProof/>
          <w:szCs w:val="24"/>
        </w:rPr>
        <w:t>, vol. 53, pp. 83–92, 1975.</w:t>
      </w:r>
    </w:p>
    <w:p w14:paraId="636D699A" w14:textId="77777777" w:rsidR="005849FA" w:rsidRPr="005849FA" w:rsidRDefault="005849FA" w:rsidP="005849FA">
      <w:pPr>
        <w:widowControl w:val="0"/>
        <w:autoSpaceDE w:val="0"/>
        <w:autoSpaceDN w:val="0"/>
        <w:adjustRightInd w:val="0"/>
        <w:spacing w:line="240" w:lineRule="auto"/>
        <w:ind w:left="640" w:hanging="640"/>
        <w:rPr>
          <w:rFonts w:ascii="Calibri" w:hAnsi="Calibri" w:cs="Calibri"/>
          <w:noProof/>
          <w:szCs w:val="24"/>
        </w:rPr>
      </w:pPr>
      <w:r w:rsidRPr="005849FA">
        <w:rPr>
          <w:rFonts w:ascii="Calibri" w:hAnsi="Calibri" w:cs="Calibri"/>
          <w:noProof/>
          <w:szCs w:val="24"/>
        </w:rPr>
        <w:t>[6]</w:t>
      </w:r>
      <w:r w:rsidRPr="005849FA">
        <w:rPr>
          <w:rFonts w:ascii="Calibri" w:hAnsi="Calibri" w:cs="Calibri"/>
          <w:noProof/>
          <w:szCs w:val="24"/>
        </w:rPr>
        <w:tab/>
        <w:t>J. A. Asenjo, S. L. Mistry, B. A. Andrews, and J. C. Merchuk, “Phase Separation Rates of Aqueous Two-Phase Systems : Correlation with System Properties,” 2002.</w:t>
      </w:r>
    </w:p>
    <w:p w14:paraId="3CAD9CE3" w14:textId="390E22A3" w:rsidR="00704BDF" w:rsidRPr="00704BDF" w:rsidRDefault="005849FA" w:rsidP="005849FA">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5849FA">
        <w:rPr>
          <w:rFonts w:ascii="Calibri" w:hAnsi="Calibri" w:cs="Calibri"/>
          <w:noProof/>
          <w:szCs w:val="24"/>
        </w:rPr>
        <w:t>[7]</w:t>
      </w:r>
      <w:r w:rsidRPr="005849FA">
        <w:rPr>
          <w:rFonts w:ascii="Calibri" w:hAnsi="Calibri" w:cs="Calibri"/>
          <w:noProof/>
          <w:szCs w:val="24"/>
        </w:rPr>
        <w:tab/>
        <w:t xml:space="preserve">J. Golob and R. Modic, “Coalescence of liquid/liquid in dispersions in Gravity Settler,” </w:t>
      </w:r>
      <w:r w:rsidRPr="005849FA">
        <w:rPr>
          <w:rFonts w:ascii="Calibri" w:hAnsi="Calibri" w:cs="Calibri"/>
          <w:i/>
          <w:iCs/>
          <w:noProof/>
          <w:szCs w:val="24"/>
        </w:rPr>
        <w:t>Trans. Inst. Chem. Eng.</w:t>
      </w:r>
      <w:r w:rsidRPr="005849FA">
        <w:rPr>
          <w:rFonts w:ascii="Calibri" w:hAnsi="Calibri" w:cs="Calibri"/>
          <w:noProof/>
          <w:szCs w:val="24"/>
        </w:rPr>
        <w:t>, vol. 55, pp. 207–211, 1977.</w:t>
      </w:r>
      <w:r w:rsidR="00510310" w:rsidRPr="00510310">
        <w:rPr>
          <w:rFonts w:asciiTheme="minorHAnsi" w:eastAsia="SimSun" w:hAnsiTheme="minorHAnsi"/>
          <w:b/>
          <w:bCs/>
          <w:color w:val="000000"/>
          <w:szCs w:val="18"/>
          <w:lang w:val="en-US" w:eastAsia="zh-CN"/>
        </w:rPr>
        <w:fldChar w:fldCharType="end"/>
      </w:r>
    </w:p>
    <w:sectPr w:rsidR="00704BDF" w:rsidRPr="00704BDF" w:rsidSect="005849FA">
      <w:type w:val="continuous"/>
      <w:pgSz w:w="11906" w:h="16838" w:code="9"/>
      <w:pgMar w:top="709"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EF27" w14:textId="77777777" w:rsidR="00E878E9" w:rsidRDefault="00E878E9" w:rsidP="004F5E36">
      <w:r>
        <w:separator/>
      </w:r>
    </w:p>
  </w:endnote>
  <w:endnote w:type="continuationSeparator" w:id="0">
    <w:p w14:paraId="07752BED" w14:textId="77777777" w:rsidR="00E878E9" w:rsidRDefault="00E878E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14D3" w14:textId="77777777" w:rsidR="00E878E9" w:rsidRDefault="00E878E9" w:rsidP="004F5E36">
      <w:r>
        <w:separator/>
      </w:r>
    </w:p>
  </w:footnote>
  <w:footnote w:type="continuationSeparator" w:id="0">
    <w:p w14:paraId="2815F1FF" w14:textId="77777777" w:rsidR="00E878E9" w:rsidRDefault="00E878E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F28E" w14:textId="6708934A" w:rsidR="00704BDF" w:rsidRDefault="00014E19" w:rsidP="00704BDF">
    <w:pPr>
      <w:ind w:left="-426" w:right="-285"/>
      <w:jc w:val="center"/>
      <w:rPr>
        <w:rFonts w:asciiTheme="minorHAnsi" w:hAnsiTheme="minorHAnsi"/>
        <w:b/>
        <w:i/>
        <w:color w:val="002060"/>
        <w:sz w:val="24"/>
        <w:szCs w:val="24"/>
        <w:lang w:val="en-US"/>
      </w:rPr>
    </w:pPr>
    <w:r>
      <w:rPr>
        <w:noProof/>
        <w:lang w:val="en-ZA" w:eastAsia="en-ZA"/>
      </w:rPr>
      <w:drawing>
        <wp:anchor distT="0" distB="0" distL="114300" distR="114300" simplePos="0" relativeHeight="251659264" behindDoc="0" locked="0" layoutInCell="1" allowOverlap="1" wp14:anchorId="1322E072" wp14:editId="1AB952E9">
          <wp:simplePos x="0" y="0"/>
          <wp:positionH relativeFrom="column">
            <wp:posOffset>112395</wp:posOffset>
          </wp:positionH>
          <wp:positionV relativeFrom="paragraph">
            <wp:posOffset>-274320</wp:posOffset>
          </wp:positionV>
          <wp:extent cx="1104900" cy="914153"/>
          <wp:effectExtent l="0" t="0" r="0" b="635"/>
          <wp:wrapNone/>
          <wp:docPr id="1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sidR="00704BDF">
      <w:rPr>
        <w:b/>
        <w:i/>
        <w:color w:val="8A046D"/>
        <w:sz w:val="28"/>
        <w:szCs w:val="28"/>
      </w:rPr>
      <w:t xml:space="preserve">  </w:t>
    </w:r>
    <w:r w:rsidR="00DE0019" w:rsidRPr="00DE0019">
      <w:rPr>
        <w:rFonts w:asciiTheme="minorHAnsi" w:hAnsiTheme="minorHAnsi"/>
        <w:b/>
        <w:i/>
        <w:color w:val="002060"/>
        <w:sz w:val="24"/>
        <w:szCs w:val="24"/>
        <w:lang w:val="en-US"/>
      </w:rPr>
      <w:t>EC</w:t>
    </w:r>
    <w:r w:rsidR="00E36CE0">
      <w:rPr>
        <w:rFonts w:asciiTheme="minorHAnsi" w:hAnsiTheme="minorHAnsi"/>
        <w:b/>
        <w:i/>
        <w:color w:val="002060"/>
        <w:sz w:val="24"/>
        <w:szCs w:val="24"/>
        <w:lang w:val="en-US"/>
      </w:rPr>
      <w:t>AB5</w:t>
    </w:r>
    <w:r w:rsidR="00704BDF"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00704BDF"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00704BDF"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00704BDF"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3FC10AB" w14:textId="6F437B5C" w:rsidR="00C2112F" w:rsidRDefault="00C2112F" w:rsidP="00704BDF">
    <w:pPr>
      <w:ind w:left="-426" w:right="-285"/>
      <w:jc w:val="center"/>
      <w:rPr>
        <w:rFonts w:asciiTheme="minorHAnsi" w:hAnsiTheme="minorHAnsi"/>
        <w:b/>
        <w:i/>
        <w:color w:val="002060"/>
        <w:sz w:val="24"/>
        <w:szCs w:val="24"/>
        <w:lang w:val="en-US"/>
      </w:rPr>
    </w:pPr>
  </w:p>
  <w:p w14:paraId="28185D38" w14:textId="3356CF53" w:rsidR="005D0FAF" w:rsidRPr="006E3881" w:rsidRDefault="00C2112F" w:rsidP="006E3881">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5D0FAF">
      <w:rPr>
        <w:rFonts w:asciiTheme="minorHAnsi" w:hAnsiTheme="minorHAnsi"/>
        <w:b/>
        <w:i/>
        <w:color w:val="002060"/>
        <w:sz w:val="24"/>
        <w:szCs w:val="24"/>
        <w:lang w:val="en-US"/>
      </w:rPr>
      <w:t xml:space="preserve">  </w:t>
    </w:r>
    <w:r w:rsidR="006E3881" w:rsidRPr="006E3881">
      <w:rPr>
        <w:rFonts w:asciiTheme="minorHAnsi" w:hAnsiTheme="minorHAnsi"/>
        <w:b/>
        <w:i/>
        <w:color w:val="002060"/>
        <w:sz w:val="24"/>
        <w:szCs w:val="24"/>
        <w:lang w:val="en-US"/>
      </w:rPr>
      <w:t>Continuous manufacturing</w:t>
    </w:r>
  </w:p>
  <w:p w14:paraId="49BCF2CD" w14:textId="2627C145" w:rsidR="00704BDF" w:rsidRDefault="00014E19" w:rsidP="005D0FAF">
    <w:pPr>
      <w:ind w:left="-426" w:right="-285"/>
      <w:jc w:val="center"/>
    </w:pPr>
    <w:r>
      <w:rPr>
        <w:noProof/>
        <w:lang w:val="en-ZA" w:eastAsia="en-ZA"/>
      </w:rPr>
      <mc:AlternateContent>
        <mc:Choice Requires="wps">
          <w:drawing>
            <wp:anchor distT="0" distB="0" distL="114300" distR="114300" simplePos="0" relativeHeight="251660288" behindDoc="0" locked="0" layoutInCell="1" allowOverlap="1" wp14:anchorId="453372DB" wp14:editId="2581324E">
              <wp:simplePos x="0" y="0"/>
              <wp:positionH relativeFrom="column">
                <wp:posOffset>173990</wp:posOffset>
              </wp:positionH>
              <wp:positionV relativeFrom="paragraph">
                <wp:posOffset>60960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FC0A01A"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4.8pt" to="453.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MDA1MjQDkgaGBko6SsGpxcWZ+XkgBWa1ADdkWJIsAAAA"/>
  </w:docVars>
  <w:rsids>
    <w:rsidRoot w:val="000E414A"/>
    <w:rsid w:val="000027C0"/>
    <w:rsid w:val="000117CB"/>
    <w:rsid w:val="00014E19"/>
    <w:rsid w:val="0003148D"/>
    <w:rsid w:val="00062A9A"/>
    <w:rsid w:val="00063296"/>
    <w:rsid w:val="0007509A"/>
    <w:rsid w:val="0008540A"/>
    <w:rsid w:val="000A03B2"/>
    <w:rsid w:val="000D34BE"/>
    <w:rsid w:val="000E36F1"/>
    <w:rsid w:val="000E3A73"/>
    <w:rsid w:val="000E414A"/>
    <w:rsid w:val="0013121F"/>
    <w:rsid w:val="00134DE4"/>
    <w:rsid w:val="00137DF6"/>
    <w:rsid w:val="001448BA"/>
    <w:rsid w:val="00150E59"/>
    <w:rsid w:val="00184AD6"/>
    <w:rsid w:val="001B65C1"/>
    <w:rsid w:val="001C5F68"/>
    <w:rsid w:val="001C684B"/>
    <w:rsid w:val="001D53FC"/>
    <w:rsid w:val="001F2EC7"/>
    <w:rsid w:val="001F66F3"/>
    <w:rsid w:val="0020243E"/>
    <w:rsid w:val="002065DB"/>
    <w:rsid w:val="002447EF"/>
    <w:rsid w:val="00251550"/>
    <w:rsid w:val="0027221A"/>
    <w:rsid w:val="00275B61"/>
    <w:rsid w:val="002A6067"/>
    <w:rsid w:val="002D1738"/>
    <w:rsid w:val="002D1F12"/>
    <w:rsid w:val="002D2BDB"/>
    <w:rsid w:val="003009B7"/>
    <w:rsid w:val="0030469C"/>
    <w:rsid w:val="003163D3"/>
    <w:rsid w:val="00365DF1"/>
    <w:rsid w:val="003723D4"/>
    <w:rsid w:val="00382AE5"/>
    <w:rsid w:val="003A7D1C"/>
    <w:rsid w:val="003C6F3F"/>
    <w:rsid w:val="003D5CD3"/>
    <w:rsid w:val="00437388"/>
    <w:rsid w:val="0046164A"/>
    <w:rsid w:val="00462DCD"/>
    <w:rsid w:val="00475224"/>
    <w:rsid w:val="00490932"/>
    <w:rsid w:val="004D1162"/>
    <w:rsid w:val="004E0290"/>
    <w:rsid w:val="004E4DD6"/>
    <w:rsid w:val="004F5E36"/>
    <w:rsid w:val="00510310"/>
    <w:rsid w:val="005119A5"/>
    <w:rsid w:val="005278B7"/>
    <w:rsid w:val="005346C8"/>
    <w:rsid w:val="00546F97"/>
    <w:rsid w:val="00566997"/>
    <w:rsid w:val="005849FA"/>
    <w:rsid w:val="00594E9F"/>
    <w:rsid w:val="005A082C"/>
    <w:rsid w:val="005B61E6"/>
    <w:rsid w:val="005C2480"/>
    <w:rsid w:val="005C2E77"/>
    <w:rsid w:val="005C77E1"/>
    <w:rsid w:val="005D0FAF"/>
    <w:rsid w:val="005D6A2F"/>
    <w:rsid w:val="005E1A82"/>
    <w:rsid w:val="005F0A28"/>
    <w:rsid w:val="005F0E5E"/>
    <w:rsid w:val="006009B0"/>
    <w:rsid w:val="00620DEE"/>
    <w:rsid w:val="0062320F"/>
    <w:rsid w:val="00625639"/>
    <w:rsid w:val="0064184D"/>
    <w:rsid w:val="00660E3E"/>
    <w:rsid w:val="00662E74"/>
    <w:rsid w:val="00673E99"/>
    <w:rsid w:val="00674CD7"/>
    <w:rsid w:val="006A58D2"/>
    <w:rsid w:val="006B65DA"/>
    <w:rsid w:val="006B7AF1"/>
    <w:rsid w:val="006C033F"/>
    <w:rsid w:val="006C5579"/>
    <w:rsid w:val="006D50F7"/>
    <w:rsid w:val="006E3881"/>
    <w:rsid w:val="006E418E"/>
    <w:rsid w:val="006F52A8"/>
    <w:rsid w:val="00704BDF"/>
    <w:rsid w:val="0071404D"/>
    <w:rsid w:val="00736B13"/>
    <w:rsid w:val="00741FBD"/>
    <w:rsid w:val="007447F3"/>
    <w:rsid w:val="007661C8"/>
    <w:rsid w:val="007D52CD"/>
    <w:rsid w:val="00813288"/>
    <w:rsid w:val="008168FC"/>
    <w:rsid w:val="00831785"/>
    <w:rsid w:val="00845645"/>
    <w:rsid w:val="008479A2"/>
    <w:rsid w:val="008553B4"/>
    <w:rsid w:val="0085600A"/>
    <w:rsid w:val="0087637F"/>
    <w:rsid w:val="008A1512"/>
    <w:rsid w:val="008C35E2"/>
    <w:rsid w:val="008D0BEB"/>
    <w:rsid w:val="008E566E"/>
    <w:rsid w:val="00900D6F"/>
    <w:rsid w:val="00901EB6"/>
    <w:rsid w:val="0092405D"/>
    <w:rsid w:val="009450CE"/>
    <w:rsid w:val="00947CE7"/>
    <w:rsid w:val="009505CA"/>
    <w:rsid w:val="0095164B"/>
    <w:rsid w:val="00996483"/>
    <w:rsid w:val="009A0959"/>
    <w:rsid w:val="009C5F9F"/>
    <w:rsid w:val="009D45C4"/>
    <w:rsid w:val="009E788A"/>
    <w:rsid w:val="00A1763D"/>
    <w:rsid w:val="00A17CEC"/>
    <w:rsid w:val="00A20D0B"/>
    <w:rsid w:val="00A27EF0"/>
    <w:rsid w:val="00A763BE"/>
    <w:rsid w:val="00A76EFC"/>
    <w:rsid w:val="00A9626B"/>
    <w:rsid w:val="00A97F29"/>
    <w:rsid w:val="00AA6632"/>
    <w:rsid w:val="00AB0964"/>
    <w:rsid w:val="00AB6E64"/>
    <w:rsid w:val="00AE2747"/>
    <w:rsid w:val="00AE377D"/>
    <w:rsid w:val="00AF13C9"/>
    <w:rsid w:val="00B20FFB"/>
    <w:rsid w:val="00B24568"/>
    <w:rsid w:val="00B2580D"/>
    <w:rsid w:val="00B61DBF"/>
    <w:rsid w:val="00B7115B"/>
    <w:rsid w:val="00BC0B51"/>
    <w:rsid w:val="00BC30C9"/>
    <w:rsid w:val="00BE3A1A"/>
    <w:rsid w:val="00BE3E58"/>
    <w:rsid w:val="00C01616"/>
    <w:rsid w:val="00C0162B"/>
    <w:rsid w:val="00C2112F"/>
    <w:rsid w:val="00C26C02"/>
    <w:rsid w:val="00C345B1"/>
    <w:rsid w:val="00C40142"/>
    <w:rsid w:val="00C46DE9"/>
    <w:rsid w:val="00C57182"/>
    <w:rsid w:val="00C655FD"/>
    <w:rsid w:val="00C676E7"/>
    <w:rsid w:val="00C76585"/>
    <w:rsid w:val="00C76751"/>
    <w:rsid w:val="00C83883"/>
    <w:rsid w:val="00C867B1"/>
    <w:rsid w:val="00C94434"/>
    <w:rsid w:val="00CA1C95"/>
    <w:rsid w:val="00CA5A9C"/>
    <w:rsid w:val="00CA66F5"/>
    <w:rsid w:val="00CD5FE2"/>
    <w:rsid w:val="00D02B4C"/>
    <w:rsid w:val="00D72566"/>
    <w:rsid w:val="00D84576"/>
    <w:rsid w:val="00DD2EC3"/>
    <w:rsid w:val="00DE0019"/>
    <w:rsid w:val="00DE264A"/>
    <w:rsid w:val="00DF3DB6"/>
    <w:rsid w:val="00E041E7"/>
    <w:rsid w:val="00E23CA1"/>
    <w:rsid w:val="00E33AFB"/>
    <w:rsid w:val="00E36CE0"/>
    <w:rsid w:val="00E409A8"/>
    <w:rsid w:val="00E7209D"/>
    <w:rsid w:val="00E84885"/>
    <w:rsid w:val="00E878E9"/>
    <w:rsid w:val="00E94D36"/>
    <w:rsid w:val="00EA50E1"/>
    <w:rsid w:val="00EC5A72"/>
    <w:rsid w:val="00EE0131"/>
    <w:rsid w:val="00EE01ED"/>
    <w:rsid w:val="00EF62E7"/>
    <w:rsid w:val="00F30C64"/>
    <w:rsid w:val="00F511CD"/>
    <w:rsid w:val="00F575EC"/>
    <w:rsid w:val="00F9149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050AE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6D50F7"/>
    <w:rPr>
      <w:sz w:val="16"/>
      <w:szCs w:val="16"/>
    </w:rPr>
  </w:style>
  <w:style w:type="character" w:styleId="Hyperlink">
    <w:name w:val="Hyperlink"/>
    <w:basedOn w:val="DefaultParagraphFont"/>
    <w:uiPriority w:val="99"/>
    <w:unhideWhenUsed/>
    <w:locked/>
    <w:rsid w:val="00C676E7"/>
    <w:rPr>
      <w:color w:val="0000FF" w:themeColor="hyperlink"/>
      <w:u w:val="single"/>
    </w:rPr>
  </w:style>
  <w:style w:type="character" w:styleId="UnresolvedMention">
    <w:name w:val="Unresolved Mention"/>
    <w:basedOn w:val="DefaultParagraphFont"/>
    <w:uiPriority w:val="99"/>
    <w:semiHidden/>
    <w:unhideWhenUsed/>
    <w:rsid w:val="00C6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 w:id="1264611974">
      <w:bodyDiv w:val="1"/>
      <w:marLeft w:val="0"/>
      <w:marRight w:val="0"/>
      <w:marTop w:val="0"/>
      <w:marBottom w:val="0"/>
      <w:divBdr>
        <w:top w:val="none" w:sz="0" w:space="0" w:color="auto"/>
        <w:left w:val="none" w:sz="0" w:space="0" w:color="auto"/>
        <w:bottom w:val="none" w:sz="0" w:space="0" w:color="auto"/>
        <w:right w:val="none" w:sz="0" w:space="0" w:color="auto"/>
      </w:divBdr>
    </w:div>
    <w:div w:id="18626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pott@sun.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B667-6B74-473A-8018-AF383F5C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2226</Words>
  <Characters>12693</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Teke, GM, Mr [22420754@sun.ac.za]</cp:lastModifiedBy>
  <cp:revision>26</cp:revision>
  <cp:lastPrinted>2015-05-12T18:31:00Z</cp:lastPrinted>
  <dcterms:created xsi:type="dcterms:W3CDTF">2019-04-23T12:01:00Z</dcterms:created>
  <dcterms:modified xsi:type="dcterms:W3CDTF">2019-04-26T10:51:00Z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4bcecd89-0395-308c-a4e5-4760ee42bd02</vt:lpwstr>
  </property>
  <property fmtid="{D5CDD505-2E9C-101B-9397-08002B2CF9AE}" pid="24" name="Mendeley Citation Style_1">
    <vt:lpwstr>http://www.zotero.org/styles/ieee</vt:lpwstr>
  </property>
</Properties>
</file>