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4F740A" w:rsidP="00704BDF">
      <w:pPr>
        <w:snapToGrid w:val="0"/>
        <w:spacing w:after="360"/>
        <w:jc w:val="center"/>
        <w:rPr>
          <w:rFonts w:asciiTheme="minorHAnsi" w:eastAsia="MS PGothic" w:hAnsiTheme="minorHAnsi"/>
          <w:b/>
          <w:bCs/>
          <w:sz w:val="28"/>
          <w:szCs w:val="28"/>
          <w:lang w:val="en-US" w:eastAsia="ko-KR"/>
        </w:rPr>
      </w:pPr>
      <w:r w:rsidRPr="004F740A">
        <w:rPr>
          <w:rFonts w:asciiTheme="minorHAnsi" w:eastAsia="MS PGothic" w:hAnsiTheme="minorHAnsi"/>
          <w:b/>
          <w:bCs/>
          <w:sz w:val="28"/>
          <w:szCs w:val="28"/>
          <w:lang w:val="en-US"/>
        </w:rPr>
        <w:t>Integrated Biofilm Reactor-Separator Using a Rotating Spiral Channel</w:t>
      </w:r>
    </w:p>
    <w:p w:rsidR="00DE0019" w:rsidRPr="00DE0019" w:rsidRDefault="000C1190"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Jordan MacInnes and Esther Karunakaran</w:t>
      </w:r>
    </w:p>
    <w:p w:rsidR="000C1190" w:rsidRPr="00DE0019" w:rsidRDefault="000C1190" w:rsidP="000C1190">
      <w:pPr>
        <w:snapToGrid w:val="0"/>
        <w:spacing w:after="120"/>
        <w:jc w:val="center"/>
        <w:rPr>
          <w:rFonts w:asciiTheme="minorHAnsi" w:eastAsia="MS PGothic" w:hAnsiTheme="minorHAnsi"/>
          <w:i/>
          <w:iCs/>
          <w:color w:val="000000"/>
          <w:sz w:val="20"/>
          <w:lang w:val="en-US"/>
        </w:rPr>
      </w:pPr>
      <w:r>
        <w:rPr>
          <w:rFonts w:eastAsia="MS PGothic"/>
          <w:i/>
          <w:iCs/>
          <w:color w:val="000000"/>
          <w:sz w:val="20"/>
          <w:lang w:val="en-US"/>
        </w:rPr>
        <w:t>Chemical and Biological Engineering, University of Sheffield, Mappin Street, Sheffield S1 3JD</w:t>
      </w:r>
    </w:p>
    <w:p w:rsidR="00704BDF" w:rsidRPr="000C1190" w:rsidRDefault="00C20E78" w:rsidP="000C1190">
      <w:pPr>
        <w:snapToGrid w:val="0"/>
        <w:spacing w:after="120"/>
        <w:jc w:val="center"/>
        <w:rPr>
          <w:rFonts w:asciiTheme="minorHAnsi" w:eastAsia="MS PGothic" w:hAnsiTheme="minorHAnsi"/>
          <w:i/>
          <w:iCs/>
          <w:color w:val="000000"/>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0C1190">
        <w:rPr>
          <w:rFonts w:asciiTheme="minorHAnsi" w:eastAsia="MS PGothic" w:hAnsiTheme="minorHAnsi"/>
          <w:bCs/>
          <w:i/>
          <w:iCs/>
          <w:color w:val="000000"/>
          <w:sz w:val="20"/>
          <w:lang w:val="en-US"/>
        </w:rPr>
        <w:t>j.m.macinnes@sheffield.ac.uk</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613FF0" w:rsidRDefault="00613FF0" w:rsidP="00704BDF">
      <w:pPr>
        <w:pStyle w:val="AbstractBody"/>
        <w:numPr>
          <w:ilvl w:val="0"/>
          <w:numId w:val="16"/>
        </w:numPr>
        <w:rPr>
          <w:rFonts w:asciiTheme="minorHAnsi" w:hAnsiTheme="minorHAnsi"/>
        </w:rPr>
      </w:pPr>
      <w:r w:rsidRPr="00613FF0">
        <w:rPr>
          <w:rFonts w:asciiTheme="minorHAnsi" w:hAnsiTheme="minorHAnsi"/>
        </w:rPr>
        <w:t xml:space="preserve">Rotating spiral channel </w:t>
      </w:r>
      <w:r w:rsidR="00312934">
        <w:rPr>
          <w:rFonts w:asciiTheme="minorHAnsi" w:hAnsiTheme="minorHAnsi"/>
        </w:rPr>
        <w:t>controls</w:t>
      </w:r>
      <w:r w:rsidRPr="00613FF0">
        <w:rPr>
          <w:rFonts w:asciiTheme="minorHAnsi" w:hAnsiTheme="minorHAnsi"/>
        </w:rPr>
        <w:t xml:space="preserve"> liquid-liquid </w:t>
      </w:r>
      <w:r>
        <w:rPr>
          <w:rFonts w:asciiTheme="minorHAnsi" w:hAnsiTheme="minorHAnsi"/>
        </w:rPr>
        <w:t>contact</w:t>
      </w:r>
      <w:r w:rsidR="00312934">
        <w:rPr>
          <w:rFonts w:asciiTheme="minorHAnsi" w:hAnsiTheme="minorHAnsi"/>
        </w:rPr>
        <w:t xml:space="preserve"> between media</w:t>
      </w:r>
      <w:r>
        <w:rPr>
          <w:rFonts w:asciiTheme="minorHAnsi" w:hAnsiTheme="minorHAnsi"/>
        </w:rPr>
        <w:t xml:space="preserve"> and </w:t>
      </w:r>
      <w:r w:rsidR="00312934">
        <w:rPr>
          <w:rFonts w:asciiTheme="minorHAnsi" w:hAnsiTheme="minorHAnsi"/>
        </w:rPr>
        <w:t>solvent</w:t>
      </w:r>
    </w:p>
    <w:p w:rsidR="00704BDF" w:rsidRPr="00613FF0" w:rsidRDefault="00312934" w:rsidP="00704BDF">
      <w:pPr>
        <w:pStyle w:val="AbstractBody"/>
        <w:numPr>
          <w:ilvl w:val="0"/>
          <w:numId w:val="16"/>
        </w:numPr>
        <w:rPr>
          <w:rFonts w:asciiTheme="minorHAnsi" w:hAnsiTheme="minorHAnsi"/>
        </w:rPr>
      </w:pPr>
      <w:r>
        <w:rPr>
          <w:rFonts w:asciiTheme="minorHAnsi" w:hAnsiTheme="minorHAnsi"/>
        </w:rPr>
        <w:t>Allows continuous control of nutrient and product concentration</w:t>
      </w:r>
      <w:r w:rsidR="00704BDF" w:rsidRPr="00613FF0">
        <w:rPr>
          <w:rFonts w:asciiTheme="minorHAnsi" w:hAnsiTheme="minorHAnsi"/>
        </w:rPr>
        <w:t xml:space="preserve"> </w:t>
      </w:r>
    </w:p>
    <w:p w:rsidR="00704BDF" w:rsidRPr="00312934" w:rsidRDefault="00312934" w:rsidP="00312934">
      <w:pPr>
        <w:pStyle w:val="AbstractBody"/>
        <w:numPr>
          <w:ilvl w:val="0"/>
          <w:numId w:val="16"/>
        </w:numPr>
        <w:rPr>
          <w:rFonts w:asciiTheme="minorHAnsi" w:hAnsiTheme="minorHAnsi"/>
        </w:rPr>
      </w:pPr>
      <w:r>
        <w:rPr>
          <w:rFonts w:asciiTheme="minorHAnsi" w:hAnsiTheme="minorHAnsi"/>
        </w:rPr>
        <w:t>Preliminary result will be presented to demonstrate feasibility</w:t>
      </w:r>
      <w:r w:rsidR="00704BDF" w:rsidRPr="00EC66CC">
        <w:rPr>
          <w:rFonts w:asciiTheme="minorHAnsi" w:hAnsiTheme="minorHAnsi"/>
        </w:rPr>
        <w:t xml:space="preserve">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4F740A" w:rsidRPr="004F740A" w:rsidRDefault="004F740A" w:rsidP="004F740A">
      <w:pPr>
        <w:snapToGrid w:val="0"/>
        <w:spacing w:after="120"/>
        <w:rPr>
          <w:rFonts w:asciiTheme="minorHAnsi" w:eastAsia="MS PGothic" w:hAnsiTheme="minorHAnsi"/>
          <w:color w:val="000000"/>
          <w:sz w:val="22"/>
          <w:szCs w:val="22"/>
          <w:lang w:val="en-US"/>
        </w:rPr>
      </w:pPr>
      <w:r w:rsidRPr="004F740A">
        <w:rPr>
          <w:rFonts w:asciiTheme="minorHAnsi" w:eastAsia="MS PGothic" w:hAnsiTheme="minorHAnsi"/>
          <w:color w:val="000000"/>
          <w:sz w:val="22"/>
          <w:szCs w:val="22"/>
          <w:lang w:val="en-US"/>
        </w:rPr>
        <w:t>Industrial biotechnology aims to use micro</w:t>
      </w:r>
      <w:r w:rsidR="00CB227E">
        <w:rPr>
          <w:rFonts w:asciiTheme="minorHAnsi" w:eastAsia="MS PGothic" w:hAnsiTheme="minorHAnsi"/>
          <w:color w:val="000000"/>
          <w:sz w:val="22"/>
          <w:szCs w:val="22"/>
          <w:lang w:val="en-US"/>
        </w:rPr>
        <w:t>organisms</w:t>
      </w:r>
      <w:r w:rsidRPr="004F740A">
        <w:rPr>
          <w:rFonts w:asciiTheme="minorHAnsi" w:eastAsia="MS PGothic" w:hAnsiTheme="minorHAnsi"/>
          <w:color w:val="000000"/>
          <w:sz w:val="22"/>
          <w:szCs w:val="22"/>
          <w:lang w:val="en-US"/>
        </w:rPr>
        <w:t xml:space="preserve"> to transform one chemical species to another.  Engineering systems to control the supply of nutrient species and </w:t>
      </w:r>
      <w:r w:rsidR="00995626">
        <w:rPr>
          <w:rFonts w:asciiTheme="minorHAnsi" w:eastAsia="MS PGothic" w:hAnsiTheme="minorHAnsi"/>
          <w:color w:val="000000"/>
          <w:sz w:val="22"/>
          <w:szCs w:val="22"/>
          <w:lang w:val="en-US"/>
        </w:rPr>
        <w:t xml:space="preserve">the </w:t>
      </w:r>
      <w:r w:rsidRPr="004F740A">
        <w:rPr>
          <w:rFonts w:asciiTheme="minorHAnsi" w:eastAsia="MS PGothic" w:hAnsiTheme="minorHAnsi"/>
          <w:color w:val="000000"/>
          <w:sz w:val="22"/>
          <w:szCs w:val="22"/>
          <w:lang w:val="en-US"/>
        </w:rPr>
        <w:t>removal of product species must optimise production rate per cost.  For continuous processing by biofilms</w:t>
      </w:r>
      <w:r w:rsidR="00CB227E">
        <w:rPr>
          <w:rFonts w:asciiTheme="minorHAnsi" w:eastAsia="MS PGothic" w:hAnsiTheme="minorHAnsi"/>
          <w:color w:val="000000"/>
          <w:sz w:val="22"/>
          <w:szCs w:val="22"/>
          <w:lang w:val="en-US"/>
        </w:rPr>
        <w:t xml:space="preserve"> - an aggregate of microorganisms attached to an abiotic surface</w:t>
      </w:r>
      <w:r w:rsidR="00477E84" w:rsidRPr="00477E84">
        <w:rPr>
          <w:rFonts w:asciiTheme="minorHAnsi" w:eastAsia="MS PGothic" w:hAnsiTheme="minorHAnsi"/>
          <w:color w:val="000000"/>
          <w:sz w:val="22"/>
          <w:szCs w:val="22"/>
          <w:vertAlign w:val="superscript"/>
          <w:lang w:val="en-US"/>
        </w:rPr>
        <w:t>1</w:t>
      </w:r>
      <w:r w:rsidR="00CB227E">
        <w:rPr>
          <w:rFonts w:asciiTheme="minorHAnsi" w:eastAsia="MS PGothic" w:hAnsiTheme="minorHAnsi"/>
          <w:color w:val="000000"/>
          <w:sz w:val="22"/>
          <w:szCs w:val="22"/>
          <w:lang w:val="en-US"/>
        </w:rPr>
        <w:t xml:space="preserve"> - </w:t>
      </w:r>
      <w:r w:rsidRPr="004F740A">
        <w:rPr>
          <w:rFonts w:asciiTheme="minorHAnsi" w:eastAsia="MS PGothic" w:hAnsiTheme="minorHAnsi"/>
          <w:color w:val="000000"/>
          <w:sz w:val="22"/>
          <w:szCs w:val="22"/>
          <w:lang w:val="en-US"/>
        </w:rPr>
        <w:t xml:space="preserve">a surface must be provided with access to a flow of aqueous media to both sustain the </w:t>
      </w:r>
      <w:r w:rsidR="00CB227E">
        <w:rPr>
          <w:rFonts w:asciiTheme="minorHAnsi" w:eastAsia="MS PGothic" w:hAnsiTheme="minorHAnsi"/>
          <w:color w:val="000000"/>
          <w:sz w:val="22"/>
          <w:szCs w:val="22"/>
          <w:lang w:val="en-US"/>
        </w:rPr>
        <w:t>biofilm</w:t>
      </w:r>
      <w:r w:rsidRPr="004F740A">
        <w:rPr>
          <w:rFonts w:asciiTheme="minorHAnsi" w:eastAsia="MS PGothic" w:hAnsiTheme="minorHAnsi"/>
          <w:color w:val="000000"/>
          <w:sz w:val="22"/>
          <w:szCs w:val="22"/>
          <w:lang w:val="en-US"/>
        </w:rPr>
        <w:t xml:space="preserve"> and remove waste.  The aqueous flow should </w:t>
      </w:r>
      <w:r w:rsidR="00CB227E">
        <w:rPr>
          <w:rFonts w:asciiTheme="minorHAnsi" w:eastAsia="MS PGothic" w:hAnsiTheme="minorHAnsi"/>
          <w:color w:val="000000"/>
          <w:sz w:val="22"/>
          <w:szCs w:val="22"/>
          <w:lang w:val="en-US"/>
        </w:rPr>
        <w:t xml:space="preserve">be </w:t>
      </w:r>
      <w:r w:rsidRPr="004F740A">
        <w:rPr>
          <w:rFonts w:asciiTheme="minorHAnsi" w:eastAsia="MS PGothic" w:hAnsiTheme="minorHAnsi"/>
          <w:color w:val="000000"/>
          <w:sz w:val="22"/>
          <w:szCs w:val="22"/>
          <w:lang w:val="en-US"/>
        </w:rPr>
        <w:t>even over the biofilm, have a thickness that allows all of the media to be accessed and have a flow rate that is suited to the biofilm production rate.  Indeed, the media supply may be used to optimise production conditions.  It may also be helpful to bring a second, immiscible, liquid into contact with the aqueous phase to help control conditions in the medium, not least to se</w:t>
      </w:r>
      <w:r>
        <w:rPr>
          <w:rFonts w:asciiTheme="minorHAnsi" w:eastAsia="MS PGothic" w:hAnsiTheme="minorHAnsi"/>
          <w:color w:val="000000"/>
          <w:sz w:val="22"/>
          <w:szCs w:val="22"/>
          <w:lang w:val="en-US"/>
        </w:rPr>
        <w:t>parate the product species.</w:t>
      </w:r>
    </w:p>
    <w:p w:rsidR="00704BDF" w:rsidRDefault="004F740A" w:rsidP="004F740A">
      <w:pPr>
        <w:snapToGrid w:val="0"/>
        <w:spacing w:after="120"/>
        <w:rPr>
          <w:rFonts w:asciiTheme="minorHAnsi" w:eastAsia="MS PGothic" w:hAnsiTheme="minorHAnsi"/>
          <w:color w:val="000000"/>
          <w:sz w:val="22"/>
          <w:szCs w:val="22"/>
          <w:lang w:val="en-US"/>
        </w:rPr>
      </w:pPr>
      <w:r w:rsidRPr="004F740A">
        <w:rPr>
          <w:rFonts w:asciiTheme="minorHAnsi" w:eastAsia="MS PGothic" w:hAnsiTheme="minorHAnsi"/>
          <w:color w:val="000000"/>
          <w:sz w:val="22"/>
          <w:szCs w:val="22"/>
          <w:lang w:val="en-US"/>
        </w:rPr>
        <w:t xml:space="preserve">A rotating spiral channel allows such an arrangement of biofilm, aqueous media and an immiscible </w:t>
      </w:r>
      <w:r w:rsidR="00995626">
        <w:rPr>
          <w:rFonts w:asciiTheme="minorHAnsi" w:eastAsia="MS PGothic" w:hAnsiTheme="minorHAnsi"/>
          <w:color w:val="000000"/>
          <w:sz w:val="22"/>
          <w:szCs w:val="22"/>
          <w:lang w:val="en-US"/>
        </w:rPr>
        <w:t xml:space="preserve">solvent </w:t>
      </w:r>
      <w:r w:rsidRPr="004F740A">
        <w:rPr>
          <w:rFonts w:asciiTheme="minorHAnsi" w:eastAsia="MS PGothic" w:hAnsiTheme="minorHAnsi"/>
          <w:color w:val="000000"/>
          <w:sz w:val="22"/>
          <w:szCs w:val="22"/>
          <w:lang w:val="en-US"/>
        </w:rPr>
        <w:t>liquid.  The spiral channel rotating around its axis segregates the two fluid phases into parallel-flowing layers of adjustable flow rate and interface position.  Fig. 1a shows a schematic of a typical cross-section of the channel.  The biofilm is shown on the left hand side wall, stabilised there by the strong radial acceleration (</w:t>
      </w:r>
      <w:r w:rsidRPr="004F740A">
        <w:rPr>
          <w:rFonts w:asciiTheme="minorHAnsi" w:eastAsia="MS PGothic" w:hAnsiTheme="minorHAnsi"/>
          <w:i/>
          <w:color w:val="000000"/>
          <w:sz w:val="22"/>
          <w:szCs w:val="22"/>
          <w:lang w:val="en-US"/>
        </w:rPr>
        <w:t>r</w:t>
      </w:r>
      <w:r>
        <w:rPr>
          <w:rFonts w:asciiTheme="minorHAnsi" w:eastAsia="MS PGothic" w:hAnsiTheme="minorHAnsi"/>
          <w:color w:val="000000"/>
          <w:sz w:val="22"/>
          <w:szCs w:val="22"/>
          <w:lang w:val="en-US"/>
        </w:rPr>
        <w:sym w:font="Symbol" w:char="F057"/>
      </w:r>
      <w:r w:rsidRPr="004F740A">
        <w:rPr>
          <w:rFonts w:asciiTheme="minorHAnsi" w:eastAsia="MS PGothic" w:hAnsiTheme="minorHAnsi"/>
          <w:color w:val="000000"/>
          <w:sz w:val="22"/>
          <w:szCs w:val="22"/>
          <w:vertAlign w:val="superscript"/>
          <w:lang w:val="en-US"/>
        </w:rPr>
        <w:t>2</w:t>
      </w:r>
      <w:r w:rsidRPr="004F740A">
        <w:rPr>
          <w:rFonts w:asciiTheme="minorHAnsi" w:eastAsia="MS PGothic" w:hAnsiTheme="minorHAnsi"/>
          <w:color w:val="000000"/>
          <w:sz w:val="22"/>
          <w:szCs w:val="22"/>
          <w:lang w:val="en-US"/>
        </w:rPr>
        <w:t>) and in contact with the denser aqueous media, which in turn is in contact with an organic solvent.  The media and solvent are flowing in the direction perpendicular to the section, either co-currently or counter-currently.</w:t>
      </w:r>
    </w:p>
    <w:p w:rsidR="004F740A" w:rsidRPr="0007532D" w:rsidRDefault="0007532D" w:rsidP="002371DE">
      <w:pPr>
        <w:spacing w:line="240" w:lineRule="auto"/>
        <w:jc w:val="center"/>
        <w:rPr>
          <w:rFonts w:ascii="Times New Roman" w:hAnsi="Times New Roman"/>
          <w:sz w:val="24"/>
          <w:szCs w:val="24"/>
        </w:rPr>
      </w:pPr>
      <w:r w:rsidRPr="0007532D">
        <w:rPr>
          <w:rFonts w:ascii="Times New Roman" w:hAnsi="Times New Roman"/>
          <w:sz w:val="24"/>
          <w:szCs w:val="24"/>
        </w:rPr>
        <w:t>(a)</w:t>
      </w:r>
      <w:r w:rsidR="004F740A" w:rsidRPr="0007532D">
        <w:rPr>
          <w:rFonts w:ascii="Times New Roman" w:hAnsi="Times New Roman"/>
          <w:sz w:val="24"/>
          <w:szCs w:val="24"/>
        </w:rPr>
        <w:t xml:space="preserve">    </w:t>
      </w:r>
      <w:r w:rsidRPr="0007532D">
        <w:drawing>
          <wp:inline distT="0" distB="0" distL="0" distR="0">
            <wp:extent cx="2466975" cy="127099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3463" cy="1294943"/>
                    </a:xfrm>
                    <a:prstGeom prst="rect">
                      <a:avLst/>
                    </a:prstGeom>
                    <a:noFill/>
                    <a:ln>
                      <a:noFill/>
                    </a:ln>
                  </pic:spPr>
                </pic:pic>
              </a:graphicData>
            </a:graphic>
          </wp:inline>
        </w:drawing>
      </w:r>
      <w:r w:rsidR="00477E84" w:rsidRPr="0007532D">
        <w:rPr>
          <w:rFonts w:ascii="Times New Roman" w:hAnsi="Times New Roman"/>
          <w:sz w:val="24"/>
          <w:szCs w:val="24"/>
        </w:rPr>
        <w:t xml:space="preserve">  </w:t>
      </w:r>
      <w:r w:rsidRPr="0007532D">
        <w:rPr>
          <w:rFonts w:ascii="Times New Roman" w:hAnsi="Times New Roman"/>
          <w:sz w:val="24"/>
          <w:szCs w:val="24"/>
        </w:rPr>
        <w:t xml:space="preserve">         </w:t>
      </w:r>
      <w:r w:rsidR="002371DE">
        <w:rPr>
          <w:rFonts w:ascii="Times New Roman" w:hAnsi="Times New Roman"/>
          <w:sz w:val="24"/>
          <w:szCs w:val="24"/>
        </w:rPr>
        <w:t xml:space="preserve">   </w:t>
      </w:r>
      <w:r w:rsidR="00477E84" w:rsidRPr="0007532D">
        <w:rPr>
          <w:rFonts w:ascii="Times New Roman" w:hAnsi="Times New Roman"/>
          <w:sz w:val="24"/>
          <w:szCs w:val="24"/>
        </w:rPr>
        <w:t>(b)</w:t>
      </w:r>
      <w:r w:rsidRPr="0007532D">
        <w:rPr>
          <w:rFonts w:ascii="Times New Roman" w:hAnsi="Times New Roman"/>
          <w:sz w:val="24"/>
          <w:szCs w:val="24"/>
        </w:rPr>
        <w:t xml:space="preserve">   </w:t>
      </w:r>
      <w:r w:rsidR="004F740A" w:rsidRPr="0007532D">
        <w:rPr>
          <w:rFonts w:ascii="Times New Roman" w:hAnsi="Times New Roman"/>
          <w:sz w:val="24"/>
          <w:szCs w:val="24"/>
        </w:rPr>
        <w:t xml:space="preserve">  </w:t>
      </w:r>
      <w:r w:rsidR="004F740A" w:rsidRPr="006508BE">
        <w:rPr>
          <w:noProof/>
          <w:lang w:eastAsia="en-GB"/>
        </w:rPr>
        <w:drawing>
          <wp:inline distT="0" distB="0" distL="0" distR="0" wp14:anchorId="3D91C45F" wp14:editId="1C2753A6">
            <wp:extent cx="1512000" cy="1263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2000" cy="1263600"/>
                    </a:xfrm>
                    <a:prstGeom prst="rect">
                      <a:avLst/>
                    </a:prstGeom>
                    <a:noFill/>
                    <a:ln>
                      <a:noFill/>
                    </a:ln>
                  </pic:spPr>
                </pic:pic>
              </a:graphicData>
            </a:graphic>
          </wp:inline>
        </w:drawing>
      </w:r>
    </w:p>
    <w:p w:rsidR="004F740A" w:rsidRDefault="004F740A" w:rsidP="004F740A">
      <w:pPr>
        <w:snapToGrid w:val="0"/>
        <w:spacing w:after="120"/>
        <w:rPr>
          <w:rFonts w:asciiTheme="minorHAnsi" w:eastAsia="MS PGothic" w:hAnsiTheme="minorHAnsi"/>
          <w:color w:val="000000"/>
          <w:sz w:val="22"/>
          <w:szCs w:val="22"/>
          <w:lang w:val="en-US"/>
        </w:rPr>
      </w:pPr>
    </w:p>
    <w:p w:rsidR="004F740A" w:rsidRPr="00DE0019" w:rsidRDefault="004F740A" w:rsidP="004F740A">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hAnsiTheme="minorHAnsi"/>
          <w:lang w:val="en-US"/>
        </w:rPr>
        <w:t xml:space="preserve">(a) </w:t>
      </w:r>
      <w:r w:rsidRPr="007D0134">
        <w:rPr>
          <w:rFonts w:ascii="Times New Roman" w:hAnsi="Times New Roman"/>
          <w:sz w:val="20"/>
        </w:rPr>
        <w:t xml:space="preserve">Channel section </w:t>
      </w:r>
      <w:r w:rsidR="00893224">
        <w:rPr>
          <w:rFonts w:ascii="Times New Roman" w:hAnsi="Times New Roman"/>
          <w:sz w:val="20"/>
        </w:rPr>
        <w:t>with</w:t>
      </w:r>
      <w:r>
        <w:rPr>
          <w:rFonts w:ascii="Times New Roman" w:hAnsi="Times New Roman"/>
          <w:sz w:val="20"/>
        </w:rPr>
        <w:t xml:space="preserve"> b</w:t>
      </w:r>
      <w:r w:rsidRPr="007D0134">
        <w:rPr>
          <w:rFonts w:ascii="Times New Roman" w:hAnsi="Times New Roman"/>
          <w:sz w:val="20"/>
        </w:rPr>
        <w:t xml:space="preserve">iofilm </w:t>
      </w:r>
      <w:r>
        <w:rPr>
          <w:rFonts w:ascii="Times New Roman" w:hAnsi="Times New Roman"/>
          <w:sz w:val="20"/>
        </w:rPr>
        <w:t>(</w:t>
      </w:r>
      <w:r w:rsidRPr="007D0134">
        <w:rPr>
          <w:rFonts w:ascii="Times New Roman" w:hAnsi="Times New Roman"/>
          <w:sz w:val="20"/>
        </w:rPr>
        <w:t>on the left</w:t>
      </w:r>
      <w:r>
        <w:rPr>
          <w:rFonts w:ascii="Times New Roman" w:hAnsi="Times New Roman"/>
          <w:sz w:val="20"/>
        </w:rPr>
        <w:t xml:space="preserve">), </w:t>
      </w:r>
      <w:r w:rsidR="00893224">
        <w:rPr>
          <w:rFonts w:ascii="Times New Roman" w:hAnsi="Times New Roman"/>
          <w:sz w:val="20"/>
        </w:rPr>
        <w:t>aqueous media and</w:t>
      </w:r>
      <w:r>
        <w:rPr>
          <w:rFonts w:ascii="Times New Roman" w:hAnsi="Times New Roman"/>
          <w:sz w:val="20"/>
        </w:rPr>
        <w:t xml:space="preserve"> solv</w:t>
      </w:r>
      <w:r w:rsidRPr="007D0134">
        <w:rPr>
          <w:rFonts w:ascii="Times New Roman" w:hAnsi="Times New Roman"/>
          <w:sz w:val="20"/>
        </w:rPr>
        <w:t xml:space="preserve">ent.  </w:t>
      </w:r>
      <w:r w:rsidR="00893224">
        <w:rPr>
          <w:rFonts w:ascii="Times New Roman" w:hAnsi="Times New Roman"/>
          <w:sz w:val="20"/>
        </w:rPr>
        <w:t>G</w:t>
      </w:r>
      <w:r>
        <w:rPr>
          <w:rFonts w:ascii="Times New Roman" w:hAnsi="Times New Roman"/>
          <w:sz w:val="20"/>
        </w:rPr>
        <w:t xml:space="preserve">rey arrows indicate the secondary </w:t>
      </w:r>
      <w:r w:rsidR="00893224">
        <w:rPr>
          <w:rFonts w:ascii="Times New Roman" w:hAnsi="Times New Roman"/>
          <w:sz w:val="20"/>
        </w:rPr>
        <w:t>flow</w:t>
      </w:r>
      <w:r w:rsidR="00477E84" w:rsidRPr="00477E84">
        <w:rPr>
          <w:rFonts w:ascii="Times New Roman" w:hAnsi="Times New Roman"/>
          <w:sz w:val="20"/>
          <w:vertAlign w:val="superscript"/>
        </w:rPr>
        <w:t>5</w:t>
      </w:r>
      <w:r w:rsidR="00893224">
        <w:rPr>
          <w:rFonts w:ascii="Times New Roman" w:hAnsi="Times New Roman"/>
          <w:sz w:val="20"/>
        </w:rPr>
        <w:t xml:space="preserve"> (from </w:t>
      </w:r>
      <w:r w:rsidRPr="007D0134">
        <w:rPr>
          <w:rFonts w:ascii="Times New Roman" w:hAnsi="Times New Roman"/>
          <w:sz w:val="20"/>
        </w:rPr>
        <w:t>centrifugal and Coriolis acceleration</w:t>
      </w:r>
      <w:r w:rsidR="00893224">
        <w:rPr>
          <w:rFonts w:ascii="Times New Roman" w:hAnsi="Times New Roman"/>
          <w:sz w:val="20"/>
        </w:rPr>
        <w:t>s</w:t>
      </w:r>
      <w:r>
        <w:rPr>
          <w:rFonts w:ascii="Times New Roman" w:hAnsi="Times New Roman"/>
          <w:sz w:val="20"/>
        </w:rPr>
        <w:t>) that assist species transfer</w:t>
      </w:r>
      <w:r w:rsidRPr="007D0134">
        <w:rPr>
          <w:rFonts w:ascii="Times New Roman" w:hAnsi="Times New Roman"/>
          <w:sz w:val="20"/>
        </w:rPr>
        <w:t>.</w:t>
      </w:r>
      <w:r>
        <w:rPr>
          <w:rFonts w:ascii="Times New Roman" w:hAnsi="Times New Roman"/>
          <w:sz w:val="20"/>
        </w:rPr>
        <w:t xml:space="preserve">  (b) Photograph </w:t>
      </w:r>
      <w:r w:rsidR="00893224">
        <w:rPr>
          <w:rFonts w:ascii="Times New Roman" w:hAnsi="Times New Roman"/>
          <w:sz w:val="20"/>
        </w:rPr>
        <w:t xml:space="preserve">taken from below of </w:t>
      </w:r>
      <w:r>
        <w:rPr>
          <w:rFonts w:ascii="Times New Roman" w:hAnsi="Times New Roman"/>
          <w:sz w:val="20"/>
        </w:rPr>
        <w:t>water and octanol flowing counter-currently</w:t>
      </w:r>
      <w:r w:rsidR="00893224">
        <w:rPr>
          <w:rFonts w:ascii="Times New Roman" w:hAnsi="Times New Roman"/>
          <w:sz w:val="20"/>
        </w:rPr>
        <w:t xml:space="preserve"> in a rotating spiral channel</w:t>
      </w:r>
      <w:r>
        <w:rPr>
          <w:rFonts w:ascii="Times New Roman" w:hAnsi="Times New Roman"/>
          <w:sz w:val="20"/>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 xml:space="preserve">2. </w:t>
      </w:r>
      <w:r w:rsidR="00893224">
        <w:rPr>
          <w:rFonts w:asciiTheme="minorHAnsi" w:eastAsia="MS PGothic" w:hAnsiTheme="minorHAnsi"/>
          <w:b/>
          <w:bCs/>
          <w:color w:val="000000"/>
          <w:sz w:val="22"/>
          <w:szCs w:val="22"/>
          <w:lang w:val="en-US"/>
        </w:rPr>
        <w:t>Background</w:t>
      </w:r>
    </w:p>
    <w:p w:rsidR="00704BDF" w:rsidRPr="008D0BEB" w:rsidRDefault="00893224" w:rsidP="00704BDF">
      <w:pPr>
        <w:snapToGrid w:val="0"/>
        <w:spacing w:after="120"/>
        <w:rPr>
          <w:rFonts w:asciiTheme="minorHAnsi" w:eastAsia="MS PGothic" w:hAnsiTheme="minorHAnsi"/>
          <w:i/>
          <w:color w:val="000000"/>
          <w:sz w:val="22"/>
          <w:szCs w:val="22"/>
          <w:lang w:val="en-US"/>
        </w:rPr>
      </w:pPr>
      <w:r w:rsidRPr="00893224">
        <w:rPr>
          <w:rFonts w:asciiTheme="minorHAnsi" w:eastAsia="MS PGothic" w:hAnsiTheme="minorHAnsi"/>
          <w:color w:val="000000"/>
          <w:sz w:val="22"/>
          <w:szCs w:val="22"/>
          <w:lang w:val="en-US"/>
        </w:rPr>
        <w:t>Rotating spiral channels allow contacting of two immiscible fluids at the optimum flow rate ratio of the two phases and ratio of the thicknesses of the two fluid layers</w:t>
      </w:r>
      <w:r w:rsidR="00477E84">
        <w:rPr>
          <w:rFonts w:asciiTheme="minorHAnsi" w:eastAsia="MS PGothic" w:hAnsiTheme="minorHAnsi"/>
          <w:color w:val="000000"/>
          <w:sz w:val="22"/>
          <w:szCs w:val="22"/>
          <w:vertAlign w:val="superscript"/>
          <w:lang w:val="en-US"/>
        </w:rPr>
        <w:t>2</w:t>
      </w:r>
      <w:r w:rsidRPr="00893224">
        <w:rPr>
          <w:rFonts w:asciiTheme="minorHAnsi" w:eastAsia="MS PGothic" w:hAnsiTheme="minorHAnsi"/>
          <w:color w:val="000000"/>
          <w:sz w:val="22"/>
          <w:szCs w:val="22"/>
          <w:lang w:val="en-US"/>
        </w:rPr>
        <w:t>.  Mass transfer coefficients that are orders of magnitude greater than those with conventional contacting methods have been demonstrated</w:t>
      </w:r>
      <w:r w:rsidR="0009483D">
        <w:rPr>
          <w:rFonts w:asciiTheme="minorHAnsi" w:eastAsia="MS PGothic" w:hAnsiTheme="minorHAnsi"/>
          <w:color w:val="000000"/>
          <w:sz w:val="22"/>
          <w:szCs w:val="22"/>
          <w:vertAlign w:val="superscript"/>
          <w:lang w:val="en-US"/>
        </w:rPr>
        <w:t>3</w:t>
      </w:r>
      <w:r w:rsidRPr="00893224">
        <w:rPr>
          <w:rFonts w:asciiTheme="minorHAnsi" w:eastAsia="MS PGothic" w:hAnsiTheme="minorHAnsi"/>
          <w:color w:val="000000"/>
          <w:sz w:val="22"/>
          <w:szCs w:val="22"/>
          <w:lang w:val="en-US"/>
        </w:rPr>
        <w:t>.  While that work considered gas-liquid contacting, ideal theory</w:t>
      </w:r>
      <w:r w:rsidR="00477E84">
        <w:rPr>
          <w:rFonts w:asciiTheme="minorHAnsi" w:eastAsia="MS PGothic" w:hAnsiTheme="minorHAnsi"/>
          <w:color w:val="000000"/>
          <w:sz w:val="22"/>
          <w:szCs w:val="22"/>
          <w:vertAlign w:val="superscript"/>
          <w:lang w:val="en-US"/>
        </w:rPr>
        <w:t>4</w:t>
      </w:r>
      <w:r w:rsidRPr="00893224">
        <w:rPr>
          <w:rFonts w:asciiTheme="minorHAnsi" w:eastAsia="MS PGothic" w:hAnsiTheme="minorHAnsi"/>
          <w:color w:val="000000"/>
          <w:sz w:val="22"/>
          <w:szCs w:val="22"/>
          <w:lang w:val="en-US"/>
        </w:rPr>
        <w:t xml:space="preserve"> predicting interface position and flow rates in relation to fluid properties, rotation rate, pressure gradient and channel size applies equally to liquid-liquid and gas-liquid flows.  Indeed, a number of informal tests with the same apparatus used for the gas-liquid work</w:t>
      </w:r>
      <w:r w:rsidRPr="00893224">
        <w:rPr>
          <w:rFonts w:asciiTheme="minorHAnsi" w:eastAsia="MS PGothic" w:hAnsiTheme="minorHAnsi"/>
          <w:color w:val="000000"/>
          <w:sz w:val="22"/>
          <w:szCs w:val="22"/>
          <w:vertAlign w:val="superscript"/>
          <w:lang w:val="en-US"/>
        </w:rPr>
        <w:t>2</w:t>
      </w:r>
      <w:r w:rsidR="00477E84">
        <w:rPr>
          <w:rFonts w:asciiTheme="minorHAnsi" w:eastAsia="MS PGothic" w:hAnsiTheme="minorHAnsi"/>
          <w:color w:val="000000"/>
          <w:sz w:val="22"/>
          <w:szCs w:val="22"/>
          <w:vertAlign w:val="superscript"/>
          <w:lang w:val="en-US"/>
        </w:rPr>
        <w:t>,3</w:t>
      </w:r>
      <w:r w:rsidRPr="00893224">
        <w:rPr>
          <w:rFonts w:asciiTheme="minorHAnsi" w:eastAsia="MS PGothic" w:hAnsiTheme="minorHAnsi"/>
          <w:color w:val="000000"/>
          <w:sz w:val="22"/>
          <w:szCs w:val="22"/>
          <w:lang w:val="en-US"/>
        </w:rPr>
        <w:t xml:space="preserve"> confirm it handles liquid-l</w:t>
      </w:r>
      <w:r>
        <w:rPr>
          <w:rFonts w:asciiTheme="minorHAnsi" w:eastAsia="MS PGothic" w:hAnsiTheme="minorHAnsi"/>
          <w:color w:val="000000"/>
          <w:sz w:val="22"/>
          <w:szCs w:val="22"/>
          <w:lang w:val="en-US"/>
        </w:rPr>
        <w:t xml:space="preserve">iquid contacting equally well.  </w:t>
      </w:r>
      <w:r w:rsidRPr="00893224">
        <w:rPr>
          <w:rFonts w:asciiTheme="minorHAnsi" w:eastAsia="MS PGothic" w:hAnsiTheme="minorHAnsi"/>
          <w:color w:val="000000"/>
          <w:sz w:val="22"/>
          <w:szCs w:val="22"/>
          <w:lang w:val="en-US"/>
        </w:rPr>
        <w:t>Fig. 1b shows an image from a test with water and octanol contacting counter-currently.  The relatively high viscosity of the octanol mean</w:t>
      </w:r>
      <w:r w:rsidR="00995626">
        <w:rPr>
          <w:rFonts w:asciiTheme="minorHAnsi" w:eastAsia="MS PGothic" w:hAnsiTheme="minorHAnsi"/>
          <w:color w:val="000000"/>
          <w:sz w:val="22"/>
          <w:szCs w:val="22"/>
          <w:lang w:val="en-US"/>
        </w:rPr>
        <w:t>s</w:t>
      </w:r>
      <w:r w:rsidRPr="00893224">
        <w:rPr>
          <w:rFonts w:asciiTheme="minorHAnsi" w:eastAsia="MS PGothic" w:hAnsiTheme="minorHAnsi"/>
          <w:color w:val="000000"/>
          <w:sz w:val="22"/>
          <w:szCs w:val="22"/>
          <w:lang w:val="en-US"/>
        </w:rPr>
        <w:t xml:space="preserve"> it occupie</w:t>
      </w:r>
      <w:r w:rsidR="0007532D">
        <w:rPr>
          <w:rFonts w:asciiTheme="minorHAnsi" w:eastAsia="MS PGothic" w:hAnsiTheme="minorHAnsi"/>
          <w:color w:val="000000"/>
          <w:sz w:val="22"/>
          <w:szCs w:val="22"/>
          <w:lang w:val="en-US"/>
        </w:rPr>
        <w:t>s</w:t>
      </w:r>
      <w:r w:rsidRPr="00893224">
        <w:rPr>
          <w:rFonts w:asciiTheme="minorHAnsi" w:eastAsia="MS PGothic" w:hAnsiTheme="minorHAnsi"/>
          <w:color w:val="000000"/>
          <w:sz w:val="22"/>
          <w:szCs w:val="22"/>
          <w:lang w:val="en-US"/>
        </w:rPr>
        <w:t xml:space="preserve"> the majority of the channel cross section for the conditions of the test.  This is predicted by the model which also shows that the interface could be moved to other positions by suitable choices for pressure gradient and rotation rate, while maintaining correct solvent flow rate, e.g. </w:t>
      </w:r>
      <w:r w:rsidR="0007532D">
        <w:rPr>
          <w:rFonts w:asciiTheme="minorHAnsi" w:eastAsia="MS PGothic" w:hAnsiTheme="minorHAnsi"/>
          <w:color w:val="000000"/>
          <w:sz w:val="22"/>
          <w:szCs w:val="22"/>
          <w:lang w:val="en-US"/>
        </w:rPr>
        <w:t>that to fully remove the product</w:t>
      </w:r>
      <w:r w:rsidRPr="00893224">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3. </w:t>
      </w:r>
      <w:r w:rsidR="00FA552A">
        <w:rPr>
          <w:rFonts w:asciiTheme="minorHAnsi" w:eastAsia="MS PGothic" w:hAnsiTheme="minorHAnsi"/>
          <w:b/>
          <w:bCs/>
          <w:color w:val="000000"/>
          <w:sz w:val="22"/>
          <w:szCs w:val="22"/>
          <w:lang w:val="en-US"/>
        </w:rPr>
        <w:t>Concentration control</w:t>
      </w:r>
    </w:p>
    <w:p w:rsidR="001305D7" w:rsidRDefault="00D8175A" w:rsidP="00D8175A">
      <w:pPr>
        <w:snapToGrid w:val="0"/>
        <w:spacing w:after="120"/>
        <w:rPr>
          <w:rFonts w:asciiTheme="minorHAnsi" w:eastAsia="MS PGothic" w:hAnsiTheme="minorHAnsi"/>
          <w:color w:val="000000"/>
          <w:sz w:val="22"/>
          <w:szCs w:val="22"/>
          <w:lang w:val="en-US"/>
        </w:rPr>
      </w:pPr>
      <w:r w:rsidRPr="00D8175A">
        <w:rPr>
          <w:rFonts w:asciiTheme="minorHAnsi" w:eastAsia="MS PGothic" w:hAnsiTheme="minorHAnsi"/>
          <w:color w:val="000000"/>
          <w:sz w:val="22"/>
          <w:szCs w:val="22"/>
          <w:lang w:val="en-US"/>
        </w:rPr>
        <w:t xml:space="preserve">Product concentration will vary with position </w:t>
      </w:r>
      <w:r w:rsidR="00E254AC">
        <w:rPr>
          <w:rFonts w:asciiTheme="minorHAnsi" w:eastAsia="MS PGothic" w:hAnsiTheme="minorHAnsi"/>
          <w:color w:val="000000"/>
          <w:sz w:val="22"/>
          <w:szCs w:val="22"/>
          <w:lang w:val="en-US"/>
        </w:rPr>
        <w:t>(</w:t>
      </w:r>
      <w:r w:rsidR="00E254AC">
        <w:rPr>
          <w:rFonts w:asciiTheme="minorHAnsi" w:eastAsia="MS PGothic" w:hAnsiTheme="minorHAnsi"/>
          <w:i/>
          <w:color w:val="000000"/>
          <w:sz w:val="22"/>
          <w:szCs w:val="22"/>
          <w:lang w:val="en-US"/>
        </w:rPr>
        <w:t>z</w:t>
      </w:r>
      <w:r w:rsidR="00E254AC">
        <w:rPr>
          <w:rFonts w:asciiTheme="minorHAnsi" w:eastAsia="MS PGothic" w:hAnsiTheme="minorHAnsi"/>
          <w:color w:val="000000"/>
          <w:sz w:val="22"/>
          <w:szCs w:val="22"/>
          <w:lang w:val="en-US"/>
        </w:rPr>
        <w:t xml:space="preserve">) </w:t>
      </w:r>
      <w:r w:rsidRPr="00D8175A">
        <w:rPr>
          <w:rFonts w:asciiTheme="minorHAnsi" w:eastAsia="MS PGothic" w:hAnsiTheme="minorHAnsi"/>
          <w:color w:val="000000"/>
          <w:sz w:val="22"/>
          <w:szCs w:val="22"/>
          <w:lang w:val="en-US"/>
        </w:rPr>
        <w:t xml:space="preserve">along the channel both as it accumulates from biofilm </w:t>
      </w:r>
      <w:r w:rsidR="00E254AC">
        <w:rPr>
          <w:rFonts w:asciiTheme="minorHAnsi" w:eastAsia="MS PGothic" w:hAnsiTheme="minorHAnsi"/>
          <w:color w:val="000000"/>
          <w:sz w:val="22"/>
          <w:szCs w:val="22"/>
          <w:lang w:val="en-US"/>
        </w:rPr>
        <w:t xml:space="preserve">production </w:t>
      </w:r>
      <w:r w:rsidRPr="00D8175A">
        <w:rPr>
          <w:rFonts w:asciiTheme="minorHAnsi" w:eastAsia="MS PGothic" w:hAnsiTheme="minorHAnsi"/>
          <w:color w:val="000000"/>
          <w:sz w:val="22"/>
          <w:szCs w:val="22"/>
          <w:lang w:val="en-US"/>
        </w:rPr>
        <w:t xml:space="preserve">and as </w:t>
      </w:r>
      <w:r w:rsidR="00E254AC">
        <w:rPr>
          <w:rFonts w:asciiTheme="minorHAnsi" w:eastAsia="MS PGothic" w:hAnsiTheme="minorHAnsi"/>
          <w:color w:val="000000"/>
          <w:sz w:val="22"/>
          <w:szCs w:val="22"/>
          <w:lang w:val="en-US"/>
        </w:rPr>
        <w:t xml:space="preserve">the </w:t>
      </w:r>
      <w:r w:rsidRPr="00D8175A">
        <w:rPr>
          <w:rFonts w:asciiTheme="minorHAnsi" w:eastAsia="MS PGothic" w:hAnsiTheme="minorHAnsi"/>
          <w:color w:val="000000"/>
          <w:sz w:val="22"/>
          <w:szCs w:val="22"/>
          <w:lang w:val="en-US"/>
        </w:rPr>
        <w:t xml:space="preserve">product transfers to the solvent.  </w:t>
      </w:r>
      <w:r w:rsidR="0009483D">
        <w:rPr>
          <w:rFonts w:asciiTheme="minorHAnsi" w:eastAsia="MS PGothic" w:hAnsiTheme="minorHAnsi"/>
          <w:color w:val="000000"/>
          <w:sz w:val="22"/>
          <w:szCs w:val="22"/>
          <w:lang w:val="en-US"/>
        </w:rPr>
        <w:t xml:space="preserve">Co-current flow of the solvent results in </w:t>
      </w:r>
      <w:r w:rsidR="0007532D">
        <w:rPr>
          <w:rFonts w:asciiTheme="minorHAnsi" w:eastAsia="MS PGothic" w:hAnsiTheme="minorHAnsi"/>
          <w:color w:val="000000"/>
          <w:sz w:val="22"/>
          <w:szCs w:val="22"/>
          <w:lang w:val="en-US"/>
        </w:rPr>
        <w:t xml:space="preserve">a </w:t>
      </w:r>
      <w:r w:rsidR="0009483D">
        <w:rPr>
          <w:rFonts w:asciiTheme="minorHAnsi" w:eastAsia="MS PGothic" w:hAnsiTheme="minorHAnsi"/>
          <w:color w:val="000000"/>
          <w:sz w:val="22"/>
          <w:szCs w:val="22"/>
          <w:lang w:val="en-US"/>
        </w:rPr>
        <w:t>steadily increasing product concentration (</w:t>
      </w:r>
      <w:r w:rsidR="0009483D">
        <w:rPr>
          <w:rFonts w:asciiTheme="minorHAnsi" w:eastAsia="MS PGothic" w:hAnsiTheme="minorHAnsi"/>
          <w:i/>
          <w:color w:val="000000"/>
          <w:sz w:val="22"/>
          <w:szCs w:val="22"/>
          <w:lang w:val="en-US"/>
        </w:rPr>
        <w:t>C</w:t>
      </w:r>
      <w:r w:rsidR="0009483D">
        <w:rPr>
          <w:rFonts w:asciiTheme="minorHAnsi" w:eastAsia="MS PGothic" w:hAnsiTheme="minorHAnsi"/>
          <w:color w:val="000000"/>
          <w:sz w:val="22"/>
          <w:szCs w:val="22"/>
          <w:lang w:val="en-US"/>
        </w:rPr>
        <w:t xml:space="preserve">) along the channel (Fig. 2a).  </w:t>
      </w:r>
      <w:r w:rsidR="001305D7">
        <w:rPr>
          <w:rFonts w:asciiTheme="minorHAnsi" w:eastAsia="MS PGothic" w:hAnsiTheme="minorHAnsi"/>
          <w:color w:val="000000"/>
          <w:sz w:val="22"/>
          <w:szCs w:val="22"/>
          <w:lang w:val="en-US"/>
        </w:rPr>
        <w:t xml:space="preserve">By contrast, </w:t>
      </w:r>
      <w:r w:rsidR="00615B3F">
        <w:rPr>
          <w:rFonts w:asciiTheme="minorHAnsi" w:eastAsia="MS PGothic" w:hAnsiTheme="minorHAnsi"/>
          <w:color w:val="000000"/>
          <w:sz w:val="22"/>
          <w:szCs w:val="22"/>
          <w:lang w:val="en-US"/>
        </w:rPr>
        <w:t xml:space="preserve">with counter-current flow </w:t>
      </w:r>
      <w:r w:rsidR="0009483D">
        <w:rPr>
          <w:rFonts w:asciiTheme="minorHAnsi" w:eastAsia="MS PGothic" w:hAnsiTheme="minorHAnsi"/>
          <w:color w:val="000000"/>
          <w:sz w:val="22"/>
          <w:szCs w:val="22"/>
          <w:lang w:val="en-US"/>
        </w:rPr>
        <w:t xml:space="preserve">of the solvent phase the </w:t>
      </w:r>
      <w:r w:rsidR="00615B3F">
        <w:rPr>
          <w:rFonts w:asciiTheme="minorHAnsi" w:eastAsia="MS PGothic" w:hAnsiTheme="minorHAnsi"/>
          <w:color w:val="000000"/>
          <w:sz w:val="22"/>
          <w:szCs w:val="22"/>
          <w:lang w:val="en-US"/>
        </w:rPr>
        <w:t xml:space="preserve">concentration in the aqueous phase first increases rapidly as product is gained from the loaded solvent and then decreases as pure </w:t>
      </w:r>
      <w:r w:rsidR="0009483D">
        <w:rPr>
          <w:rFonts w:asciiTheme="minorHAnsi" w:eastAsia="MS PGothic" w:hAnsiTheme="minorHAnsi"/>
          <w:color w:val="000000"/>
          <w:sz w:val="22"/>
          <w:szCs w:val="22"/>
          <w:lang w:val="en-US"/>
        </w:rPr>
        <w:t xml:space="preserve">inlet </w:t>
      </w:r>
      <w:r w:rsidR="00615B3F">
        <w:rPr>
          <w:rFonts w:asciiTheme="minorHAnsi" w:eastAsia="MS PGothic" w:hAnsiTheme="minorHAnsi"/>
          <w:color w:val="000000"/>
          <w:sz w:val="22"/>
          <w:szCs w:val="22"/>
          <w:lang w:val="en-US"/>
        </w:rPr>
        <w:t>solvent</w:t>
      </w:r>
      <w:r w:rsidR="0009483D">
        <w:rPr>
          <w:rFonts w:asciiTheme="minorHAnsi" w:eastAsia="MS PGothic" w:hAnsiTheme="minorHAnsi"/>
          <w:color w:val="000000"/>
          <w:sz w:val="22"/>
          <w:szCs w:val="22"/>
          <w:lang w:val="en-US"/>
        </w:rPr>
        <w:t xml:space="preserve"> is encountered</w:t>
      </w:r>
      <w:r w:rsidR="0007532D">
        <w:rPr>
          <w:rFonts w:asciiTheme="minorHAnsi" w:eastAsia="MS PGothic" w:hAnsiTheme="minorHAnsi"/>
          <w:color w:val="000000"/>
          <w:sz w:val="22"/>
          <w:szCs w:val="22"/>
          <w:lang w:val="en-US"/>
        </w:rPr>
        <w:t xml:space="preserve"> (Fig. 2b)</w:t>
      </w:r>
      <w:r w:rsidR="0009483D">
        <w:rPr>
          <w:rFonts w:asciiTheme="minorHAnsi" w:eastAsia="MS PGothic" w:hAnsiTheme="minorHAnsi"/>
          <w:color w:val="000000"/>
          <w:sz w:val="22"/>
          <w:szCs w:val="22"/>
          <w:lang w:val="en-US"/>
        </w:rPr>
        <w:t>.</w:t>
      </w:r>
      <w:r w:rsidR="00615B3F">
        <w:rPr>
          <w:rFonts w:asciiTheme="minorHAnsi" w:eastAsia="MS PGothic" w:hAnsiTheme="minorHAnsi"/>
          <w:color w:val="000000"/>
          <w:sz w:val="22"/>
          <w:szCs w:val="22"/>
          <w:lang w:val="en-US"/>
        </w:rPr>
        <w:t xml:space="preserve">  </w:t>
      </w:r>
      <w:r w:rsidR="0009483D">
        <w:rPr>
          <w:rFonts w:asciiTheme="minorHAnsi" w:eastAsia="MS PGothic" w:hAnsiTheme="minorHAnsi"/>
          <w:color w:val="000000"/>
          <w:sz w:val="22"/>
          <w:szCs w:val="22"/>
          <w:lang w:val="en-US"/>
        </w:rPr>
        <w:t>C</w:t>
      </w:r>
      <w:r w:rsidR="00615B3F">
        <w:rPr>
          <w:rFonts w:asciiTheme="minorHAnsi" w:eastAsia="MS PGothic" w:hAnsiTheme="minorHAnsi"/>
          <w:color w:val="000000"/>
          <w:sz w:val="22"/>
          <w:szCs w:val="22"/>
          <w:lang w:val="en-US"/>
        </w:rPr>
        <w:t>onsequen</w:t>
      </w:r>
      <w:r w:rsidR="0009483D">
        <w:rPr>
          <w:rFonts w:asciiTheme="minorHAnsi" w:eastAsia="MS PGothic" w:hAnsiTheme="minorHAnsi"/>
          <w:color w:val="000000"/>
          <w:sz w:val="22"/>
          <w:szCs w:val="22"/>
          <w:lang w:val="en-US"/>
        </w:rPr>
        <w:t>tly</w:t>
      </w:r>
      <w:r w:rsidR="00615B3F">
        <w:rPr>
          <w:rFonts w:asciiTheme="minorHAnsi" w:eastAsia="MS PGothic" w:hAnsiTheme="minorHAnsi"/>
          <w:color w:val="000000"/>
          <w:sz w:val="22"/>
          <w:szCs w:val="22"/>
          <w:lang w:val="en-US"/>
        </w:rPr>
        <w:t xml:space="preserve">, the biofilm media will have </w:t>
      </w:r>
      <w:r w:rsidR="00995626">
        <w:rPr>
          <w:rFonts w:asciiTheme="minorHAnsi" w:eastAsia="MS PGothic" w:hAnsiTheme="minorHAnsi"/>
          <w:color w:val="000000"/>
          <w:sz w:val="22"/>
          <w:szCs w:val="22"/>
          <w:lang w:val="en-US"/>
        </w:rPr>
        <w:t xml:space="preserve">a </w:t>
      </w:r>
      <w:r w:rsidR="00615B3F">
        <w:rPr>
          <w:rFonts w:asciiTheme="minorHAnsi" w:eastAsia="MS PGothic" w:hAnsiTheme="minorHAnsi"/>
          <w:color w:val="000000"/>
          <w:sz w:val="22"/>
          <w:szCs w:val="22"/>
          <w:lang w:val="en-US"/>
        </w:rPr>
        <w:t xml:space="preserve">more uniform bulk concentration.  </w:t>
      </w:r>
      <w:r w:rsidR="002440BB">
        <w:rPr>
          <w:rFonts w:asciiTheme="minorHAnsi" w:eastAsia="MS PGothic" w:hAnsiTheme="minorHAnsi"/>
          <w:color w:val="000000"/>
          <w:sz w:val="22"/>
          <w:szCs w:val="22"/>
          <w:lang w:val="en-US"/>
        </w:rPr>
        <w:t>Increasing solvent flow rate is expected to reduce product concentration level</w:t>
      </w:r>
      <w:r w:rsidR="00995626">
        <w:rPr>
          <w:rFonts w:asciiTheme="minorHAnsi" w:eastAsia="MS PGothic" w:hAnsiTheme="minorHAnsi"/>
          <w:color w:val="000000"/>
          <w:sz w:val="22"/>
          <w:szCs w:val="22"/>
          <w:lang w:val="en-US"/>
        </w:rPr>
        <w:t>s</w:t>
      </w:r>
      <w:r w:rsidR="002440BB">
        <w:rPr>
          <w:rFonts w:asciiTheme="minorHAnsi" w:eastAsia="MS PGothic" w:hAnsiTheme="minorHAnsi"/>
          <w:color w:val="000000"/>
          <w:sz w:val="22"/>
          <w:szCs w:val="22"/>
          <w:lang w:val="en-US"/>
        </w:rPr>
        <w:t xml:space="preserve"> in the aqueous phase</w:t>
      </w:r>
      <w:r w:rsidR="00995626">
        <w:rPr>
          <w:rFonts w:asciiTheme="minorHAnsi" w:eastAsia="MS PGothic" w:hAnsiTheme="minorHAnsi"/>
          <w:color w:val="000000"/>
          <w:sz w:val="22"/>
          <w:szCs w:val="22"/>
          <w:lang w:val="en-US"/>
        </w:rPr>
        <w:t>;</w:t>
      </w:r>
      <w:r w:rsidR="002440BB">
        <w:rPr>
          <w:rFonts w:asciiTheme="minorHAnsi" w:eastAsia="MS PGothic" w:hAnsiTheme="minorHAnsi"/>
          <w:color w:val="000000"/>
          <w:sz w:val="22"/>
          <w:szCs w:val="22"/>
          <w:lang w:val="en-US"/>
        </w:rPr>
        <w:t xml:space="preserve"> decreasing channel size is expected to increase concentration uniformity.  Th</w:t>
      </w:r>
      <w:r w:rsidR="00995626">
        <w:rPr>
          <w:rFonts w:asciiTheme="minorHAnsi" w:eastAsia="MS PGothic" w:hAnsiTheme="minorHAnsi"/>
          <w:color w:val="000000"/>
          <w:sz w:val="22"/>
          <w:szCs w:val="22"/>
          <w:lang w:val="en-US"/>
        </w:rPr>
        <w:t>us</w:t>
      </w:r>
      <w:r w:rsidR="002440BB">
        <w:rPr>
          <w:rFonts w:asciiTheme="minorHAnsi" w:eastAsia="MS PGothic" w:hAnsiTheme="minorHAnsi"/>
          <w:color w:val="000000"/>
          <w:sz w:val="22"/>
          <w:szCs w:val="22"/>
          <w:lang w:val="en-US"/>
        </w:rPr>
        <w:t>, considerable control of product concentration in the biofilm environment</w:t>
      </w:r>
      <w:r w:rsidR="00995626">
        <w:rPr>
          <w:rFonts w:asciiTheme="minorHAnsi" w:eastAsia="MS PGothic" w:hAnsiTheme="minorHAnsi"/>
          <w:color w:val="000000"/>
          <w:sz w:val="22"/>
          <w:szCs w:val="22"/>
          <w:lang w:val="en-US"/>
        </w:rPr>
        <w:t xml:space="preserve"> should be possible</w:t>
      </w:r>
      <w:r w:rsidR="002440BB">
        <w:rPr>
          <w:rFonts w:asciiTheme="minorHAnsi" w:eastAsia="MS PGothic" w:hAnsiTheme="minorHAnsi"/>
          <w:color w:val="000000"/>
          <w:sz w:val="22"/>
          <w:szCs w:val="22"/>
          <w:lang w:val="en-US"/>
        </w:rPr>
        <w:t>.</w:t>
      </w:r>
      <w:r w:rsidR="00E254AC">
        <w:rPr>
          <w:rFonts w:asciiTheme="minorHAnsi" w:eastAsia="MS PGothic" w:hAnsiTheme="minorHAnsi"/>
          <w:color w:val="000000"/>
          <w:sz w:val="22"/>
          <w:szCs w:val="22"/>
          <w:lang w:val="en-US"/>
        </w:rPr>
        <w:t xml:space="preserve"> </w:t>
      </w:r>
    </w:p>
    <w:p w:rsidR="00704BDF" w:rsidRPr="00E254AC" w:rsidRDefault="00E254AC" w:rsidP="00E254AC">
      <w:pPr>
        <w:snapToGrid w:val="0"/>
        <w:spacing w:after="120"/>
        <w:rPr>
          <w:rFonts w:asciiTheme="minorHAnsi" w:eastAsia="MS PGothic" w:hAnsiTheme="minorHAnsi"/>
          <w:color w:val="000000"/>
          <w:sz w:val="22"/>
          <w:szCs w:val="22"/>
        </w:rPr>
      </w:pPr>
      <w:r w:rsidRPr="00E254AC">
        <w:rPr>
          <w:noProof/>
          <w:lang w:eastAsia="en-GB"/>
        </w:rPr>
        <w:drawing>
          <wp:inline distT="0" distB="0" distL="0" distR="0">
            <wp:extent cx="2492082" cy="142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3860" cy="1458435"/>
                    </a:xfrm>
                    <a:prstGeom prst="rect">
                      <a:avLst/>
                    </a:prstGeom>
                    <a:noFill/>
                    <a:ln>
                      <a:noFill/>
                    </a:ln>
                  </pic:spPr>
                </pic:pic>
              </a:graphicData>
            </a:graphic>
          </wp:inline>
        </w:drawing>
      </w:r>
      <w:r>
        <w:rPr>
          <w:rFonts w:asciiTheme="minorHAnsi" w:hAnsiTheme="minorHAnsi"/>
        </w:rPr>
        <w:t xml:space="preserve">       </w:t>
      </w:r>
      <w:r w:rsidRPr="00E254AC">
        <w:rPr>
          <w:noProof/>
          <w:lang w:eastAsia="en-GB"/>
        </w:rPr>
        <w:drawing>
          <wp:inline distT="0" distB="0" distL="0" distR="0">
            <wp:extent cx="2495374" cy="142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3550" cy="1444883"/>
                    </a:xfrm>
                    <a:prstGeom prst="rect">
                      <a:avLst/>
                    </a:prstGeom>
                    <a:noFill/>
                    <a:ln>
                      <a:noFill/>
                    </a:ln>
                  </pic:spPr>
                </pic:pic>
              </a:graphicData>
            </a:graphic>
          </wp:inline>
        </w:drawing>
      </w:r>
      <w:r w:rsidR="00D8175A">
        <w:rPr>
          <w:rFonts w:asciiTheme="minorHAnsi" w:hAnsiTheme="minorHAnsi"/>
        </w:rPr>
        <w:t xml:space="preserve">   </w:t>
      </w:r>
      <w:r w:rsidR="00E4573B">
        <w:rPr>
          <w:rFonts w:asciiTheme="minorHAnsi" w:hAnsiTheme="minorHAnsi"/>
        </w:rPr>
        <w:t xml:space="preserve">   </w:t>
      </w:r>
      <w:r w:rsidR="00D8175A">
        <w:rPr>
          <w:rFonts w:asciiTheme="minorHAnsi" w:hAnsiTheme="minorHAnsi"/>
        </w:rPr>
        <w:t xml:space="preserve">        </w:t>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 xml:space="preserve">Figure </w:t>
      </w:r>
      <w:r w:rsidR="00FA552A">
        <w:rPr>
          <w:rFonts w:asciiTheme="minorHAnsi" w:eastAsia="MS PGothic" w:hAnsiTheme="minorHAnsi"/>
          <w:b/>
          <w:color w:val="000000"/>
          <w:szCs w:val="18"/>
          <w:lang w:val="en-US"/>
        </w:rPr>
        <w:t>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E254AC">
        <w:rPr>
          <w:rFonts w:asciiTheme="minorHAnsi" w:eastAsia="MS PGothic" w:hAnsiTheme="minorHAnsi"/>
          <w:color w:val="000000"/>
          <w:szCs w:val="18"/>
          <w:lang w:val="en-US"/>
        </w:rPr>
        <w:t>Product concentration profiles along the channel for (a) co-current and (b) counter-current flow of solvent</w:t>
      </w:r>
      <w:r w:rsidRPr="00DE0019">
        <w:rPr>
          <w:rFonts w:asciiTheme="minorHAnsi" w:eastAsia="MS PGothic" w:hAnsiTheme="minorHAnsi"/>
          <w:color w:val="000000"/>
          <w:szCs w:val="18"/>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3C4D39"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An existing </w:t>
      </w:r>
      <w:r w:rsidR="00995626">
        <w:rPr>
          <w:rFonts w:asciiTheme="minorHAnsi" w:eastAsia="MS PGothic" w:hAnsiTheme="minorHAnsi"/>
          <w:color w:val="000000"/>
          <w:sz w:val="22"/>
          <w:szCs w:val="22"/>
          <w:lang w:val="en-US"/>
        </w:rPr>
        <w:t xml:space="preserve">and </w:t>
      </w:r>
      <w:r>
        <w:rPr>
          <w:rFonts w:asciiTheme="minorHAnsi" w:eastAsia="MS PGothic" w:hAnsiTheme="minorHAnsi"/>
          <w:color w:val="000000"/>
          <w:sz w:val="22"/>
          <w:szCs w:val="22"/>
          <w:lang w:val="en-US"/>
        </w:rPr>
        <w:t>proven apparatus</w:t>
      </w:r>
      <w:r w:rsidR="00477E84">
        <w:rPr>
          <w:rFonts w:asciiTheme="minorHAnsi" w:eastAsia="MS PGothic" w:hAnsiTheme="minorHAnsi"/>
          <w:color w:val="000000"/>
          <w:sz w:val="22"/>
          <w:szCs w:val="22"/>
          <w:vertAlign w:val="superscript"/>
          <w:lang w:val="en-US"/>
        </w:rPr>
        <w:t>2.3</w:t>
      </w:r>
      <w:r>
        <w:rPr>
          <w:rFonts w:asciiTheme="minorHAnsi" w:eastAsia="MS PGothic" w:hAnsiTheme="minorHAnsi"/>
          <w:color w:val="000000"/>
          <w:sz w:val="22"/>
          <w:szCs w:val="22"/>
          <w:lang w:val="en-US"/>
        </w:rPr>
        <w:t xml:space="preserve"> will be used to produce continuous biofilm processing in a rotating spiral channel with simultaneous product extraction into a counter-flowing solvent stream.  A preliminary assessment will be presented at the congress.</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477E84" w:rsidRDefault="00477E84"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E. </w:t>
      </w:r>
      <w:proofErr w:type="spellStart"/>
      <w:r>
        <w:rPr>
          <w:rFonts w:asciiTheme="minorHAnsi" w:hAnsiTheme="minorHAnsi"/>
          <w:color w:val="000000"/>
        </w:rPr>
        <w:t>Karunakaran</w:t>
      </w:r>
      <w:bookmarkStart w:id="0" w:name="_GoBack"/>
      <w:bookmarkEnd w:id="0"/>
      <w:proofErr w:type="spellEnd"/>
      <w:r>
        <w:rPr>
          <w:rFonts w:asciiTheme="minorHAnsi" w:hAnsiTheme="minorHAnsi"/>
          <w:color w:val="000000"/>
        </w:rPr>
        <w:t>, B. Ramalingam, J. Mukherjee</w:t>
      </w:r>
      <w:r w:rsidR="006A0A6C">
        <w:rPr>
          <w:rFonts w:asciiTheme="minorHAnsi" w:hAnsiTheme="minorHAnsi"/>
          <w:color w:val="000000"/>
        </w:rPr>
        <w:t>, C. A. Biggs, Appl. Micro. Biotech. 90 (2011) 1869 – 1881.</w:t>
      </w:r>
    </w:p>
    <w:p w:rsidR="00893224" w:rsidRDefault="00893224" w:rsidP="00704BDF">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Pr>
          <w:rFonts w:asciiTheme="minorHAnsi" w:hAnsiTheme="minorHAnsi"/>
          <w:color w:val="000000"/>
        </w:rPr>
        <w:t>J.M</w:t>
      </w:r>
      <w:proofErr w:type="spellEnd"/>
      <w:r>
        <w:rPr>
          <w:rFonts w:asciiTheme="minorHAnsi" w:hAnsiTheme="minorHAnsi"/>
          <w:color w:val="000000"/>
        </w:rPr>
        <w:t xml:space="preserve">. MacInnes, </w:t>
      </w:r>
      <w:proofErr w:type="spellStart"/>
      <w:r>
        <w:rPr>
          <w:rFonts w:asciiTheme="minorHAnsi" w:hAnsiTheme="minorHAnsi"/>
          <w:color w:val="000000"/>
        </w:rPr>
        <w:t>M.K.S</w:t>
      </w:r>
      <w:proofErr w:type="spellEnd"/>
      <w:r>
        <w:rPr>
          <w:rFonts w:asciiTheme="minorHAnsi" w:hAnsiTheme="minorHAnsi"/>
          <w:color w:val="000000"/>
        </w:rPr>
        <w:t>. Zambri, Chem. Eng. Sci. 126 (2015) 427-439.</w:t>
      </w:r>
    </w:p>
    <w:p w:rsidR="00893224" w:rsidRDefault="00893224" w:rsidP="00704BDF">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Pr>
          <w:rFonts w:asciiTheme="minorHAnsi" w:hAnsiTheme="minorHAnsi"/>
          <w:color w:val="000000"/>
        </w:rPr>
        <w:t>J.M</w:t>
      </w:r>
      <w:proofErr w:type="spellEnd"/>
      <w:r>
        <w:rPr>
          <w:rFonts w:asciiTheme="minorHAnsi" w:hAnsiTheme="minorHAnsi"/>
          <w:color w:val="000000"/>
        </w:rPr>
        <w:t xml:space="preserve">. MacInnes, </w:t>
      </w:r>
      <w:proofErr w:type="spellStart"/>
      <w:r>
        <w:rPr>
          <w:rFonts w:asciiTheme="minorHAnsi" w:hAnsiTheme="minorHAnsi"/>
          <w:color w:val="000000"/>
        </w:rPr>
        <w:t>A.A</w:t>
      </w:r>
      <w:proofErr w:type="spellEnd"/>
      <w:r>
        <w:rPr>
          <w:rFonts w:asciiTheme="minorHAnsi" w:hAnsiTheme="minorHAnsi"/>
          <w:color w:val="000000"/>
        </w:rPr>
        <w:t xml:space="preserve">. </w:t>
      </w:r>
      <w:proofErr w:type="spellStart"/>
      <w:r>
        <w:rPr>
          <w:rFonts w:asciiTheme="minorHAnsi" w:hAnsiTheme="minorHAnsi"/>
          <w:color w:val="000000"/>
        </w:rPr>
        <w:t>Ayash</w:t>
      </w:r>
      <w:proofErr w:type="spellEnd"/>
      <w:r>
        <w:rPr>
          <w:rFonts w:asciiTheme="minorHAnsi" w:hAnsiTheme="minorHAnsi"/>
          <w:color w:val="000000"/>
        </w:rPr>
        <w:t>, Chem. Eng. Sci. 175 (2018) 320-334.</w:t>
      </w:r>
    </w:p>
    <w:p w:rsidR="005346C8" w:rsidRDefault="00893224" w:rsidP="00FA552A">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Pr>
          <w:rFonts w:asciiTheme="minorHAnsi" w:hAnsiTheme="minorHAnsi"/>
          <w:color w:val="000000"/>
        </w:rPr>
        <w:t>J.M</w:t>
      </w:r>
      <w:proofErr w:type="spellEnd"/>
      <w:r>
        <w:rPr>
          <w:rFonts w:asciiTheme="minorHAnsi" w:hAnsiTheme="minorHAnsi"/>
          <w:color w:val="000000"/>
        </w:rPr>
        <w:t xml:space="preserve">. MacInnes, </w:t>
      </w:r>
      <w:proofErr w:type="spellStart"/>
      <w:r>
        <w:rPr>
          <w:rFonts w:asciiTheme="minorHAnsi" w:hAnsiTheme="minorHAnsi"/>
          <w:color w:val="000000"/>
        </w:rPr>
        <w:t>M.J</w:t>
      </w:r>
      <w:proofErr w:type="spellEnd"/>
      <w:r>
        <w:rPr>
          <w:rFonts w:asciiTheme="minorHAnsi" w:hAnsiTheme="minorHAnsi"/>
          <w:color w:val="000000"/>
        </w:rPr>
        <w:t xml:space="preserve">. Pitt, </w:t>
      </w:r>
      <w:proofErr w:type="spellStart"/>
      <w:r>
        <w:rPr>
          <w:rFonts w:asciiTheme="minorHAnsi" w:hAnsiTheme="minorHAnsi"/>
          <w:color w:val="000000"/>
        </w:rPr>
        <w:t>G.H</w:t>
      </w:r>
      <w:proofErr w:type="spellEnd"/>
      <w:r>
        <w:rPr>
          <w:rFonts w:asciiTheme="minorHAnsi" w:hAnsiTheme="minorHAnsi"/>
          <w:color w:val="000000"/>
        </w:rPr>
        <w:t xml:space="preserve">. </w:t>
      </w:r>
      <w:proofErr w:type="spellStart"/>
      <w:r>
        <w:rPr>
          <w:rFonts w:asciiTheme="minorHAnsi" w:hAnsiTheme="minorHAnsi"/>
          <w:color w:val="000000"/>
        </w:rPr>
        <w:t>Priestman</w:t>
      </w:r>
      <w:proofErr w:type="spellEnd"/>
      <w:r>
        <w:rPr>
          <w:rFonts w:asciiTheme="minorHAnsi" w:hAnsiTheme="minorHAnsi"/>
          <w:color w:val="000000"/>
        </w:rPr>
        <w:t xml:space="preserve">, </w:t>
      </w:r>
      <w:proofErr w:type="spellStart"/>
      <w:r>
        <w:rPr>
          <w:rFonts w:asciiTheme="minorHAnsi" w:hAnsiTheme="minorHAnsi"/>
          <w:color w:val="000000"/>
        </w:rPr>
        <w:t>R.W.K</w:t>
      </w:r>
      <w:proofErr w:type="spellEnd"/>
      <w:r>
        <w:rPr>
          <w:rFonts w:asciiTheme="minorHAnsi" w:hAnsiTheme="minorHAnsi"/>
          <w:color w:val="000000"/>
        </w:rPr>
        <w:t>. Allen, Chem. Eng. Sci. 69</w:t>
      </w:r>
      <w:r w:rsidR="00FA552A">
        <w:rPr>
          <w:rFonts w:asciiTheme="minorHAnsi" w:hAnsiTheme="minorHAnsi"/>
          <w:color w:val="000000"/>
        </w:rPr>
        <w:t xml:space="preserve"> (2012) 304-315.</w:t>
      </w:r>
    </w:p>
    <w:p w:rsidR="004D1162" w:rsidRPr="00995626" w:rsidRDefault="00D8175A" w:rsidP="00704BDF">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eastAsia="zh-CN"/>
        </w:rPr>
      </w:pPr>
      <w:r w:rsidRPr="00995626">
        <w:rPr>
          <w:rFonts w:asciiTheme="minorHAnsi" w:hAnsiTheme="minorHAnsi"/>
          <w:color w:val="000000"/>
        </w:rPr>
        <w:t xml:space="preserve">M. </w:t>
      </w:r>
      <w:proofErr w:type="spellStart"/>
      <w:r w:rsidRPr="00995626">
        <w:rPr>
          <w:rFonts w:asciiTheme="minorHAnsi" w:hAnsiTheme="minorHAnsi"/>
          <w:color w:val="000000"/>
        </w:rPr>
        <w:t>Selmi</w:t>
      </w:r>
      <w:proofErr w:type="spellEnd"/>
      <w:r w:rsidRPr="00995626">
        <w:rPr>
          <w:rFonts w:asciiTheme="minorHAnsi" w:hAnsiTheme="minorHAnsi"/>
          <w:color w:val="000000"/>
        </w:rPr>
        <w:t>, K. Nandakumar, W.H. Finlay, J. Fluid Mech. 262 (1994) 353-375.</w:t>
      </w:r>
    </w:p>
    <w:sectPr w:rsidR="004D1162" w:rsidRPr="00995626"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726" w:rsidRDefault="00117726" w:rsidP="004F5E36">
      <w:r>
        <w:separator/>
      </w:r>
    </w:p>
  </w:endnote>
  <w:endnote w:type="continuationSeparator" w:id="0">
    <w:p w:rsidR="00117726" w:rsidRDefault="0011772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726" w:rsidRDefault="00117726" w:rsidP="004F5E36">
      <w:r>
        <w:separator/>
      </w:r>
    </w:p>
  </w:footnote>
  <w:footnote w:type="continuationSeparator" w:id="0">
    <w:p w:rsidR="00117726" w:rsidRDefault="00117726"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2D58F7"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AB2450"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B66229"/>
    <w:multiLevelType w:val="hybridMultilevel"/>
    <w:tmpl w:val="384E6614"/>
    <w:lvl w:ilvl="0" w:tplc="9DCC33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6"/>
  </w:num>
  <w:num w:numId="16">
    <w:abstractNumId w:val="17"/>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7532D"/>
    <w:rsid w:val="00084E0F"/>
    <w:rsid w:val="0009483D"/>
    <w:rsid w:val="000A03B2"/>
    <w:rsid w:val="000C1190"/>
    <w:rsid w:val="000D34BE"/>
    <w:rsid w:val="000E36F1"/>
    <w:rsid w:val="000E3A73"/>
    <w:rsid w:val="000E414A"/>
    <w:rsid w:val="00102026"/>
    <w:rsid w:val="00117726"/>
    <w:rsid w:val="001305D7"/>
    <w:rsid w:val="0013121F"/>
    <w:rsid w:val="00134DE4"/>
    <w:rsid w:val="00150E59"/>
    <w:rsid w:val="00184AD6"/>
    <w:rsid w:val="001B65C1"/>
    <w:rsid w:val="001C684B"/>
    <w:rsid w:val="001D53FC"/>
    <w:rsid w:val="001F2EC7"/>
    <w:rsid w:val="002065DB"/>
    <w:rsid w:val="002371DE"/>
    <w:rsid w:val="002440BB"/>
    <w:rsid w:val="002447EF"/>
    <w:rsid w:val="00251550"/>
    <w:rsid w:val="0027221A"/>
    <w:rsid w:val="00275B61"/>
    <w:rsid w:val="002D1F12"/>
    <w:rsid w:val="003009B7"/>
    <w:rsid w:val="0030469C"/>
    <w:rsid w:val="00312934"/>
    <w:rsid w:val="003723D4"/>
    <w:rsid w:val="003A7D1C"/>
    <w:rsid w:val="003C4D39"/>
    <w:rsid w:val="0046164A"/>
    <w:rsid w:val="00462DCD"/>
    <w:rsid w:val="00477E84"/>
    <w:rsid w:val="00483B0B"/>
    <w:rsid w:val="004D1162"/>
    <w:rsid w:val="004E4DD6"/>
    <w:rsid w:val="004F563B"/>
    <w:rsid w:val="004F5E36"/>
    <w:rsid w:val="004F740A"/>
    <w:rsid w:val="005119A5"/>
    <w:rsid w:val="005278B7"/>
    <w:rsid w:val="005346C8"/>
    <w:rsid w:val="00594E9F"/>
    <w:rsid w:val="005B61E6"/>
    <w:rsid w:val="005C77E1"/>
    <w:rsid w:val="005D6A2F"/>
    <w:rsid w:val="005E1A82"/>
    <w:rsid w:val="005F0A28"/>
    <w:rsid w:val="005F0E5E"/>
    <w:rsid w:val="00613FF0"/>
    <w:rsid w:val="00615B3F"/>
    <w:rsid w:val="00620DEE"/>
    <w:rsid w:val="00625639"/>
    <w:rsid w:val="0063583B"/>
    <w:rsid w:val="006366F8"/>
    <w:rsid w:val="0064184D"/>
    <w:rsid w:val="00660E3E"/>
    <w:rsid w:val="00662E74"/>
    <w:rsid w:val="006A0A6C"/>
    <w:rsid w:val="006B01AC"/>
    <w:rsid w:val="006B74A6"/>
    <w:rsid w:val="006C5579"/>
    <w:rsid w:val="00704BDF"/>
    <w:rsid w:val="00736B13"/>
    <w:rsid w:val="007447F3"/>
    <w:rsid w:val="007661C8"/>
    <w:rsid w:val="007D52CD"/>
    <w:rsid w:val="00813288"/>
    <w:rsid w:val="008168FC"/>
    <w:rsid w:val="008479A2"/>
    <w:rsid w:val="0087637F"/>
    <w:rsid w:val="00893224"/>
    <w:rsid w:val="008A1512"/>
    <w:rsid w:val="008D0BEB"/>
    <w:rsid w:val="008E566E"/>
    <w:rsid w:val="00901EB6"/>
    <w:rsid w:val="009450CE"/>
    <w:rsid w:val="0095164B"/>
    <w:rsid w:val="00995626"/>
    <w:rsid w:val="00996483"/>
    <w:rsid w:val="009E788A"/>
    <w:rsid w:val="00A1763D"/>
    <w:rsid w:val="00A17CEC"/>
    <w:rsid w:val="00A27EF0"/>
    <w:rsid w:val="00A76EFC"/>
    <w:rsid w:val="00A97F29"/>
    <w:rsid w:val="00AB0964"/>
    <w:rsid w:val="00AE377D"/>
    <w:rsid w:val="00B61DBF"/>
    <w:rsid w:val="00BC30C9"/>
    <w:rsid w:val="00BE3E58"/>
    <w:rsid w:val="00C01616"/>
    <w:rsid w:val="00C0162B"/>
    <w:rsid w:val="00C20E78"/>
    <w:rsid w:val="00C345B1"/>
    <w:rsid w:val="00C40142"/>
    <w:rsid w:val="00C57182"/>
    <w:rsid w:val="00C655FD"/>
    <w:rsid w:val="00C94434"/>
    <w:rsid w:val="00CA1C95"/>
    <w:rsid w:val="00CA5A9C"/>
    <w:rsid w:val="00CB227E"/>
    <w:rsid w:val="00CC3F4B"/>
    <w:rsid w:val="00CD5FE2"/>
    <w:rsid w:val="00D02B4C"/>
    <w:rsid w:val="00D21091"/>
    <w:rsid w:val="00D8175A"/>
    <w:rsid w:val="00D84576"/>
    <w:rsid w:val="00DE0019"/>
    <w:rsid w:val="00DE264A"/>
    <w:rsid w:val="00E041E7"/>
    <w:rsid w:val="00E23CA1"/>
    <w:rsid w:val="00E254AC"/>
    <w:rsid w:val="00E409A8"/>
    <w:rsid w:val="00E4573B"/>
    <w:rsid w:val="00E47211"/>
    <w:rsid w:val="00E7209D"/>
    <w:rsid w:val="00EA50E1"/>
    <w:rsid w:val="00EE0131"/>
    <w:rsid w:val="00EF11B4"/>
    <w:rsid w:val="00F30C64"/>
    <w:rsid w:val="00FA552A"/>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477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4E575-1882-4314-9E8A-146210E8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792</Words>
  <Characters>4520</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me1jmm</cp:lastModifiedBy>
  <cp:revision>4</cp:revision>
  <cp:lastPrinted>2015-05-12T18:31:00Z</cp:lastPrinted>
  <dcterms:created xsi:type="dcterms:W3CDTF">2019-03-29T09:17:00Z</dcterms:created>
  <dcterms:modified xsi:type="dcterms:W3CDTF">2019-03-29T09:27:00Z</dcterms:modified>
</cp:coreProperties>
</file>