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:rsidR="00704BDF" w:rsidRPr="00DE0019" w:rsidRDefault="00EB2C9B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bookmarkStart w:id="0" w:name="_GoBack"/>
      <w:bookmarkEnd w:id="0"/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>H</w:t>
      </w:r>
      <w:r w:rsidRPr="00EB2C9B">
        <w:rPr>
          <w:rFonts w:asciiTheme="minorHAnsi" w:eastAsia="MS PGothic" w:hAnsiTheme="minorHAnsi"/>
          <w:b/>
          <w:bCs/>
          <w:sz w:val="28"/>
          <w:szCs w:val="28"/>
          <w:vertAlign w:val="subscript"/>
          <w:lang w:val="en-US"/>
        </w:rPr>
        <w:t>2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Solubility in Gamma-Lactones for </w:t>
      </w:r>
      <w:proofErr w:type="spellStart"/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>Hydrodeoxygenation</w:t>
      </w:r>
      <w:proofErr w:type="spellEnd"/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to Biofuel Components</w:t>
      </w:r>
    </w:p>
    <w:p w:rsidR="00DE0019" w:rsidRPr="00EB2C9B" w:rsidRDefault="00EB2C9B" w:rsidP="00704BDF">
      <w:pPr>
        <w:snapToGrid w:val="0"/>
        <w:spacing w:after="120"/>
        <w:jc w:val="center"/>
        <w:rPr>
          <w:rFonts w:eastAsia="SimSun"/>
          <w:color w:val="000000"/>
          <w:lang w:val="en-US" w:eastAsia="zh-CN"/>
        </w:rPr>
      </w:pPr>
      <w:r w:rsidRPr="00EB2C9B"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>José Luis</w:t>
      </w:r>
      <w:r w:rsidR="00704BDF" w:rsidRPr="00EB2C9B"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 xml:space="preserve"> </w:t>
      </w:r>
      <w:r w:rsidRPr="00EB2C9B"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>González Escobedo</w:t>
      </w:r>
      <w:r w:rsidR="00704BDF" w:rsidRPr="00EB2C9B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en-US" w:eastAsia="zh-CN"/>
        </w:rPr>
        <w:t>1</w:t>
      </w:r>
      <w:r w:rsidRPr="00EB2C9B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en-US" w:eastAsia="zh-CN"/>
        </w:rPr>
        <w:t>*</w:t>
      </w:r>
      <w:r w:rsidR="00736B13" w:rsidRPr="00EB2C9B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, </w:t>
      </w:r>
      <w:r w:rsidRPr="00EB2C9B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Petri Uusi-Kyyny</w:t>
      </w:r>
      <w:r w:rsidRPr="00EB2C9B">
        <w:rPr>
          <w:rFonts w:eastAsia="SimSun"/>
          <w:color w:val="000000"/>
          <w:vertAlign w:val="superscript"/>
          <w:lang w:val="en-US" w:eastAsia="zh-CN"/>
        </w:rPr>
        <w:t>1</w:t>
      </w:r>
      <w:r w:rsidRPr="00EB2C9B">
        <w:rPr>
          <w:rFonts w:eastAsia="SimSun"/>
          <w:color w:val="000000"/>
          <w:lang w:val="en-US" w:eastAsia="zh-CN"/>
        </w:rPr>
        <w:t>,</w:t>
      </w:r>
      <w:r w:rsidRPr="00EB2C9B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 Riikka L. Puurunen</w:t>
      </w:r>
      <w:r w:rsidRPr="00EB2C9B">
        <w:rPr>
          <w:rFonts w:eastAsia="SimSun"/>
          <w:color w:val="000000"/>
          <w:vertAlign w:val="superscript"/>
          <w:lang w:val="en-US" w:eastAsia="zh-CN"/>
        </w:rPr>
        <w:t>1</w:t>
      </w:r>
      <w:r w:rsidRPr="00EB2C9B">
        <w:rPr>
          <w:rFonts w:eastAsia="SimSun"/>
          <w:color w:val="000000"/>
          <w:lang w:val="en-US" w:eastAsia="zh-CN"/>
        </w:rPr>
        <w:t>,</w:t>
      </w:r>
      <w:r w:rsidRPr="00EB2C9B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 </w:t>
      </w:r>
      <w:r w:rsidR="002F1B63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Ville Al</w:t>
      </w:r>
      <w:r w:rsidRPr="00EB2C9B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opaeus</w:t>
      </w:r>
      <w:r w:rsidRPr="00EB2C9B">
        <w:rPr>
          <w:rFonts w:eastAsia="SimSun"/>
          <w:color w:val="000000"/>
          <w:vertAlign w:val="superscript"/>
          <w:lang w:val="en-US" w:eastAsia="zh-CN"/>
        </w:rPr>
        <w:t>1</w:t>
      </w:r>
      <w:r w:rsidRPr="00EB2C9B">
        <w:rPr>
          <w:rFonts w:eastAsia="SimSun"/>
          <w:color w:val="000000"/>
          <w:lang w:val="en-US" w:eastAsia="zh-CN"/>
        </w:rPr>
        <w:t>,</w:t>
      </w:r>
    </w:p>
    <w:p w:rsidR="00704BDF" w:rsidRPr="00EB2C9B" w:rsidRDefault="00704BDF" w:rsidP="00EB2C9B">
      <w:pPr>
        <w:tabs>
          <w:tab w:val="clear" w:pos="7100"/>
        </w:tabs>
        <w:autoSpaceDE w:val="0"/>
        <w:autoSpaceDN w:val="0"/>
        <w:adjustRightInd w:val="0"/>
        <w:spacing w:line="240" w:lineRule="auto"/>
        <w:jc w:val="center"/>
        <w:rPr>
          <w:rFonts w:asciiTheme="minorHAnsi" w:eastAsiaTheme="minorHAnsi" w:hAnsiTheme="minorHAnsi" w:cstheme="minorHAnsi"/>
          <w:i/>
          <w:sz w:val="20"/>
          <w:lang w:val="en-US"/>
        </w:rPr>
      </w:pPr>
      <w:r w:rsidRPr="00EB2C9B">
        <w:rPr>
          <w:rFonts w:asciiTheme="minorHAnsi" w:eastAsia="MS PGothic" w:hAnsiTheme="minorHAnsi" w:cstheme="minorHAnsi"/>
          <w:i/>
          <w:iCs/>
          <w:color w:val="000000"/>
          <w:sz w:val="20"/>
          <w:lang w:val="en-US"/>
        </w:rPr>
        <w:t xml:space="preserve">1 </w:t>
      </w:r>
      <w:r w:rsidR="00EB2C9B" w:rsidRPr="00EB2C9B">
        <w:rPr>
          <w:rFonts w:asciiTheme="minorHAnsi" w:eastAsiaTheme="minorHAnsi" w:hAnsiTheme="minorHAnsi" w:cstheme="minorHAnsi"/>
          <w:i/>
          <w:sz w:val="20"/>
          <w:lang w:val="en-US"/>
        </w:rPr>
        <w:t>Department of Chemical and Metallurgical Engineering,</w:t>
      </w:r>
      <w:r w:rsidR="00F24FD3">
        <w:rPr>
          <w:rFonts w:asciiTheme="minorHAnsi" w:eastAsiaTheme="minorHAnsi" w:hAnsiTheme="minorHAnsi" w:cstheme="minorHAnsi"/>
          <w:i/>
          <w:sz w:val="20"/>
          <w:lang w:val="en-US"/>
        </w:rPr>
        <w:t xml:space="preserve"> </w:t>
      </w:r>
      <w:r w:rsidR="00EB2C9B">
        <w:rPr>
          <w:rFonts w:asciiTheme="minorHAnsi" w:eastAsiaTheme="minorHAnsi" w:hAnsiTheme="minorHAnsi" w:cstheme="minorHAnsi"/>
          <w:i/>
          <w:sz w:val="20"/>
          <w:lang w:val="en-US"/>
        </w:rPr>
        <w:t>Aalto University</w:t>
      </w:r>
      <w:proofErr w:type="gramStart"/>
      <w:r w:rsidR="00EB2C9B">
        <w:rPr>
          <w:rFonts w:asciiTheme="minorHAnsi" w:eastAsiaTheme="minorHAnsi" w:hAnsiTheme="minorHAnsi" w:cstheme="minorHAnsi"/>
          <w:i/>
          <w:sz w:val="20"/>
          <w:lang w:val="en-US"/>
        </w:rPr>
        <w:t>,</w:t>
      </w:r>
      <w:proofErr w:type="gramEnd"/>
      <w:r w:rsidR="00EB2C9B">
        <w:rPr>
          <w:rFonts w:asciiTheme="minorHAnsi" w:eastAsiaTheme="minorHAnsi" w:hAnsiTheme="minorHAnsi" w:cstheme="minorHAnsi"/>
          <w:i/>
          <w:sz w:val="20"/>
          <w:lang w:val="en-US"/>
        </w:rPr>
        <w:br/>
      </w:r>
      <w:r w:rsidR="00EB2C9B" w:rsidRPr="00EB2C9B">
        <w:rPr>
          <w:rFonts w:asciiTheme="minorHAnsi" w:eastAsiaTheme="minorHAnsi" w:hAnsiTheme="minorHAnsi" w:cstheme="minorHAnsi"/>
          <w:i/>
          <w:sz w:val="20"/>
          <w:lang w:val="en-US"/>
        </w:rPr>
        <w:t>P.O. Box 16100, 00076 Aalto, Finland</w:t>
      </w:r>
    </w:p>
    <w:p w:rsidR="00704BDF" w:rsidRPr="00DE0019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 w:rsidR="00EB2C9B">
        <w:rPr>
          <w:rFonts w:asciiTheme="minorHAnsi" w:eastAsia="MS PGothic" w:hAnsiTheme="minorHAnsi"/>
          <w:bCs/>
          <w:i/>
          <w:iCs/>
          <w:sz w:val="20"/>
          <w:lang w:val="en-US"/>
        </w:rPr>
        <w:t>jose.gonzalezescobedo@aalto.fi</w:t>
      </w:r>
    </w:p>
    <w:p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:rsidR="00EB2C9B" w:rsidRDefault="00EB2C9B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Gamma-Lactones are derivatives and model compounds of </w:t>
      </w:r>
      <w:proofErr w:type="spellStart"/>
      <w:r>
        <w:rPr>
          <w:rFonts w:asciiTheme="minorHAnsi" w:hAnsiTheme="minorHAnsi"/>
        </w:rPr>
        <w:t>biorefinery</w:t>
      </w:r>
      <w:proofErr w:type="spellEnd"/>
      <w:r>
        <w:rPr>
          <w:rFonts w:asciiTheme="minorHAnsi" w:hAnsiTheme="minorHAnsi"/>
        </w:rPr>
        <w:t xml:space="preserve"> platform compounds.</w:t>
      </w:r>
    </w:p>
    <w:p w:rsidR="00704BDF" w:rsidRPr="00EC66CC" w:rsidRDefault="00EB2C9B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H</w:t>
      </w:r>
      <w:r w:rsidRPr="00EB2C9B">
        <w:rPr>
          <w:rFonts w:asciiTheme="minorHAnsi" w:hAnsiTheme="minorHAnsi"/>
          <w:vertAlign w:val="subscript"/>
        </w:rPr>
        <w:t>2</w:t>
      </w:r>
      <w:r w:rsidR="00B769F8">
        <w:rPr>
          <w:rFonts w:asciiTheme="minorHAnsi" w:hAnsiTheme="minorHAnsi"/>
        </w:rPr>
        <w:t xml:space="preserve"> s</w:t>
      </w:r>
      <w:r>
        <w:rPr>
          <w:rFonts w:asciiTheme="minorHAnsi" w:hAnsiTheme="minorHAnsi"/>
        </w:rPr>
        <w:t xml:space="preserve">olubility is </w:t>
      </w:r>
      <w:r w:rsidR="00B769F8">
        <w:rPr>
          <w:rFonts w:asciiTheme="minorHAnsi" w:hAnsiTheme="minorHAnsi"/>
        </w:rPr>
        <w:t>important</w:t>
      </w:r>
      <w:r>
        <w:rPr>
          <w:rFonts w:asciiTheme="minorHAnsi" w:hAnsiTheme="minorHAnsi"/>
        </w:rPr>
        <w:t xml:space="preserve"> in liquid-phase</w:t>
      </w:r>
      <w:r w:rsidR="00881F78">
        <w:rPr>
          <w:rFonts w:asciiTheme="minorHAnsi" w:hAnsiTheme="minorHAnsi"/>
        </w:rPr>
        <w:t xml:space="preserve"> </w:t>
      </w:r>
      <w:proofErr w:type="spellStart"/>
      <w:r w:rsidR="00F24FD3">
        <w:rPr>
          <w:rFonts w:asciiTheme="minorHAnsi" w:hAnsiTheme="minorHAnsi"/>
        </w:rPr>
        <w:t>Hydrodeoxy</w:t>
      </w:r>
      <w:r w:rsidR="00881F78">
        <w:rPr>
          <w:rFonts w:asciiTheme="minorHAnsi" w:hAnsiTheme="minorHAnsi"/>
        </w:rPr>
        <w:t>genation</w:t>
      </w:r>
      <w:proofErr w:type="spellEnd"/>
      <w:r w:rsidR="00881F78">
        <w:rPr>
          <w:rFonts w:asciiTheme="minorHAnsi" w:hAnsiTheme="minorHAnsi"/>
        </w:rPr>
        <w:t xml:space="preserve"> for biofuel production.</w:t>
      </w:r>
    </w:p>
    <w:p w:rsidR="00704BDF" w:rsidRDefault="00B769F8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In </w:t>
      </w:r>
      <w:r>
        <w:rPr>
          <w:rFonts w:asciiTheme="minorHAnsi" w:hAnsiTheme="minorHAnsi" w:cstheme="minorHAnsi"/>
        </w:rPr>
        <w:t>γ</w:t>
      </w:r>
      <w:r>
        <w:rPr>
          <w:rFonts w:asciiTheme="minorHAnsi" w:hAnsiTheme="minorHAnsi"/>
        </w:rPr>
        <w:t>-</w:t>
      </w:r>
      <w:proofErr w:type="spellStart"/>
      <w:r>
        <w:rPr>
          <w:rFonts w:asciiTheme="minorHAnsi" w:hAnsiTheme="minorHAnsi"/>
        </w:rPr>
        <w:t>nonalactone</w:t>
      </w:r>
      <w:proofErr w:type="spellEnd"/>
      <w:r>
        <w:rPr>
          <w:rFonts w:asciiTheme="minorHAnsi" w:hAnsiTheme="minorHAnsi"/>
        </w:rPr>
        <w:t>, solubility increased more from 200 to 250 °C than from 250 to 300 °C.</w:t>
      </w:r>
    </w:p>
    <w:p w:rsidR="00B769F8" w:rsidRPr="00EC66CC" w:rsidRDefault="00C67AEA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The s</w:t>
      </w:r>
      <w:r w:rsidR="00B769F8">
        <w:rPr>
          <w:rFonts w:asciiTheme="minorHAnsi" w:hAnsiTheme="minorHAnsi"/>
        </w:rPr>
        <w:t xml:space="preserve">olubility </w:t>
      </w:r>
      <w:r>
        <w:rPr>
          <w:rFonts w:asciiTheme="minorHAnsi" w:hAnsiTheme="minorHAnsi"/>
        </w:rPr>
        <w:t>of H</w:t>
      </w:r>
      <w:r w:rsidRPr="00C67AEA">
        <w:rPr>
          <w:rFonts w:asciiTheme="minorHAnsi" w:hAnsiTheme="minorHAnsi"/>
          <w:vertAlign w:val="subscript"/>
        </w:rPr>
        <w:t>2</w:t>
      </w:r>
      <w:r>
        <w:rPr>
          <w:rFonts w:asciiTheme="minorHAnsi" w:hAnsiTheme="minorHAnsi"/>
        </w:rPr>
        <w:t xml:space="preserve"> </w:t>
      </w:r>
      <w:r w:rsidR="00B769F8">
        <w:rPr>
          <w:rFonts w:asciiTheme="minorHAnsi" w:hAnsiTheme="minorHAnsi"/>
        </w:rPr>
        <w:t xml:space="preserve">was greater in </w:t>
      </w:r>
      <w:r w:rsidR="00B769F8">
        <w:rPr>
          <w:rFonts w:asciiTheme="minorHAnsi" w:hAnsiTheme="minorHAnsi" w:cstheme="minorHAnsi"/>
        </w:rPr>
        <w:t>γ</w:t>
      </w:r>
      <w:r w:rsidR="00B769F8">
        <w:rPr>
          <w:rFonts w:asciiTheme="minorHAnsi" w:hAnsiTheme="minorHAnsi"/>
        </w:rPr>
        <w:t>-</w:t>
      </w:r>
      <w:proofErr w:type="spellStart"/>
      <w:r w:rsidR="00B769F8">
        <w:rPr>
          <w:rFonts w:asciiTheme="minorHAnsi" w:hAnsiTheme="minorHAnsi"/>
        </w:rPr>
        <w:t>nonalactone</w:t>
      </w:r>
      <w:proofErr w:type="spellEnd"/>
      <w:r w:rsidR="00B769F8">
        <w:rPr>
          <w:rFonts w:asciiTheme="minorHAnsi" w:hAnsiTheme="minorHAnsi"/>
        </w:rPr>
        <w:t xml:space="preserve"> than in </w:t>
      </w:r>
      <w:r w:rsidR="00B769F8">
        <w:rPr>
          <w:rFonts w:asciiTheme="minorHAnsi" w:hAnsiTheme="minorHAnsi" w:cstheme="minorHAnsi"/>
        </w:rPr>
        <w:t>γ</w:t>
      </w:r>
      <w:r w:rsidR="00B769F8">
        <w:rPr>
          <w:rFonts w:asciiTheme="minorHAnsi" w:hAnsiTheme="minorHAnsi"/>
        </w:rPr>
        <w:t>-</w:t>
      </w:r>
      <w:proofErr w:type="spellStart"/>
      <w:r w:rsidR="00B769F8">
        <w:rPr>
          <w:rFonts w:asciiTheme="minorHAnsi" w:hAnsiTheme="minorHAnsi"/>
        </w:rPr>
        <w:t>heptalactone</w:t>
      </w:r>
      <w:proofErr w:type="spellEnd"/>
      <w:r w:rsidR="00B769F8">
        <w:rPr>
          <w:rFonts w:asciiTheme="minorHAnsi" w:hAnsiTheme="minorHAnsi"/>
        </w:rPr>
        <w:t>.</w:t>
      </w:r>
    </w:p>
    <w:p w:rsidR="00704BDF" w:rsidRPr="00A15B93" w:rsidRDefault="00704BDF" w:rsidP="00704BDF">
      <w:pPr>
        <w:snapToGrid w:val="0"/>
        <w:spacing w:after="120"/>
        <w:jc w:val="center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:rsidR="00C867B1" w:rsidRPr="008D0BEB" w:rsidRDefault="00C87073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proofErr w:type="spell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Levulinic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acid (LA) dimers are a potential platform stream</w:t>
      </w:r>
      <w:r w:rsidR="00B740A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lignocellulose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biorefineries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[</w:t>
      </w:r>
      <w:r w:rsidR="002B132E">
        <w:rPr>
          <w:rFonts w:asciiTheme="minorHAnsi" w:eastAsia="MS PGothic" w:hAnsiTheme="minorHAnsi"/>
          <w:color w:val="000000"/>
          <w:sz w:val="22"/>
          <w:szCs w:val="22"/>
          <w:lang w:val="en-US"/>
        </w:rPr>
        <w:t>1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]. LA dimers are slightly branched C</w:t>
      </w:r>
      <w:r w:rsidRPr="00C87073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10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molecules, containing lactone, carbonyl, and carboxyl moieties, which </w:t>
      </w:r>
      <w:proofErr w:type="gram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cannot be blended</w:t>
      </w:r>
      <w:proofErr w:type="gram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fuel. However, valorization could be possible by </w:t>
      </w:r>
      <w:r w:rsidR="0055070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heterogeneously catalyzed 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hydrodeoxygenation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(HDO).</w:t>
      </w:r>
      <w:r w:rsidR="00E9565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Recently, the</w:t>
      </w:r>
      <w:r w:rsidR="002B132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HDO of LA dimers has been assessed through the study of a relevant model compound,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γ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-</w:t>
      </w:r>
      <w:proofErr w:type="spellStart"/>
      <w:r w:rsidR="002B132E">
        <w:rPr>
          <w:rFonts w:asciiTheme="minorHAnsi" w:eastAsia="MS PGothic" w:hAnsiTheme="minorHAnsi"/>
          <w:color w:val="000000"/>
          <w:sz w:val="22"/>
          <w:szCs w:val="22"/>
          <w:lang w:val="en-US"/>
        </w:rPr>
        <w:t>Nonalactone</w:t>
      </w:r>
      <w:proofErr w:type="spellEnd"/>
      <w:r w:rsidR="00784D2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(GNL)</w:t>
      </w:r>
      <w:r w:rsidR="00B740A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at </w:t>
      </w:r>
      <w:proofErr w:type="gramStart"/>
      <w:r w:rsidR="00B740A1">
        <w:rPr>
          <w:rFonts w:asciiTheme="minorHAnsi" w:eastAsia="MS PGothic" w:hAnsiTheme="minorHAnsi"/>
          <w:color w:val="000000"/>
          <w:sz w:val="22"/>
          <w:szCs w:val="22"/>
          <w:lang w:val="en-US"/>
        </w:rPr>
        <w:t>6</w:t>
      </w:r>
      <w:proofErr w:type="gramEnd"/>
      <w:r w:rsidR="00B740A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MPa</w:t>
      </w:r>
      <w:r w:rsidR="0055070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H</w:t>
      </w:r>
      <w:r w:rsidR="00550705" w:rsidRPr="00550705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B740A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at 200-280 °C</w:t>
      </w:r>
      <w:r w:rsidR="002B132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[2]</w:t>
      </w:r>
      <w:r w:rsidR="00B740A1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55070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Because HDO </w:t>
      </w:r>
      <w:proofErr w:type="gramStart"/>
      <w:r w:rsidR="00DB45F4">
        <w:rPr>
          <w:rFonts w:asciiTheme="minorHAnsi" w:eastAsia="MS PGothic" w:hAnsiTheme="minorHAnsi"/>
          <w:color w:val="000000"/>
          <w:sz w:val="22"/>
          <w:szCs w:val="22"/>
          <w:lang w:val="en-US"/>
        </w:rPr>
        <w:t>is performed</w:t>
      </w:r>
      <w:proofErr w:type="gramEnd"/>
      <w:r w:rsidR="00DB45F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three phases</w:t>
      </w:r>
      <w:r w:rsidR="00550705">
        <w:rPr>
          <w:rFonts w:asciiTheme="minorHAnsi" w:eastAsia="MS PGothic" w:hAnsiTheme="minorHAnsi"/>
          <w:color w:val="000000"/>
          <w:sz w:val="22"/>
          <w:szCs w:val="22"/>
          <w:lang w:val="en-US"/>
        </w:rPr>
        <w:t>, H</w:t>
      </w:r>
      <w:r w:rsidR="00550705" w:rsidRPr="00550705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55070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can only reach the catalyst after its dissolution</w:t>
      </w:r>
      <w:r w:rsidR="00DB45F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from the gas phase</w:t>
      </w:r>
      <w:r w:rsidR="0055070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</w:t>
      </w:r>
      <w:r w:rsidR="00DB45F4">
        <w:rPr>
          <w:rFonts w:asciiTheme="minorHAnsi" w:eastAsia="MS PGothic" w:hAnsiTheme="minorHAnsi"/>
          <w:color w:val="000000"/>
          <w:sz w:val="22"/>
          <w:szCs w:val="22"/>
          <w:lang w:val="en-US"/>
        </w:rPr>
        <w:t>to</w:t>
      </w:r>
      <w:r w:rsidR="0055070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liquid reaction mixture.</w:t>
      </w:r>
      <w:r w:rsidR="00784D2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Due to lack of empirical data on the solubility of H</w:t>
      </w:r>
      <w:r w:rsidR="00784D2E" w:rsidRPr="00784D2E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784D2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GNL, it is difficult to </w:t>
      </w:r>
      <w:r w:rsidR="00F01B0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clarify the effect of hydrogen on the reaction. </w:t>
      </w:r>
      <w:r w:rsidR="00495E45">
        <w:rPr>
          <w:rFonts w:asciiTheme="minorHAnsi" w:eastAsia="MS PGothic" w:hAnsiTheme="minorHAnsi"/>
          <w:color w:val="000000"/>
          <w:sz w:val="22"/>
          <w:szCs w:val="22"/>
          <w:lang w:val="en-US"/>
        </w:rPr>
        <w:t>Thus, in the present work, the solubility of gaseous H</w:t>
      </w:r>
      <w:r w:rsidR="00495E45" w:rsidRPr="00495E45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495E4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liquid lactones </w:t>
      </w:r>
      <w:proofErr w:type="gramStart"/>
      <w:r w:rsidR="00495E45">
        <w:rPr>
          <w:rFonts w:asciiTheme="minorHAnsi" w:eastAsia="MS PGothic" w:hAnsiTheme="minorHAnsi"/>
          <w:color w:val="000000"/>
          <w:sz w:val="22"/>
          <w:szCs w:val="22"/>
          <w:lang w:val="en-US"/>
        </w:rPr>
        <w:t>was studied</w:t>
      </w:r>
      <w:proofErr w:type="gramEnd"/>
      <w:r w:rsidR="00495E4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at temperatures and pressures relevant to HDO. The </w:t>
      </w:r>
      <w:r w:rsidR="00B75D0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length of the </w:t>
      </w:r>
      <w:r w:rsidR="00495E4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aliphatic side chain </w:t>
      </w:r>
      <w:proofErr w:type="gramStart"/>
      <w:r w:rsidR="00495E45">
        <w:rPr>
          <w:rFonts w:asciiTheme="minorHAnsi" w:eastAsia="MS PGothic" w:hAnsiTheme="minorHAnsi"/>
          <w:color w:val="000000"/>
          <w:sz w:val="22"/>
          <w:szCs w:val="22"/>
          <w:lang w:val="en-US"/>
        </w:rPr>
        <w:t>was thought</w:t>
      </w:r>
      <w:proofErr w:type="gramEnd"/>
      <w:r w:rsidR="00495E4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 improve the solubility. Hence, </w:t>
      </w:r>
      <w:r w:rsidR="00B75D0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both </w:t>
      </w:r>
      <w:r w:rsidR="00495E45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γ</w:t>
      </w:r>
      <w:r w:rsidR="00495E45">
        <w:rPr>
          <w:rFonts w:asciiTheme="minorHAnsi" w:eastAsia="MS PGothic" w:hAnsiTheme="minorHAnsi"/>
          <w:color w:val="000000"/>
          <w:sz w:val="22"/>
          <w:szCs w:val="22"/>
          <w:lang w:val="en-US"/>
        </w:rPr>
        <w:t>-</w:t>
      </w:r>
      <w:proofErr w:type="spellStart"/>
      <w:r w:rsidR="00495E45">
        <w:rPr>
          <w:rFonts w:asciiTheme="minorHAnsi" w:eastAsia="MS PGothic" w:hAnsiTheme="minorHAnsi"/>
          <w:color w:val="000000"/>
          <w:sz w:val="22"/>
          <w:szCs w:val="22"/>
          <w:lang w:val="en-US"/>
        </w:rPr>
        <w:t>heptalactone</w:t>
      </w:r>
      <w:proofErr w:type="spellEnd"/>
      <w:r w:rsidR="00495E4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(GHL) </w:t>
      </w:r>
      <w:r w:rsidR="00B75D0D">
        <w:rPr>
          <w:rFonts w:asciiTheme="minorHAnsi" w:eastAsia="MS PGothic" w:hAnsiTheme="minorHAnsi"/>
          <w:color w:val="000000"/>
          <w:sz w:val="22"/>
          <w:szCs w:val="22"/>
          <w:lang w:val="en-US"/>
        </w:rPr>
        <w:t>and</w:t>
      </w:r>
      <w:r w:rsidR="00495E4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GNL</w:t>
      </w:r>
      <w:r w:rsidR="00B75D0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proofErr w:type="gramStart"/>
      <w:r w:rsidR="00B75D0D">
        <w:rPr>
          <w:rFonts w:asciiTheme="minorHAnsi" w:eastAsia="MS PGothic" w:hAnsiTheme="minorHAnsi"/>
          <w:color w:val="000000"/>
          <w:sz w:val="22"/>
          <w:szCs w:val="22"/>
          <w:lang w:val="en-US"/>
        </w:rPr>
        <w:t>were studied</w:t>
      </w:r>
      <w:proofErr w:type="gramEnd"/>
      <w:r w:rsidR="00495E45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:rsidR="00704BDF" w:rsidRPr="008D0BEB" w:rsidRDefault="00704BDF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:rsidR="00704BDF" w:rsidRDefault="00FE757A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lactones </w:t>
      </w:r>
      <w:proofErr w:type="gram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were purified</w:t>
      </w:r>
      <w:proofErr w:type="gram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by vacuum distillation at 60 mbar before use.</w:t>
      </w:r>
      <w:r w:rsidR="000344A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1F69B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solubility measurements </w:t>
      </w:r>
      <w:proofErr w:type="gramStart"/>
      <w:r w:rsidR="001F69B7">
        <w:rPr>
          <w:rFonts w:asciiTheme="minorHAnsi" w:eastAsia="MS PGothic" w:hAnsiTheme="minorHAnsi"/>
          <w:color w:val="000000"/>
          <w:sz w:val="22"/>
          <w:szCs w:val="22"/>
          <w:lang w:val="en-US"/>
        </w:rPr>
        <w:t>were performed</w:t>
      </w:r>
      <w:proofErr w:type="gramEnd"/>
      <w:r w:rsidR="001F69B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a continuous flow apparatus with temperature and pressure control. The saturation point </w:t>
      </w:r>
      <w:proofErr w:type="gramStart"/>
      <w:r w:rsidR="001F69B7">
        <w:rPr>
          <w:rFonts w:asciiTheme="minorHAnsi" w:eastAsia="MS PGothic" w:hAnsiTheme="minorHAnsi"/>
          <w:color w:val="000000"/>
          <w:sz w:val="22"/>
          <w:szCs w:val="22"/>
          <w:lang w:val="en-US"/>
        </w:rPr>
        <w:t>was identified</w:t>
      </w:r>
      <w:proofErr w:type="gramEnd"/>
      <w:r w:rsidR="001F69B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by the appearance of</w:t>
      </w:r>
      <w:r w:rsidR="00DF63F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gas bubbles in the liquid flow, which was monitored in an optical cell. </w:t>
      </w:r>
      <w:proofErr w:type="spellStart"/>
      <w:r w:rsidR="00784D2E">
        <w:rPr>
          <w:rFonts w:asciiTheme="minorHAnsi" w:eastAsia="MS PGothic" w:hAnsiTheme="minorHAnsi"/>
          <w:color w:val="000000"/>
          <w:sz w:val="22"/>
          <w:szCs w:val="22"/>
          <w:lang w:val="en-US"/>
        </w:rPr>
        <w:t>Saajanlehto</w:t>
      </w:r>
      <w:proofErr w:type="spellEnd"/>
      <w:r w:rsidR="00784D2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et al. [3] described the apparatus and the procedure in detail. For each lactone, H</w:t>
      </w:r>
      <w:r w:rsidR="00784D2E" w:rsidRPr="00474AEC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784D2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solubility </w:t>
      </w:r>
      <w:proofErr w:type="gramStart"/>
      <w:r w:rsidR="00784D2E">
        <w:rPr>
          <w:rFonts w:asciiTheme="minorHAnsi" w:eastAsia="MS PGothic" w:hAnsiTheme="minorHAnsi"/>
          <w:color w:val="000000"/>
          <w:sz w:val="22"/>
          <w:szCs w:val="22"/>
          <w:lang w:val="en-US"/>
        </w:rPr>
        <w:t>was measured</w:t>
      </w:r>
      <w:proofErr w:type="gramEnd"/>
      <w:r w:rsidR="00784D2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at 200, 250, and 300 °C and for pressures in the range of 3 to 10 MPa.</w:t>
      </w:r>
      <w:r w:rsidR="00474AE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474AEC" w:rsidRPr="00DE06B5">
        <w:rPr>
          <w:rFonts w:asciiTheme="minorHAnsi" w:eastAsia="MS PGothic" w:hAnsiTheme="minorHAnsi"/>
          <w:sz w:val="22"/>
          <w:szCs w:val="22"/>
          <w:lang w:val="en-US"/>
        </w:rPr>
        <w:t>The isotherms</w:t>
      </w:r>
      <w:r w:rsidR="00205295" w:rsidRPr="00DE06B5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r w:rsidR="00205295">
        <w:rPr>
          <w:rFonts w:asciiTheme="minorHAnsi" w:eastAsia="MS PGothic" w:hAnsiTheme="minorHAnsi"/>
          <w:color w:val="000000"/>
          <w:sz w:val="22"/>
          <w:szCs w:val="22"/>
          <w:lang w:val="en-US"/>
        </w:rPr>
        <w:t>(H</w:t>
      </w:r>
      <w:r w:rsidR="00205295" w:rsidRPr="00205295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20529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mole fraction vs. pressure</w:t>
      </w:r>
      <w:r w:rsidR="00DE06B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at selected constant temperatures</w:t>
      </w:r>
      <w:r w:rsidR="00205295"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 w:rsidR="00474AE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are expected to intercept the </w:t>
      </w:r>
      <w:proofErr w:type="gramStart"/>
      <w:r w:rsidR="00474AEC">
        <w:rPr>
          <w:rFonts w:asciiTheme="minorHAnsi" w:eastAsia="MS PGothic" w:hAnsiTheme="minorHAnsi"/>
          <w:color w:val="000000"/>
          <w:sz w:val="22"/>
          <w:szCs w:val="22"/>
          <w:lang w:val="en-US"/>
        </w:rPr>
        <w:t>y axis</w:t>
      </w:r>
      <w:proofErr w:type="gramEnd"/>
      <w:r w:rsidR="00474AE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at a value equal to the vapor pressure of the pure lac</w:t>
      </w:r>
      <w:r w:rsidR="00F01B02">
        <w:rPr>
          <w:rFonts w:asciiTheme="minorHAnsi" w:eastAsia="MS PGothic" w:hAnsiTheme="minorHAnsi"/>
          <w:color w:val="000000"/>
          <w:sz w:val="22"/>
          <w:szCs w:val="22"/>
          <w:lang w:val="en-US"/>
        </w:rPr>
        <w:t>tone at the given temperature. Th</w:t>
      </w:r>
      <w:r w:rsidR="00E95654">
        <w:rPr>
          <w:rFonts w:asciiTheme="minorHAnsi" w:eastAsia="MS PGothic" w:hAnsiTheme="minorHAnsi"/>
          <w:color w:val="000000"/>
          <w:sz w:val="22"/>
          <w:szCs w:val="22"/>
          <w:lang w:val="en-US"/>
        </w:rPr>
        <w:t>us, th</w:t>
      </w:r>
      <w:r w:rsidR="00F01B02">
        <w:rPr>
          <w:rFonts w:asciiTheme="minorHAnsi" w:eastAsia="MS PGothic" w:hAnsiTheme="minorHAnsi"/>
          <w:color w:val="000000"/>
          <w:sz w:val="22"/>
          <w:szCs w:val="22"/>
          <w:lang w:val="en-US"/>
        </w:rPr>
        <w:t>e v</w:t>
      </w:r>
      <w:r w:rsidR="00474AEC">
        <w:rPr>
          <w:rFonts w:asciiTheme="minorHAnsi" w:eastAsia="MS PGothic" w:hAnsiTheme="minorHAnsi"/>
          <w:color w:val="000000"/>
          <w:sz w:val="22"/>
          <w:szCs w:val="22"/>
          <w:lang w:val="en-US"/>
        </w:rPr>
        <w:t>apor pressure</w:t>
      </w:r>
      <w:r w:rsidR="00F01B02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474AE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proofErr w:type="gramStart"/>
      <w:r w:rsidR="00474AEC">
        <w:rPr>
          <w:rFonts w:asciiTheme="minorHAnsi" w:eastAsia="MS PGothic" w:hAnsiTheme="minorHAnsi"/>
          <w:color w:val="000000"/>
          <w:sz w:val="22"/>
          <w:szCs w:val="22"/>
          <w:lang w:val="en-US"/>
        </w:rPr>
        <w:t>were calculated</w:t>
      </w:r>
      <w:proofErr w:type="gramEnd"/>
      <w:r w:rsidR="00474AE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based on literature [4]</w:t>
      </w:r>
      <w:r w:rsidR="00E9565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added to </w:t>
      </w:r>
      <w:r w:rsidR="00E95654" w:rsidRPr="00DE06B5">
        <w:rPr>
          <w:rFonts w:asciiTheme="minorHAnsi" w:eastAsia="MS PGothic" w:hAnsiTheme="minorHAnsi"/>
          <w:sz w:val="22"/>
          <w:szCs w:val="22"/>
          <w:lang w:val="en-US"/>
        </w:rPr>
        <w:t>the isotherms</w:t>
      </w:r>
      <w:r w:rsidR="00474AEC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106F4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</w:t>
      </w:r>
      <w:proofErr w:type="gramStart"/>
      <w:r w:rsidR="00106F48">
        <w:rPr>
          <w:rFonts w:asciiTheme="minorHAnsi" w:eastAsia="MS PGothic" w:hAnsiTheme="minorHAnsi"/>
          <w:color w:val="000000"/>
          <w:sz w:val="22"/>
          <w:szCs w:val="22"/>
          <w:lang w:val="en-US"/>
        </w:rPr>
        <w:t>6</w:t>
      </w:r>
      <w:proofErr w:type="gramEnd"/>
      <w:r w:rsidR="00106F4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MPa measurements of GNL at 200 and 250 °C were repeated at different residence times in order to verify that the system was operated at steady state.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lastRenderedPageBreak/>
        <w:t>3. Results and discussion</w:t>
      </w:r>
    </w:p>
    <w:p w:rsidR="00807839" w:rsidRPr="00D472D3" w:rsidRDefault="00E250ED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measured saturation po</w:t>
      </w:r>
      <w:r w:rsidR="0047114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ints </w:t>
      </w:r>
      <w:proofErr w:type="gramStart"/>
      <w:r w:rsidR="0047114B">
        <w:rPr>
          <w:rFonts w:asciiTheme="minorHAnsi" w:eastAsia="MS PGothic" w:hAnsiTheme="minorHAnsi"/>
          <w:color w:val="000000"/>
          <w:sz w:val="22"/>
          <w:szCs w:val="22"/>
          <w:lang w:val="en-US"/>
        </w:rPr>
        <w:t>are presented</w:t>
      </w:r>
      <w:proofErr w:type="gramEnd"/>
      <w:r w:rsidR="0047114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Figure 1</w:t>
      </w:r>
      <w:r w:rsidR="0020529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with regression lines</w:t>
      </w:r>
      <w:r w:rsidR="0047114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80783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standard deviations of the repeated measurements at different residence times were </w:t>
      </w:r>
      <w:r w:rsidR="00670870">
        <w:rPr>
          <w:rFonts w:asciiTheme="minorHAnsi" w:eastAsia="MS PGothic" w:hAnsiTheme="minorHAnsi"/>
          <w:color w:val="000000"/>
          <w:sz w:val="22"/>
          <w:szCs w:val="22"/>
          <w:lang w:val="en-US"/>
        </w:rPr>
        <w:t>4.43</w:t>
      </w:r>
      <w:r w:rsidR="00670870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·</w:t>
      </w:r>
      <w:r w:rsidR="00670870">
        <w:rPr>
          <w:rFonts w:asciiTheme="minorHAnsi" w:eastAsia="MS PGothic" w:hAnsiTheme="minorHAnsi"/>
          <w:color w:val="000000"/>
          <w:sz w:val="22"/>
          <w:szCs w:val="22"/>
          <w:lang w:val="en-US"/>
        </w:rPr>
        <w:t>10</w:t>
      </w:r>
      <w:r w:rsidR="00670870" w:rsidRPr="00670870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-4</w:t>
      </w:r>
      <w:r w:rsidR="0067087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on average, i.e. </w:t>
      </w:r>
      <w:r w:rsidR="0080783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two orders of magnitude lower than the values of the measurements. The saturation mole fractions </w:t>
      </w:r>
      <w:r w:rsidR="00947740">
        <w:rPr>
          <w:rFonts w:asciiTheme="minorHAnsi" w:eastAsia="MS PGothic" w:hAnsiTheme="minorHAnsi"/>
          <w:color w:val="000000"/>
          <w:sz w:val="22"/>
          <w:szCs w:val="22"/>
          <w:lang w:val="en-US"/>
        </w:rPr>
        <w:t>in</w:t>
      </w:r>
      <w:r w:rsidR="0080783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GNL </w:t>
      </w:r>
      <w:r w:rsidR="0094774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were </w:t>
      </w:r>
      <w:r w:rsidR="00F42F3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10% to 41% </w:t>
      </w:r>
      <w:r w:rsidR="00947740">
        <w:rPr>
          <w:rFonts w:asciiTheme="minorHAnsi" w:eastAsia="MS PGothic" w:hAnsiTheme="minorHAnsi"/>
          <w:color w:val="000000"/>
          <w:sz w:val="22"/>
          <w:szCs w:val="22"/>
          <w:lang w:val="en-US"/>
        </w:rPr>
        <w:t>higher than in</w:t>
      </w:r>
      <w:r w:rsidR="0080783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GHL. </w:t>
      </w:r>
      <w:r w:rsidR="00947740" w:rsidRPr="00F42F3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However, when accounting for molecular mass, the differences </w:t>
      </w:r>
      <w:r w:rsidR="00F42F33" w:rsidRPr="00F42F33">
        <w:rPr>
          <w:rFonts w:asciiTheme="minorHAnsi" w:eastAsia="MS PGothic" w:hAnsiTheme="minorHAnsi"/>
          <w:color w:val="000000"/>
          <w:sz w:val="22"/>
          <w:szCs w:val="22"/>
          <w:lang w:val="en-US"/>
        </w:rPr>
        <w:t>were</w:t>
      </w:r>
      <w:r w:rsidR="00947740" w:rsidRPr="00F42F3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F42F3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only 4% to 16% and in some </w:t>
      </w:r>
      <w:r w:rsidR="00233F3E">
        <w:rPr>
          <w:rFonts w:asciiTheme="minorHAnsi" w:eastAsia="MS PGothic" w:hAnsiTheme="minorHAnsi"/>
          <w:color w:val="000000"/>
          <w:sz w:val="22"/>
          <w:szCs w:val="22"/>
          <w:lang w:val="en-US"/>
        </w:rPr>
        <w:t>cases,</w:t>
      </w:r>
      <w:r w:rsidR="00F42F3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solubility</w:t>
      </w:r>
      <w:r w:rsidR="0097254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per lactone mass</w:t>
      </w:r>
      <w:r w:rsidR="00F42F3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was greater in GHL</w:t>
      </w:r>
      <w:r w:rsidR="0080783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It is worth noting that the </w:t>
      </w:r>
      <w:r w:rsidR="00F7171B">
        <w:rPr>
          <w:rFonts w:asciiTheme="minorHAnsi" w:eastAsia="MS PGothic" w:hAnsiTheme="minorHAnsi"/>
          <w:color w:val="000000"/>
          <w:sz w:val="22"/>
          <w:szCs w:val="22"/>
          <w:lang w:val="en-US"/>
        </w:rPr>
        <w:t>solubility of H</w:t>
      </w:r>
      <w:r w:rsidR="00F7171B" w:rsidRPr="00F7171B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F7171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at </w:t>
      </w:r>
      <w:r w:rsidR="00807839">
        <w:rPr>
          <w:rFonts w:asciiTheme="minorHAnsi" w:eastAsia="MS PGothic" w:hAnsiTheme="minorHAnsi"/>
          <w:color w:val="000000"/>
          <w:sz w:val="22"/>
          <w:szCs w:val="22"/>
          <w:lang w:val="en-US"/>
        </w:rPr>
        <w:t>250 °C for GHL had an intermediate position between the</w:t>
      </w:r>
      <w:r w:rsidR="00F7171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F7171B">
        <w:rPr>
          <w:rFonts w:asciiTheme="minorHAnsi" w:eastAsia="MS PGothic" w:hAnsiTheme="minorHAnsi"/>
          <w:color w:val="000000"/>
          <w:sz w:val="22"/>
          <w:szCs w:val="22"/>
          <w:lang w:val="en-US"/>
        </w:rPr>
        <w:t>solubilities</w:t>
      </w:r>
      <w:proofErr w:type="spellEnd"/>
      <w:r w:rsidR="00F7171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at</w:t>
      </w:r>
      <w:r w:rsidR="0080783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200 and 300 °C, whereas for GNL</w:t>
      </w:r>
      <w:r w:rsidR="00C458A2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80783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</w:t>
      </w:r>
      <w:r w:rsidR="00F7171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H</w:t>
      </w:r>
      <w:r w:rsidR="00F7171B" w:rsidRPr="00F7171B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F7171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solubility at</w:t>
      </w:r>
      <w:r w:rsidR="0080783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250 °C was </w:t>
      </w:r>
      <w:r w:rsidR="00670870">
        <w:rPr>
          <w:rFonts w:asciiTheme="minorHAnsi" w:eastAsia="MS PGothic" w:hAnsiTheme="minorHAnsi"/>
          <w:color w:val="000000"/>
          <w:sz w:val="22"/>
          <w:szCs w:val="22"/>
          <w:lang w:val="en-US"/>
        </w:rPr>
        <w:t>closer to the</w:t>
      </w:r>
      <w:r w:rsidR="00F7171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solubility at</w:t>
      </w:r>
      <w:r w:rsidR="0067087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300 °C than to the</w:t>
      </w:r>
      <w:r w:rsidR="00F7171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solubility at</w:t>
      </w:r>
      <w:r w:rsidR="0067087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200 °C.</w:t>
      </w:r>
      <w:r w:rsidR="00C458A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At </w:t>
      </w:r>
      <w:proofErr w:type="gramStart"/>
      <w:r w:rsidR="00C458A2">
        <w:rPr>
          <w:rFonts w:asciiTheme="minorHAnsi" w:eastAsia="MS PGothic" w:hAnsiTheme="minorHAnsi"/>
          <w:color w:val="000000"/>
          <w:sz w:val="22"/>
          <w:szCs w:val="22"/>
          <w:lang w:val="en-US"/>
        </w:rPr>
        <w:t>6</w:t>
      </w:r>
      <w:proofErr w:type="gramEnd"/>
      <w:r w:rsidR="00C458A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MPa, the solubility in GNL went from 0.049 at 200 °C to 0.058 at 250 °C and to 0.064 at 300 °C.</w:t>
      </w:r>
      <w:r w:rsidR="00813DD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That is, it increased by ~20% from 200 to 250 °C and by ~10% from 250 to 300 °C.</w:t>
      </w:r>
      <w:r w:rsidR="009374D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order to provide a rough picture of the solubility, Henry’s law solubility constants </w:t>
      </w:r>
      <w:proofErr w:type="gramStart"/>
      <w:r w:rsidR="009374DE">
        <w:rPr>
          <w:rFonts w:asciiTheme="minorHAnsi" w:eastAsia="MS PGothic" w:hAnsiTheme="minorHAnsi"/>
          <w:color w:val="000000"/>
          <w:sz w:val="22"/>
          <w:szCs w:val="22"/>
          <w:lang w:val="en-US"/>
        </w:rPr>
        <w:t>can be estimated</w:t>
      </w:r>
      <w:proofErr w:type="gramEnd"/>
      <w:r w:rsidR="009374D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from t</w:t>
      </w:r>
      <w:r w:rsidR="00091D53">
        <w:rPr>
          <w:rFonts w:asciiTheme="minorHAnsi" w:eastAsia="MS PGothic" w:hAnsiTheme="minorHAnsi"/>
          <w:color w:val="000000"/>
          <w:sz w:val="22"/>
          <w:szCs w:val="22"/>
          <w:lang w:val="en-US"/>
        </w:rPr>
        <w:t>he reciprocals of the regression slopes</w:t>
      </w:r>
      <w:r w:rsidR="009374D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(Table 1)</w:t>
      </w:r>
      <w:r w:rsidR="00091D5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</w:p>
    <w:p w:rsidR="00704BDF" w:rsidRPr="00DE0019" w:rsidRDefault="00FA32E6" w:rsidP="00704BDF">
      <w:pPr>
        <w:snapToGrid w:val="0"/>
        <w:spacing w:after="120"/>
        <w:jc w:val="center"/>
        <w:rPr>
          <w:rFonts w:asciiTheme="minorHAnsi" w:eastAsia="MS PGothic" w:hAnsiTheme="minorHAnsi"/>
          <w:color w:val="000000"/>
        </w:rPr>
      </w:pPr>
      <w:r>
        <w:rPr>
          <w:rFonts w:asciiTheme="minorHAnsi" w:hAnsiTheme="minorHAn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4.5pt;height:141.75pt">
            <v:imagedata r:id="rId10" o:title="GHL_H2_regr"/>
          </v:shape>
        </w:pict>
      </w:r>
      <w:r>
        <w:rPr>
          <w:rFonts w:asciiTheme="minorHAnsi" w:hAnsiTheme="minorHAnsi"/>
        </w:rPr>
        <w:pict>
          <v:shape id="_x0000_i1026" type="#_x0000_t75" style="width:184.5pt;height:141.75pt">
            <v:imagedata r:id="rId11" o:title="GNL_H2_regr"/>
          </v:shape>
        </w:pict>
      </w:r>
    </w:p>
    <w:p w:rsidR="00704BDF" w:rsidRDefault="00704BDF" w:rsidP="00704BDF">
      <w:pPr>
        <w:snapToGrid w:val="0"/>
        <w:spacing w:after="120"/>
        <w:jc w:val="center"/>
        <w:rPr>
          <w:rFonts w:asciiTheme="minorHAnsi" w:hAnsiTheme="minorHAnsi" w:cstheme="minorHAnsi"/>
          <w:lang w:val="en-US"/>
        </w:rPr>
      </w:pPr>
      <w:r w:rsidRPr="00DE0019">
        <w:rPr>
          <w:rFonts w:asciiTheme="minorHAnsi" w:eastAsia="MS PGothic" w:hAnsiTheme="minorHAnsi"/>
          <w:b/>
          <w:color w:val="000000"/>
          <w:szCs w:val="18"/>
          <w:lang w:val="en-US"/>
        </w:rPr>
        <w:t>Figure 1</w:t>
      </w:r>
      <w:r w:rsidRPr="00DE0019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r w:rsidRPr="00DE0019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="00F24FD3">
        <w:rPr>
          <w:rFonts w:asciiTheme="minorHAnsi" w:hAnsiTheme="minorHAnsi"/>
          <w:lang w:val="en-US"/>
        </w:rPr>
        <w:t>Solubility of H</w:t>
      </w:r>
      <w:r w:rsidR="00F24FD3" w:rsidRPr="00F24FD3">
        <w:rPr>
          <w:rFonts w:asciiTheme="minorHAnsi" w:hAnsiTheme="minorHAnsi"/>
          <w:vertAlign w:val="subscript"/>
          <w:lang w:val="en-US"/>
        </w:rPr>
        <w:t>2</w:t>
      </w:r>
      <w:r w:rsidR="00F24FD3">
        <w:rPr>
          <w:rFonts w:asciiTheme="minorHAnsi" w:hAnsiTheme="minorHAnsi"/>
          <w:lang w:val="en-US"/>
        </w:rPr>
        <w:t xml:space="preserve"> in A) </w:t>
      </w:r>
      <w:r w:rsidR="00F24FD3">
        <w:rPr>
          <w:rFonts w:asciiTheme="minorHAnsi" w:hAnsiTheme="minorHAnsi" w:cstheme="minorHAnsi"/>
          <w:lang w:val="en-US"/>
        </w:rPr>
        <w:t>γ-</w:t>
      </w:r>
      <w:proofErr w:type="spellStart"/>
      <w:r w:rsidR="00F24FD3">
        <w:rPr>
          <w:rFonts w:asciiTheme="minorHAnsi" w:hAnsiTheme="minorHAnsi" w:cstheme="minorHAnsi"/>
          <w:lang w:val="en-US"/>
        </w:rPr>
        <w:t>heptalactone</w:t>
      </w:r>
      <w:proofErr w:type="spellEnd"/>
      <w:r w:rsidR="00F24FD3">
        <w:rPr>
          <w:rFonts w:asciiTheme="minorHAnsi" w:hAnsiTheme="minorHAnsi" w:cstheme="minorHAnsi"/>
          <w:lang w:val="en-US"/>
        </w:rPr>
        <w:t xml:space="preserve"> and B) γ-</w:t>
      </w:r>
      <w:proofErr w:type="spellStart"/>
      <w:r w:rsidR="00F24FD3">
        <w:rPr>
          <w:rFonts w:asciiTheme="minorHAnsi" w:hAnsiTheme="minorHAnsi" w:cstheme="minorHAnsi"/>
          <w:lang w:val="en-US"/>
        </w:rPr>
        <w:t>nonalactone</w:t>
      </w:r>
      <w:proofErr w:type="spellEnd"/>
      <w:r w:rsidR="00F24FD3">
        <w:rPr>
          <w:rFonts w:asciiTheme="minorHAnsi" w:hAnsiTheme="minorHAnsi" w:cstheme="minorHAnsi"/>
          <w:lang w:val="en-US"/>
        </w:rPr>
        <w:t xml:space="preserve"> at pressures and temperatures relevant to </w:t>
      </w:r>
      <w:proofErr w:type="spellStart"/>
      <w:r w:rsidR="00F24FD3">
        <w:rPr>
          <w:rFonts w:asciiTheme="minorHAnsi" w:hAnsiTheme="minorHAnsi" w:cstheme="minorHAnsi"/>
          <w:lang w:val="en-US"/>
        </w:rPr>
        <w:t>hydrodeoxygenation</w:t>
      </w:r>
      <w:proofErr w:type="spellEnd"/>
      <w:r w:rsidR="00F24FD3">
        <w:rPr>
          <w:rFonts w:asciiTheme="minorHAnsi" w:hAnsiTheme="minorHAnsi" w:cstheme="minorHAnsi"/>
          <w:lang w:val="en-US"/>
        </w:rPr>
        <w:t>.</w:t>
      </w:r>
      <w:r w:rsidR="00E250ED">
        <w:rPr>
          <w:rFonts w:asciiTheme="minorHAnsi" w:hAnsiTheme="minorHAnsi" w:cstheme="minorHAnsi"/>
          <w:lang w:val="en-US"/>
        </w:rPr>
        <w:t xml:space="preserve"> The isotherms present the saturation </w:t>
      </w:r>
      <w:r w:rsidR="0018326C">
        <w:rPr>
          <w:rFonts w:asciiTheme="minorHAnsi" w:hAnsiTheme="minorHAnsi" w:cstheme="minorHAnsi"/>
          <w:lang w:val="en-US"/>
        </w:rPr>
        <w:t>pressures at given</w:t>
      </w:r>
      <w:r w:rsidR="00E250ED">
        <w:rPr>
          <w:rFonts w:asciiTheme="minorHAnsi" w:hAnsiTheme="minorHAnsi" w:cstheme="minorHAnsi"/>
          <w:lang w:val="en-US"/>
        </w:rPr>
        <w:t xml:space="preserve"> H</w:t>
      </w:r>
      <w:r w:rsidR="00E250ED" w:rsidRPr="00E250ED">
        <w:rPr>
          <w:rFonts w:asciiTheme="minorHAnsi" w:hAnsiTheme="minorHAnsi" w:cstheme="minorHAnsi"/>
          <w:vertAlign w:val="subscript"/>
          <w:lang w:val="en-US"/>
        </w:rPr>
        <w:t>2</w:t>
      </w:r>
      <w:r w:rsidR="00E250ED">
        <w:rPr>
          <w:rFonts w:asciiTheme="minorHAnsi" w:hAnsiTheme="minorHAnsi" w:cstheme="minorHAnsi"/>
          <w:lang w:val="en-US"/>
        </w:rPr>
        <w:t xml:space="preserve"> mole fraction</w:t>
      </w:r>
      <w:r w:rsidR="0018326C">
        <w:rPr>
          <w:rFonts w:asciiTheme="minorHAnsi" w:hAnsiTheme="minorHAnsi" w:cstheme="minorHAnsi"/>
          <w:lang w:val="en-US"/>
        </w:rPr>
        <w:t>s</w:t>
      </w:r>
      <w:r w:rsidR="00E250ED">
        <w:rPr>
          <w:rFonts w:asciiTheme="minorHAnsi" w:hAnsiTheme="minorHAnsi" w:cstheme="minorHAnsi"/>
          <w:lang w:val="en-US"/>
        </w:rPr>
        <w:t>.</w:t>
      </w:r>
    </w:p>
    <w:p w:rsidR="00DE06B5" w:rsidRDefault="00DE06B5" w:rsidP="00CD2BB4">
      <w:pPr>
        <w:snapToGrid w:val="0"/>
        <w:jc w:val="left"/>
        <w:rPr>
          <w:rFonts w:asciiTheme="minorHAnsi" w:hAnsiTheme="minorHAnsi" w:cstheme="minorHAnsi"/>
          <w:b/>
          <w:lang w:val="en-US"/>
        </w:rPr>
      </w:pPr>
    </w:p>
    <w:p w:rsidR="00CD2BB4" w:rsidRDefault="00CD2BB4" w:rsidP="00CD2BB4">
      <w:pPr>
        <w:snapToGrid w:val="0"/>
        <w:jc w:val="left"/>
        <w:rPr>
          <w:rFonts w:asciiTheme="minorHAnsi" w:hAnsiTheme="minorHAnsi" w:cstheme="minorHAnsi"/>
          <w:lang w:val="en-US"/>
        </w:rPr>
      </w:pPr>
      <w:r w:rsidRPr="00CD2BB4">
        <w:rPr>
          <w:rFonts w:asciiTheme="minorHAnsi" w:hAnsiTheme="minorHAnsi" w:cstheme="minorHAnsi"/>
          <w:b/>
          <w:lang w:val="en-US"/>
        </w:rPr>
        <w:t>Table 1</w:t>
      </w:r>
      <w:r>
        <w:rPr>
          <w:rFonts w:asciiTheme="minorHAnsi" w:hAnsiTheme="minorHAnsi" w:cstheme="minorHAnsi"/>
          <w:lang w:val="en-US"/>
        </w:rPr>
        <w:t>. Slopes of regression lines</w:t>
      </w:r>
      <w:r w:rsidR="00C50BE2">
        <w:rPr>
          <w:rFonts w:asciiTheme="minorHAnsi" w:hAnsiTheme="minorHAnsi" w:cstheme="minorHAnsi"/>
          <w:lang w:val="en-US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94"/>
        <w:gridCol w:w="2194"/>
        <w:gridCol w:w="2194"/>
      </w:tblGrid>
      <w:tr w:rsidR="00E0322B" w:rsidRPr="00F30916" w:rsidTr="00E0322B">
        <w:trPr>
          <w:jc w:val="center"/>
        </w:trPr>
        <w:tc>
          <w:tcPr>
            <w:tcW w:w="2194" w:type="dxa"/>
          </w:tcPr>
          <w:p w:rsidR="00E0322B" w:rsidRPr="00F30916" w:rsidRDefault="00E0322B" w:rsidP="00A5076D">
            <w:pPr>
              <w:snapToGrid w:val="0"/>
              <w:spacing w:line="300" w:lineRule="auto"/>
              <w:jc w:val="center"/>
              <w:rPr>
                <w:rFonts w:asciiTheme="minorHAnsi" w:eastAsia="MS PGothic" w:hAnsiTheme="minorHAnsi"/>
                <w:b/>
                <w:color w:val="000000"/>
                <w:szCs w:val="18"/>
                <w:lang w:val="en-US"/>
              </w:rPr>
            </w:pPr>
          </w:p>
        </w:tc>
        <w:tc>
          <w:tcPr>
            <w:tcW w:w="2194" w:type="dxa"/>
          </w:tcPr>
          <w:p w:rsidR="00E0322B" w:rsidRPr="00F30916" w:rsidRDefault="00E0322B" w:rsidP="00A5076D">
            <w:pPr>
              <w:snapToGrid w:val="0"/>
              <w:spacing w:line="300" w:lineRule="auto"/>
              <w:jc w:val="center"/>
              <w:rPr>
                <w:rFonts w:asciiTheme="minorHAnsi" w:eastAsia="MS PGothic" w:hAnsiTheme="minorHAnsi"/>
                <w:b/>
                <w:color w:val="000000"/>
                <w:szCs w:val="18"/>
                <w:lang w:val="en-US"/>
              </w:rPr>
            </w:pPr>
            <w:r>
              <w:rPr>
                <w:rFonts w:asciiTheme="minorHAnsi" w:eastAsia="MS PGothic" w:hAnsiTheme="minorHAnsi"/>
                <w:b/>
                <w:color w:val="000000"/>
                <w:szCs w:val="18"/>
                <w:lang w:val="en-US"/>
              </w:rPr>
              <w:t>GHL slopes (MPa)</w:t>
            </w:r>
          </w:p>
        </w:tc>
        <w:tc>
          <w:tcPr>
            <w:tcW w:w="2194" w:type="dxa"/>
          </w:tcPr>
          <w:p w:rsidR="00E0322B" w:rsidRPr="00F30916" w:rsidRDefault="00E0322B" w:rsidP="00A5076D">
            <w:pPr>
              <w:snapToGrid w:val="0"/>
              <w:spacing w:line="300" w:lineRule="auto"/>
              <w:jc w:val="center"/>
              <w:rPr>
                <w:rFonts w:asciiTheme="minorHAnsi" w:eastAsia="MS PGothic" w:hAnsiTheme="minorHAnsi"/>
                <w:b/>
                <w:color w:val="000000"/>
                <w:szCs w:val="18"/>
                <w:lang w:val="en-US"/>
              </w:rPr>
            </w:pPr>
            <w:r>
              <w:rPr>
                <w:rFonts w:asciiTheme="minorHAnsi" w:eastAsia="MS PGothic" w:hAnsiTheme="minorHAnsi"/>
                <w:b/>
                <w:color w:val="000000"/>
                <w:szCs w:val="18"/>
                <w:lang w:val="en-US"/>
              </w:rPr>
              <w:t>GNL slopes (MPa)</w:t>
            </w:r>
          </w:p>
        </w:tc>
      </w:tr>
      <w:tr w:rsidR="00E0322B" w:rsidRPr="00CD2BB4" w:rsidTr="00E0322B">
        <w:trPr>
          <w:jc w:val="center"/>
        </w:trPr>
        <w:tc>
          <w:tcPr>
            <w:tcW w:w="2194" w:type="dxa"/>
          </w:tcPr>
          <w:p w:rsidR="00E0322B" w:rsidRPr="00F30916" w:rsidRDefault="00E0322B" w:rsidP="00A5076D">
            <w:pPr>
              <w:snapToGrid w:val="0"/>
              <w:spacing w:line="300" w:lineRule="auto"/>
              <w:jc w:val="center"/>
              <w:rPr>
                <w:rFonts w:asciiTheme="minorHAnsi" w:eastAsia="MS PGothic" w:hAnsiTheme="minorHAnsi"/>
                <w:b/>
                <w:color w:val="000000"/>
                <w:szCs w:val="18"/>
                <w:lang w:val="en-US"/>
              </w:rPr>
            </w:pPr>
            <w:r w:rsidRPr="00F30916">
              <w:rPr>
                <w:rFonts w:asciiTheme="minorHAnsi" w:eastAsia="MS PGothic" w:hAnsiTheme="minorHAnsi"/>
                <w:b/>
                <w:color w:val="000000"/>
                <w:szCs w:val="18"/>
                <w:lang w:val="en-US"/>
              </w:rPr>
              <w:t>200 °C</w:t>
            </w:r>
          </w:p>
        </w:tc>
        <w:tc>
          <w:tcPr>
            <w:tcW w:w="2194" w:type="dxa"/>
          </w:tcPr>
          <w:p w:rsidR="00E0322B" w:rsidRPr="00CD2BB4" w:rsidRDefault="00E0322B" w:rsidP="00A5076D">
            <w:pPr>
              <w:snapToGrid w:val="0"/>
              <w:spacing w:line="300" w:lineRule="auto"/>
              <w:jc w:val="center"/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</w:pPr>
            <w:r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  <w:t>149.3</w:t>
            </w:r>
          </w:p>
        </w:tc>
        <w:tc>
          <w:tcPr>
            <w:tcW w:w="2194" w:type="dxa"/>
          </w:tcPr>
          <w:p w:rsidR="00E0322B" w:rsidRPr="00CD2BB4" w:rsidRDefault="00E0322B" w:rsidP="00A5076D">
            <w:pPr>
              <w:snapToGrid w:val="0"/>
              <w:spacing w:line="300" w:lineRule="auto"/>
              <w:jc w:val="center"/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</w:pPr>
            <w:r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  <w:t>130.7</w:t>
            </w:r>
          </w:p>
        </w:tc>
      </w:tr>
      <w:tr w:rsidR="00E0322B" w:rsidRPr="00CD2BB4" w:rsidTr="00E0322B">
        <w:trPr>
          <w:jc w:val="center"/>
        </w:trPr>
        <w:tc>
          <w:tcPr>
            <w:tcW w:w="2194" w:type="dxa"/>
          </w:tcPr>
          <w:p w:rsidR="00E0322B" w:rsidRPr="00F30916" w:rsidRDefault="00E0322B" w:rsidP="00A5076D">
            <w:pPr>
              <w:snapToGrid w:val="0"/>
              <w:spacing w:line="300" w:lineRule="auto"/>
              <w:jc w:val="center"/>
              <w:rPr>
                <w:rFonts w:asciiTheme="minorHAnsi" w:eastAsia="MS PGothic" w:hAnsiTheme="minorHAnsi"/>
                <w:b/>
                <w:color w:val="000000"/>
                <w:szCs w:val="18"/>
                <w:lang w:val="en-US"/>
              </w:rPr>
            </w:pPr>
            <w:r w:rsidRPr="00F30916">
              <w:rPr>
                <w:rFonts w:asciiTheme="minorHAnsi" w:eastAsia="MS PGothic" w:hAnsiTheme="minorHAnsi"/>
                <w:b/>
                <w:color w:val="000000"/>
                <w:szCs w:val="18"/>
                <w:lang w:val="en-US"/>
              </w:rPr>
              <w:t>250 °C</w:t>
            </w:r>
          </w:p>
        </w:tc>
        <w:tc>
          <w:tcPr>
            <w:tcW w:w="2194" w:type="dxa"/>
          </w:tcPr>
          <w:p w:rsidR="00E0322B" w:rsidRPr="00CD2BB4" w:rsidRDefault="00E0322B" w:rsidP="00A5076D">
            <w:pPr>
              <w:snapToGrid w:val="0"/>
              <w:spacing w:line="300" w:lineRule="auto"/>
              <w:jc w:val="center"/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</w:pPr>
            <w:r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  <w:t>125.5</w:t>
            </w:r>
          </w:p>
        </w:tc>
        <w:tc>
          <w:tcPr>
            <w:tcW w:w="2194" w:type="dxa"/>
          </w:tcPr>
          <w:p w:rsidR="00E0322B" w:rsidRPr="00CD2BB4" w:rsidRDefault="00E0322B" w:rsidP="00A5076D">
            <w:pPr>
              <w:snapToGrid w:val="0"/>
              <w:spacing w:line="300" w:lineRule="auto"/>
              <w:jc w:val="center"/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</w:pPr>
            <w:r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  <w:t>100.4</w:t>
            </w:r>
          </w:p>
        </w:tc>
      </w:tr>
      <w:tr w:rsidR="00E0322B" w:rsidRPr="00CD2BB4" w:rsidTr="00E0322B">
        <w:trPr>
          <w:jc w:val="center"/>
        </w:trPr>
        <w:tc>
          <w:tcPr>
            <w:tcW w:w="2194" w:type="dxa"/>
          </w:tcPr>
          <w:p w:rsidR="00E0322B" w:rsidRPr="00F30916" w:rsidRDefault="00E0322B" w:rsidP="00A5076D">
            <w:pPr>
              <w:snapToGrid w:val="0"/>
              <w:spacing w:line="300" w:lineRule="auto"/>
              <w:jc w:val="center"/>
              <w:rPr>
                <w:rFonts w:asciiTheme="minorHAnsi" w:eastAsia="MS PGothic" w:hAnsiTheme="minorHAnsi"/>
                <w:b/>
                <w:color w:val="000000"/>
                <w:szCs w:val="18"/>
                <w:lang w:val="en-US"/>
              </w:rPr>
            </w:pPr>
            <w:r w:rsidRPr="00F30916">
              <w:rPr>
                <w:rFonts w:asciiTheme="minorHAnsi" w:eastAsia="MS PGothic" w:hAnsiTheme="minorHAnsi"/>
                <w:b/>
                <w:color w:val="000000"/>
                <w:szCs w:val="18"/>
                <w:lang w:val="en-US"/>
              </w:rPr>
              <w:t>300 °C</w:t>
            </w:r>
          </w:p>
        </w:tc>
        <w:tc>
          <w:tcPr>
            <w:tcW w:w="2194" w:type="dxa"/>
          </w:tcPr>
          <w:p w:rsidR="00E0322B" w:rsidRDefault="00E0322B" w:rsidP="00A5076D">
            <w:pPr>
              <w:snapToGrid w:val="0"/>
              <w:spacing w:line="300" w:lineRule="auto"/>
              <w:jc w:val="center"/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</w:pPr>
            <w:r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  <w:t>107.4</w:t>
            </w:r>
          </w:p>
        </w:tc>
        <w:tc>
          <w:tcPr>
            <w:tcW w:w="2194" w:type="dxa"/>
          </w:tcPr>
          <w:p w:rsidR="00E0322B" w:rsidRDefault="00E0322B" w:rsidP="00A5076D">
            <w:pPr>
              <w:snapToGrid w:val="0"/>
              <w:spacing w:line="300" w:lineRule="auto"/>
              <w:jc w:val="center"/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</w:pPr>
            <w:r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  <w:t>89.2</w:t>
            </w:r>
          </w:p>
        </w:tc>
      </w:tr>
    </w:tbl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:rsidR="00704BDF" w:rsidRPr="008D0BEB" w:rsidRDefault="00A43DCB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H</w:t>
      </w:r>
      <w:r w:rsidRPr="00A43DCB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mole fractions in GNL at the HDO conditions studied in [2] were between 0.049 and 0.058. There was a strong dependence on temperature and pressure and, in the case of </w:t>
      </w:r>
      <w:proofErr w:type="gram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GNL,</w:t>
      </w:r>
      <w:proofErr w:type="gram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solubil</w:t>
      </w:r>
      <w:r w:rsidR="00CB2202">
        <w:rPr>
          <w:rFonts w:asciiTheme="minorHAnsi" w:eastAsia="MS PGothic" w:hAnsiTheme="minorHAnsi"/>
          <w:color w:val="000000"/>
          <w:sz w:val="22"/>
          <w:szCs w:val="22"/>
          <w:lang w:val="en-US"/>
        </w:rPr>
        <w:t>ity increase was more marked fro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m 200 to 250 °C than from 250 to 300 °C. This observation might be significant for HDO kinetics. On the other hand, H</w:t>
      </w:r>
      <w:r w:rsidRPr="00A43DCB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was </w:t>
      </w:r>
      <w:r w:rsidR="00664A8F">
        <w:rPr>
          <w:rFonts w:asciiTheme="minorHAnsi" w:eastAsia="MS PGothic" w:hAnsiTheme="minorHAnsi"/>
          <w:color w:val="000000"/>
          <w:sz w:val="22"/>
          <w:szCs w:val="22"/>
          <w:lang w:val="en-US"/>
        </w:rPr>
        <w:t>more soluble in GNL than in GHL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:rsidR="00704BDF" w:rsidRPr="008D0BEB" w:rsidRDefault="00567B4B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>References</w:t>
      </w:r>
    </w:p>
    <w:p w:rsidR="002B132E" w:rsidRPr="00FA32E6" w:rsidRDefault="002B132E" w:rsidP="00704BDF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  <w:lang w:val="sv-SE"/>
        </w:rPr>
      </w:pPr>
      <w:r w:rsidRPr="003906D3">
        <w:rPr>
          <w:rFonts w:asciiTheme="minorHAnsi" w:hAnsiTheme="minorHAnsi"/>
          <w:color w:val="000000"/>
          <w:lang w:val="sv-SE"/>
        </w:rPr>
        <w:t xml:space="preserve">M. </w:t>
      </w:r>
      <w:proofErr w:type="spellStart"/>
      <w:r w:rsidRPr="003906D3">
        <w:rPr>
          <w:rFonts w:asciiTheme="minorHAnsi" w:hAnsiTheme="minorHAnsi"/>
          <w:color w:val="000000"/>
          <w:lang w:val="sv-SE"/>
        </w:rPr>
        <w:t>Kä</w:t>
      </w:r>
      <w:r w:rsidR="00DF0101">
        <w:rPr>
          <w:rFonts w:asciiTheme="minorHAnsi" w:hAnsiTheme="minorHAnsi"/>
          <w:color w:val="000000"/>
          <w:lang w:val="sv-SE"/>
        </w:rPr>
        <w:t>l</w:t>
      </w:r>
      <w:r w:rsidRPr="003906D3">
        <w:rPr>
          <w:rFonts w:asciiTheme="minorHAnsi" w:hAnsiTheme="minorHAnsi"/>
          <w:color w:val="000000"/>
          <w:lang w:val="sv-SE"/>
        </w:rPr>
        <w:t>dström</w:t>
      </w:r>
      <w:proofErr w:type="spellEnd"/>
      <w:r w:rsidRPr="003906D3">
        <w:rPr>
          <w:rFonts w:asciiTheme="minorHAnsi" w:hAnsiTheme="minorHAnsi"/>
          <w:color w:val="000000"/>
          <w:lang w:val="sv-SE"/>
        </w:rPr>
        <w:t>, M. Lindblad et al.,</w:t>
      </w:r>
      <w:r w:rsidR="003906D3" w:rsidRPr="003906D3">
        <w:rPr>
          <w:rFonts w:asciiTheme="minorHAnsi" w:hAnsiTheme="minorHAnsi"/>
          <w:color w:val="000000"/>
          <w:lang w:val="sv-SE"/>
        </w:rPr>
        <w:t xml:space="preserve"> Ind</w:t>
      </w:r>
      <w:r w:rsidR="006C2CA3">
        <w:rPr>
          <w:rFonts w:asciiTheme="minorHAnsi" w:hAnsiTheme="minorHAnsi"/>
          <w:color w:val="000000"/>
          <w:lang w:val="sv-SE"/>
        </w:rPr>
        <w:t>.</w:t>
      </w:r>
      <w:r w:rsidRPr="003906D3">
        <w:rPr>
          <w:rFonts w:asciiTheme="minorHAnsi" w:hAnsiTheme="minorHAnsi"/>
          <w:color w:val="000000"/>
          <w:lang w:val="sv-SE"/>
        </w:rPr>
        <w:t xml:space="preserve"> E</w:t>
      </w:r>
      <w:r w:rsidR="003906D3">
        <w:rPr>
          <w:rFonts w:asciiTheme="minorHAnsi" w:hAnsiTheme="minorHAnsi"/>
          <w:color w:val="000000"/>
          <w:lang w:val="sv-SE"/>
        </w:rPr>
        <w:t>ng</w:t>
      </w:r>
      <w:r w:rsidR="006C2CA3">
        <w:rPr>
          <w:rFonts w:asciiTheme="minorHAnsi" w:hAnsiTheme="minorHAnsi"/>
          <w:color w:val="000000"/>
          <w:lang w:val="sv-SE"/>
        </w:rPr>
        <w:t>.</w:t>
      </w:r>
      <w:r w:rsidRPr="003906D3">
        <w:rPr>
          <w:rFonts w:asciiTheme="minorHAnsi" w:hAnsiTheme="minorHAnsi"/>
          <w:color w:val="000000"/>
          <w:lang w:val="sv-SE"/>
        </w:rPr>
        <w:t xml:space="preserve"> </w:t>
      </w:r>
      <w:proofErr w:type="spellStart"/>
      <w:r w:rsidRPr="00FA32E6">
        <w:rPr>
          <w:rFonts w:asciiTheme="minorHAnsi" w:hAnsiTheme="minorHAnsi"/>
          <w:color w:val="000000"/>
          <w:lang w:val="sv-SE"/>
        </w:rPr>
        <w:t>Che</w:t>
      </w:r>
      <w:r w:rsidR="003906D3" w:rsidRPr="00FA32E6">
        <w:rPr>
          <w:rFonts w:asciiTheme="minorHAnsi" w:hAnsiTheme="minorHAnsi"/>
          <w:color w:val="000000"/>
          <w:lang w:val="sv-SE"/>
        </w:rPr>
        <w:t>m</w:t>
      </w:r>
      <w:proofErr w:type="spellEnd"/>
      <w:r w:rsidR="006C2CA3" w:rsidRPr="00FA32E6">
        <w:rPr>
          <w:rFonts w:asciiTheme="minorHAnsi" w:hAnsiTheme="minorHAnsi"/>
          <w:color w:val="000000"/>
          <w:lang w:val="sv-SE"/>
        </w:rPr>
        <w:t>.</w:t>
      </w:r>
      <w:r w:rsidRPr="00FA32E6">
        <w:rPr>
          <w:rFonts w:asciiTheme="minorHAnsi" w:hAnsiTheme="minorHAnsi"/>
          <w:color w:val="000000"/>
          <w:lang w:val="sv-SE"/>
        </w:rPr>
        <w:t xml:space="preserve"> Res</w:t>
      </w:r>
      <w:r w:rsidR="006C2CA3" w:rsidRPr="00FA32E6">
        <w:rPr>
          <w:rFonts w:asciiTheme="minorHAnsi" w:hAnsiTheme="minorHAnsi"/>
          <w:color w:val="000000"/>
          <w:lang w:val="sv-SE"/>
        </w:rPr>
        <w:t>.</w:t>
      </w:r>
      <w:r w:rsidRPr="00FA32E6">
        <w:rPr>
          <w:rFonts w:asciiTheme="minorHAnsi" w:hAnsiTheme="minorHAnsi"/>
          <w:color w:val="000000"/>
          <w:lang w:val="sv-SE"/>
        </w:rPr>
        <w:t xml:space="preserve"> 56 (2017) 13356-23366</w:t>
      </w:r>
      <w:r w:rsidR="00FA32E6">
        <w:rPr>
          <w:rFonts w:asciiTheme="minorHAnsi" w:hAnsiTheme="minorHAnsi"/>
          <w:color w:val="000000"/>
          <w:lang w:val="sv-SE"/>
        </w:rPr>
        <w:t>.</w:t>
      </w:r>
    </w:p>
    <w:p w:rsidR="002B132E" w:rsidRPr="00FA32E6" w:rsidRDefault="002B132E" w:rsidP="003906D3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hAnsiTheme="minorHAnsi"/>
          <w:color w:val="000000"/>
          <w:lang w:val="es-MX"/>
        </w:rPr>
      </w:pPr>
      <w:r w:rsidRPr="00FA32E6">
        <w:rPr>
          <w:rFonts w:asciiTheme="minorHAnsi" w:hAnsiTheme="minorHAnsi"/>
          <w:color w:val="000000"/>
          <w:lang w:val="es-MX"/>
        </w:rPr>
        <w:t>J. L. González Escobedo, E. Mäkelä</w:t>
      </w:r>
      <w:r w:rsidR="00FA32E6" w:rsidRPr="00FA32E6">
        <w:rPr>
          <w:rFonts w:asciiTheme="minorHAnsi" w:hAnsiTheme="minorHAnsi"/>
          <w:color w:val="000000"/>
          <w:lang w:val="es-MX"/>
        </w:rPr>
        <w:t xml:space="preserve"> </w:t>
      </w:r>
      <w:r w:rsidR="003906D3" w:rsidRPr="00FA32E6">
        <w:rPr>
          <w:rFonts w:asciiTheme="minorHAnsi" w:hAnsiTheme="minorHAnsi"/>
          <w:color w:val="000000"/>
          <w:lang w:val="es-MX"/>
        </w:rPr>
        <w:t xml:space="preserve">et al., </w:t>
      </w:r>
      <w:proofErr w:type="spellStart"/>
      <w:r w:rsidR="003906D3" w:rsidRPr="00FA32E6">
        <w:rPr>
          <w:rFonts w:asciiTheme="minorHAnsi" w:hAnsiTheme="minorHAnsi"/>
          <w:color w:val="000000"/>
          <w:lang w:val="es-MX"/>
        </w:rPr>
        <w:t>Top</w:t>
      </w:r>
      <w:r w:rsidR="006C2CA3" w:rsidRPr="00FA32E6">
        <w:rPr>
          <w:rFonts w:asciiTheme="minorHAnsi" w:hAnsiTheme="minorHAnsi"/>
          <w:color w:val="000000"/>
          <w:lang w:val="es-MX"/>
        </w:rPr>
        <w:t>.</w:t>
      </w:r>
      <w:r w:rsidR="003906D3" w:rsidRPr="00FA32E6">
        <w:rPr>
          <w:rFonts w:asciiTheme="minorHAnsi" w:hAnsiTheme="minorHAnsi"/>
          <w:color w:val="000000"/>
          <w:lang w:val="es-MX"/>
        </w:rPr>
        <w:t>Catal</w:t>
      </w:r>
      <w:proofErr w:type="spellEnd"/>
      <w:r w:rsidR="006C2CA3" w:rsidRPr="00FA32E6">
        <w:rPr>
          <w:rFonts w:asciiTheme="minorHAnsi" w:hAnsiTheme="minorHAnsi"/>
          <w:color w:val="000000"/>
          <w:lang w:val="es-MX"/>
        </w:rPr>
        <w:t>.</w:t>
      </w:r>
      <w:r w:rsidR="00FA32E6" w:rsidRPr="00FA32E6">
        <w:rPr>
          <w:rFonts w:asciiTheme="minorHAnsi" w:hAnsiTheme="minorHAnsi"/>
          <w:color w:val="000000"/>
          <w:lang w:val="es-MX"/>
        </w:rPr>
        <w:t xml:space="preserve"> (2019)</w:t>
      </w:r>
      <w:r w:rsidR="00FA32E6">
        <w:rPr>
          <w:rFonts w:asciiTheme="minorHAnsi" w:hAnsiTheme="minorHAnsi"/>
          <w:color w:val="000000"/>
          <w:lang w:val="es-MX"/>
        </w:rPr>
        <w:t xml:space="preserve"> </w:t>
      </w:r>
      <w:r w:rsidR="003906D3" w:rsidRPr="00FA32E6">
        <w:rPr>
          <w:rFonts w:asciiTheme="minorHAnsi" w:hAnsiTheme="minorHAnsi"/>
          <w:color w:val="000000"/>
          <w:lang w:val="es-MX"/>
        </w:rPr>
        <w:t>https://doi.org/1</w:t>
      </w:r>
      <w:r w:rsidR="003906D3" w:rsidRPr="00FA32E6">
        <w:rPr>
          <w:rFonts w:asciiTheme="minorHAnsi" w:hAnsiTheme="minorHAnsi"/>
          <w:color w:val="000000"/>
          <w:sz w:val="18"/>
          <w:lang w:val="es-MX"/>
        </w:rPr>
        <w:t>0</w:t>
      </w:r>
      <w:r w:rsidR="003906D3" w:rsidRPr="00FA32E6">
        <w:rPr>
          <w:rFonts w:asciiTheme="minorHAnsi" w:hAnsiTheme="minorHAnsi"/>
          <w:color w:val="000000"/>
          <w:lang w:val="es-MX"/>
        </w:rPr>
        <w:t>.1</w:t>
      </w:r>
      <w:r w:rsidR="003906D3" w:rsidRPr="00FA32E6">
        <w:rPr>
          <w:rFonts w:asciiTheme="minorHAnsi" w:hAnsiTheme="minorHAnsi"/>
          <w:color w:val="000000"/>
          <w:sz w:val="18"/>
          <w:lang w:val="es-MX"/>
        </w:rPr>
        <w:t>00</w:t>
      </w:r>
      <w:r w:rsidR="003906D3" w:rsidRPr="00FA32E6">
        <w:rPr>
          <w:rFonts w:asciiTheme="minorHAnsi" w:hAnsiTheme="minorHAnsi"/>
          <w:color w:val="000000"/>
          <w:lang w:val="es-MX"/>
        </w:rPr>
        <w:t>7/s11244-</w:t>
      </w:r>
      <w:r w:rsidR="003906D3" w:rsidRPr="00FA32E6">
        <w:rPr>
          <w:rFonts w:asciiTheme="minorHAnsi" w:hAnsiTheme="minorHAnsi"/>
          <w:color w:val="000000"/>
          <w:sz w:val="18"/>
          <w:lang w:val="es-MX"/>
        </w:rPr>
        <w:t>0</w:t>
      </w:r>
      <w:r w:rsidR="003906D3" w:rsidRPr="00FA32E6">
        <w:rPr>
          <w:rFonts w:asciiTheme="minorHAnsi" w:hAnsiTheme="minorHAnsi"/>
          <w:color w:val="000000"/>
          <w:lang w:val="es-MX"/>
        </w:rPr>
        <w:t>19-</w:t>
      </w:r>
      <w:r w:rsidR="003906D3" w:rsidRPr="00FA32E6">
        <w:rPr>
          <w:rFonts w:asciiTheme="minorHAnsi" w:hAnsiTheme="minorHAnsi"/>
          <w:color w:val="000000"/>
          <w:sz w:val="18"/>
          <w:lang w:val="es-MX"/>
        </w:rPr>
        <w:t>0</w:t>
      </w:r>
      <w:r w:rsidR="003906D3" w:rsidRPr="00FA32E6">
        <w:rPr>
          <w:rFonts w:asciiTheme="minorHAnsi" w:hAnsiTheme="minorHAnsi"/>
          <w:color w:val="000000"/>
          <w:lang w:val="es-MX"/>
        </w:rPr>
        <w:t>1161-6</w:t>
      </w:r>
    </w:p>
    <w:p w:rsidR="00DF63F1" w:rsidRPr="00FA32E6" w:rsidRDefault="00DF63F1" w:rsidP="00704BDF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  <w:lang w:val="sv-SE"/>
        </w:rPr>
      </w:pPr>
      <w:r w:rsidRPr="00FA32E6">
        <w:rPr>
          <w:rFonts w:asciiTheme="minorHAnsi" w:hAnsiTheme="minorHAnsi"/>
          <w:color w:val="000000"/>
          <w:lang w:val="sv-SE"/>
        </w:rPr>
        <w:t xml:space="preserve">M. </w:t>
      </w:r>
      <w:proofErr w:type="spellStart"/>
      <w:r w:rsidRPr="00FA32E6">
        <w:rPr>
          <w:rFonts w:asciiTheme="minorHAnsi" w:hAnsiTheme="minorHAnsi"/>
          <w:color w:val="000000"/>
          <w:lang w:val="sv-SE"/>
        </w:rPr>
        <w:t>Saajanlehto</w:t>
      </w:r>
      <w:proofErr w:type="spellEnd"/>
      <w:r w:rsidRPr="00FA32E6">
        <w:rPr>
          <w:rFonts w:asciiTheme="minorHAnsi" w:hAnsiTheme="minorHAnsi"/>
          <w:color w:val="000000"/>
          <w:lang w:val="sv-SE"/>
        </w:rPr>
        <w:t xml:space="preserve">, P. Uusi-Kyyny, V. Alopaeus, </w:t>
      </w:r>
      <w:r w:rsidR="003906D3" w:rsidRPr="00FA32E6">
        <w:rPr>
          <w:rFonts w:asciiTheme="minorHAnsi" w:hAnsiTheme="minorHAnsi"/>
          <w:color w:val="000000"/>
          <w:lang w:val="sv-SE"/>
        </w:rPr>
        <w:t xml:space="preserve">Fluid </w:t>
      </w:r>
      <w:proofErr w:type="spellStart"/>
      <w:r w:rsidR="003906D3" w:rsidRPr="00FA32E6">
        <w:rPr>
          <w:rFonts w:asciiTheme="minorHAnsi" w:hAnsiTheme="minorHAnsi"/>
          <w:color w:val="000000"/>
          <w:lang w:val="sv-SE"/>
        </w:rPr>
        <w:t>Phase</w:t>
      </w:r>
      <w:proofErr w:type="spellEnd"/>
      <w:r w:rsidR="003906D3" w:rsidRPr="00FA32E6">
        <w:rPr>
          <w:rFonts w:asciiTheme="minorHAnsi" w:hAnsiTheme="minorHAnsi"/>
          <w:color w:val="000000"/>
          <w:lang w:val="sv-SE"/>
        </w:rPr>
        <w:t xml:space="preserve"> </w:t>
      </w:r>
      <w:proofErr w:type="spellStart"/>
      <w:r w:rsidR="003906D3" w:rsidRPr="00FA32E6">
        <w:rPr>
          <w:rFonts w:asciiTheme="minorHAnsi" w:hAnsiTheme="minorHAnsi"/>
          <w:color w:val="000000"/>
          <w:lang w:val="sv-SE"/>
        </w:rPr>
        <w:t>Equilib</w:t>
      </w:r>
      <w:proofErr w:type="spellEnd"/>
      <w:r w:rsidR="006C2CA3" w:rsidRPr="00FA32E6">
        <w:rPr>
          <w:rFonts w:asciiTheme="minorHAnsi" w:hAnsiTheme="minorHAnsi"/>
          <w:color w:val="000000"/>
          <w:lang w:val="sv-SE"/>
        </w:rPr>
        <w:t>.</w:t>
      </w:r>
      <w:r w:rsidRPr="00FA32E6">
        <w:rPr>
          <w:rFonts w:asciiTheme="minorHAnsi" w:hAnsiTheme="minorHAnsi"/>
          <w:color w:val="000000"/>
          <w:lang w:val="sv-SE"/>
        </w:rPr>
        <w:t xml:space="preserve"> 382 (2014) 150-157.</w:t>
      </w:r>
    </w:p>
    <w:p w:rsidR="00474AEC" w:rsidRPr="006C2CA3" w:rsidRDefault="00474AEC" w:rsidP="00704BDF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 w:rsidRPr="00FA32E6">
        <w:rPr>
          <w:rFonts w:asciiTheme="minorHAnsi" w:hAnsiTheme="minorHAnsi"/>
          <w:color w:val="000000"/>
          <w:lang w:val="sv-SE"/>
        </w:rPr>
        <w:t xml:space="preserve">V. N. </w:t>
      </w:r>
      <w:proofErr w:type="spellStart"/>
      <w:r w:rsidRPr="00FA32E6">
        <w:rPr>
          <w:rFonts w:asciiTheme="minorHAnsi" w:hAnsiTheme="minorHAnsi"/>
          <w:color w:val="000000"/>
          <w:lang w:val="sv-SE"/>
        </w:rPr>
        <w:t>Emel’yaneko</w:t>
      </w:r>
      <w:proofErr w:type="spellEnd"/>
      <w:r w:rsidRPr="00FA32E6">
        <w:rPr>
          <w:rFonts w:asciiTheme="minorHAnsi" w:hAnsiTheme="minorHAnsi"/>
          <w:color w:val="000000"/>
          <w:lang w:val="sv-SE"/>
        </w:rPr>
        <w:t xml:space="preserve">, S. A. </w:t>
      </w:r>
      <w:proofErr w:type="spellStart"/>
      <w:r w:rsidR="006C2CA3" w:rsidRPr="00FA32E6">
        <w:rPr>
          <w:rFonts w:asciiTheme="minorHAnsi" w:hAnsiTheme="minorHAnsi"/>
          <w:color w:val="000000"/>
          <w:lang w:val="sv-SE"/>
        </w:rPr>
        <w:t>Kozlova</w:t>
      </w:r>
      <w:proofErr w:type="spellEnd"/>
      <w:r w:rsidR="006C2CA3" w:rsidRPr="00FA32E6">
        <w:rPr>
          <w:rFonts w:asciiTheme="minorHAnsi" w:hAnsiTheme="minorHAnsi"/>
          <w:color w:val="000000"/>
          <w:lang w:val="sv-SE"/>
        </w:rPr>
        <w:t xml:space="preserve">, et al., </w:t>
      </w:r>
      <w:r w:rsidR="006C2CA3" w:rsidRPr="006C2CA3">
        <w:rPr>
          <w:rFonts w:asciiTheme="minorHAnsi" w:hAnsiTheme="minorHAnsi"/>
          <w:color w:val="000000"/>
        </w:rPr>
        <w:t>J. Chem</w:t>
      </w:r>
      <w:r w:rsidR="006C2CA3">
        <w:rPr>
          <w:rFonts w:asciiTheme="minorHAnsi" w:hAnsiTheme="minorHAnsi"/>
          <w:color w:val="000000"/>
        </w:rPr>
        <w:t>.</w:t>
      </w:r>
      <w:r w:rsidR="006C2CA3" w:rsidRPr="006C2CA3">
        <w:rPr>
          <w:rFonts w:asciiTheme="minorHAnsi" w:hAnsiTheme="minorHAnsi"/>
          <w:color w:val="000000"/>
        </w:rPr>
        <w:t xml:space="preserve"> </w:t>
      </w:r>
      <w:proofErr w:type="spellStart"/>
      <w:r w:rsidR="006C2CA3" w:rsidRPr="006C2CA3">
        <w:rPr>
          <w:rFonts w:asciiTheme="minorHAnsi" w:hAnsiTheme="minorHAnsi"/>
          <w:color w:val="000000"/>
        </w:rPr>
        <w:t>Thermodyn</w:t>
      </w:r>
      <w:proofErr w:type="spellEnd"/>
      <w:r w:rsidR="006C2CA3">
        <w:rPr>
          <w:rFonts w:asciiTheme="minorHAnsi" w:hAnsiTheme="minorHAnsi"/>
          <w:color w:val="000000"/>
        </w:rPr>
        <w:t xml:space="preserve">. </w:t>
      </w:r>
      <w:proofErr w:type="gramStart"/>
      <w:r w:rsidR="006C2CA3">
        <w:rPr>
          <w:rFonts w:asciiTheme="minorHAnsi" w:hAnsiTheme="minorHAnsi"/>
          <w:color w:val="000000"/>
        </w:rPr>
        <w:t>40</w:t>
      </w:r>
      <w:proofErr w:type="gramEnd"/>
      <w:r w:rsidR="006C2CA3">
        <w:rPr>
          <w:rFonts w:asciiTheme="minorHAnsi" w:hAnsiTheme="minorHAnsi"/>
          <w:color w:val="000000"/>
        </w:rPr>
        <w:t xml:space="preserve"> (2008) 911-916.</w:t>
      </w:r>
    </w:p>
    <w:sectPr w:rsidR="00474AEC" w:rsidRPr="006C2CA3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8D2" w:rsidRDefault="006A58D2" w:rsidP="004F5E36">
      <w:r>
        <w:separator/>
      </w:r>
    </w:p>
  </w:endnote>
  <w:endnote w:type="continuationSeparator" w:id="0">
    <w:p w:rsidR="006A58D2" w:rsidRDefault="006A58D2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8D2" w:rsidRDefault="006A58D2" w:rsidP="004F5E36">
      <w:r>
        <w:separator/>
      </w:r>
    </w:p>
  </w:footnote>
  <w:footnote w:type="continuationSeparator" w:id="0">
    <w:p w:rsidR="006A58D2" w:rsidRDefault="006A58D2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162" w:rsidRDefault="00594E9F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B6CC69" wp14:editId="29CCA16E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402DFF5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47FBB032" wp14:editId="1DA35BB6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2E5C9AD" wp14:editId="6476C65D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:rsidR="00704BDF" w:rsidRDefault="00704BDF">
    <w:pPr>
      <w:pStyle w:val="Header"/>
    </w:pPr>
  </w:p>
  <w:p w:rsidR="00704BDF" w:rsidRDefault="00704BDF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4280B6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leSimpl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4A"/>
    <w:rsid w:val="000027C0"/>
    <w:rsid w:val="000117CB"/>
    <w:rsid w:val="0003148D"/>
    <w:rsid w:val="000344AF"/>
    <w:rsid w:val="00062A9A"/>
    <w:rsid w:val="00091D53"/>
    <w:rsid w:val="000A03B2"/>
    <w:rsid w:val="000D34BE"/>
    <w:rsid w:val="000E36F1"/>
    <w:rsid w:val="000E3A73"/>
    <w:rsid w:val="000E414A"/>
    <w:rsid w:val="000F386E"/>
    <w:rsid w:val="00106F48"/>
    <w:rsid w:val="0013121F"/>
    <w:rsid w:val="00134DE4"/>
    <w:rsid w:val="00150E59"/>
    <w:rsid w:val="0018326C"/>
    <w:rsid w:val="00184AD6"/>
    <w:rsid w:val="001B65C1"/>
    <w:rsid w:val="001C684B"/>
    <w:rsid w:val="001D53FC"/>
    <w:rsid w:val="001F2EC7"/>
    <w:rsid w:val="001F69B7"/>
    <w:rsid w:val="00205295"/>
    <w:rsid w:val="002065DB"/>
    <w:rsid w:val="00233F3E"/>
    <w:rsid w:val="002447EF"/>
    <w:rsid w:val="00251550"/>
    <w:rsid w:val="0027221A"/>
    <w:rsid w:val="00275B61"/>
    <w:rsid w:val="002B132E"/>
    <w:rsid w:val="002B719E"/>
    <w:rsid w:val="002D1F12"/>
    <w:rsid w:val="002F1B63"/>
    <w:rsid w:val="003009B7"/>
    <w:rsid w:val="0030469C"/>
    <w:rsid w:val="00305DC4"/>
    <w:rsid w:val="003723D4"/>
    <w:rsid w:val="003906D3"/>
    <w:rsid w:val="003A7D1C"/>
    <w:rsid w:val="0046164A"/>
    <w:rsid w:val="00462DCD"/>
    <w:rsid w:val="0047114B"/>
    <w:rsid w:val="00474AEC"/>
    <w:rsid w:val="00495E45"/>
    <w:rsid w:val="004D1162"/>
    <w:rsid w:val="004E4DD6"/>
    <w:rsid w:val="004F5E36"/>
    <w:rsid w:val="005119A5"/>
    <w:rsid w:val="005278B7"/>
    <w:rsid w:val="005346C8"/>
    <w:rsid w:val="00550705"/>
    <w:rsid w:val="00567B4B"/>
    <w:rsid w:val="00594E9F"/>
    <w:rsid w:val="005A2D07"/>
    <w:rsid w:val="005B61E6"/>
    <w:rsid w:val="005C77E1"/>
    <w:rsid w:val="005D6A2F"/>
    <w:rsid w:val="005E1A82"/>
    <w:rsid w:val="005F0A28"/>
    <w:rsid w:val="005F0E5E"/>
    <w:rsid w:val="00620DEE"/>
    <w:rsid w:val="00625639"/>
    <w:rsid w:val="0064184D"/>
    <w:rsid w:val="00660E3E"/>
    <w:rsid w:val="00662E74"/>
    <w:rsid w:val="00664A8F"/>
    <w:rsid w:val="00670870"/>
    <w:rsid w:val="00677345"/>
    <w:rsid w:val="006A58D2"/>
    <w:rsid w:val="006C2CA3"/>
    <w:rsid w:val="006C5579"/>
    <w:rsid w:val="00704BDF"/>
    <w:rsid w:val="00736B13"/>
    <w:rsid w:val="007447F3"/>
    <w:rsid w:val="007661C8"/>
    <w:rsid w:val="00784D2E"/>
    <w:rsid w:val="007D0238"/>
    <w:rsid w:val="007D52CD"/>
    <w:rsid w:val="00807839"/>
    <w:rsid w:val="00813288"/>
    <w:rsid w:val="00813DD8"/>
    <w:rsid w:val="008168FC"/>
    <w:rsid w:val="008479A2"/>
    <w:rsid w:val="0087637F"/>
    <w:rsid w:val="00881F78"/>
    <w:rsid w:val="008A1512"/>
    <w:rsid w:val="008D0BEB"/>
    <w:rsid w:val="008E566E"/>
    <w:rsid w:val="00901EB6"/>
    <w:rsid w:val="009374DE"/>
    <w:rsid w:val="009450CE"/>
    <w:rsid w:val="00947740"/>
    <w:rsid w:val="0095164B"/>
    <w:rsid w:val="00972544"/>
    <w:rsid w:val="00996483"/>
    <w:rsid w:val="009E788A"/>
    <w:rsid w:val="00A1763D"/>
    <w:rsid w:val="00A17CEC"/>
    <w:rsid w:val="00A27EF0"/>
    <w:rsid w:val="00A43DCB"/>
    <w:rsid w:val="00A514F3"/>
    <w:rsid w:val="00A76EFC"/>
    <w:rsid w:val="00A9626B"/>
    <w:rsid w:val="00A97F29"/>
    <w:rsid w:val="00AB0964"/>
    <w:rsid w:val="00AD3028"/>
    <w:rsid w:val="00AE377D"/>
    <w:rsid w:val="00B61DBF"/>
    <w:rsid w:val="00B740A1"/>
    <w:rsid w:val="00B75D0D"/>
    <w:rsid w:val="00B769F8"/>
    <w:rsid w:val="00BC30C9"/>
    <w:rsid w:val="00BE3E58"/>
    <w:rsid w:val="00C01616"/>
    <w:rsid w:val="00C0162B"/>
    <w:rsid w:val="00C345B1"/>
    <w:rsid w:val="00C40142"/>
    <w:rsid w:val="00C458A2"/>
    <w:rsid w:val="00C50BE2"/>
    <w:rsid w:val="00C57182"/>
    <w:rsid w:val="00C655FD"/>
    <w:rsid w:val="00C67AEA"/>
    <w:rsid w:val="00C71426"/>
    <w:rsid w:val="00C867B1"/>
    <w:rsid w:val="00C87073"/>
    <w:rsid w:val="00C94434"/>
    <w:rsid w:val="00CA1C95"/>
    <w:rsid w:val="00CA5A9C"/>
    <w:rsid w:val="00CB2202"/>
    <w:rsid w:val="00CD2BB4"/>
    <w:rsid w:val="00CD5FE2"/>
    <w:rsid w:val="00CF602E"/>
    <w:rsid w:val="00D02B4C"/>
    <w:rsid w:val="00D472D3"/>
    <w:rsid w:val="00D84576"/>
    <w:rsid w:val="00DB45F4"/>
    <w:rsid w:val="00DE0019"/>
    <w:rsid w:val="00DE06B5"/>
    <w:rsid w:val="00DE264A"/>
    <w:rsid w:val="00DF0101"/>
    <w:rsid w:val="00DF63F1"/>
    <w:rsid w:val="00E0322B"/>
    <w:rsid w:val="00E041E7"/>
    <w:rsid w:val="00E217CF"/>
    <w:rsid w:val="00E21CD3"/>
    <w:rsid w:val="00E23CA1"/>
    <w:rsid w:val="00E2412A"/>
    <w:rsid w:val="00E250ED"/>
    <w:rsid w:val="00E409A8"/>
    <w:rsid w:val="00E7209D"/>
    <w:rsid w:val="00E95654"/>
    <w:rsid w:val="00EA50E1"/>
    <w:rsid w:val="00EB2C9B"/>
    <w:rsid w:val="00EE0131"/>
    <w:rsid w:val="00F01B02"/>
    <w:rsid w:val="00F24FD3"/>
    <w:rsid w:val="00F30916"/>
    <w:rsid w:val="00F30C64"/>
    <w:rsid w:val="00F42F33"/>
    <w:rsid w:val="00F6434F"/>
    <w:rsid w:val="00F7171B"/>
    <w:rsid w:val="00FA32E6"/>
    <w:rsid w:val="00FB730C"/>
    <w:rsid w:val="00FC2695"/>
    <w:rsid w:val="00FC3E03"/>
    <w:rsid w:val="00FE5A00"/>
    <w:rsid w:val="00FE6A2D"/>
    <w:rsid w:val="00FE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E18B64B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ing1">
    <w:name w:val="heading 1"/>
    <w:basedOn w:val="CETHeading1"/>
    <w:next w:val="Normal"/>
    <w:link w:val="Heading1Ch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leSimple1">
    <w:name w:val="Table Simple 1"/>
    <w:basedOn w:val="TableNormal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03148D"/>
  </w:style>
  <w:style w:type="paragraph" w:styleId="BodyText2">
    <w:name w:val="Body Text 2"/>
    <w:basedOn w:val="Normal"/>
    <w:link w:val="BodyText2Char"/>
    <w:uiPriority w:val="99"/>
    <w:semiHidden/>
    <w:unhideWhenUsed/>
    <w:rsid w:val="000314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3148D"/>
  </w:style>
  <w:style w:type="paragraph" w:styleId="BodyText3">
    <w:name w:val="Body Text 3"/>
    <w:basedOn w:val="Normal"/>
    <w:link w:val="BodyText3Ch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3148D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0314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3148D"/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03148D"/>
  </w:style>
  <w:style w:type="character" w:customStyle="1" w:styleId="DateChar">
    <w:name w:val="Date Char"/>
    <w:basedOn w:val="DefaultParagraphFont"/>
    <w:link w:val="Date"/>
    <w:uiPriority w:val="99"/>
    <w:semiHidden/>
    <w:rsid w:val="0003148D"/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3148D"/>
  </w:style>
  <w:style w:type="paragraph" w:styleId="E-mailSignature">
    <w:name w:val="E-mail Signature"/>
    <w:basedOn w:val="Normal"/>
    <w:link w:val="E-mailSignatureChar"/>
    <w:uiPriority w:val="99"/>
    <w:semiHidden/>
    <w:unhideWhenUsed/>
    <w:locked/>
    <w:rsid w:val="0003148D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3148D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03148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3148D"/>
  </w:style>
  <w:style w:type="paragraph" w:styleId="Closing">
    <w:name w:val="Closing"/>
    <w:basedOn w:val="Normal"/>
    <w:link w:val="Closing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3148D"/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EnvelopeAddress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3148D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03148D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3148D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03148D"/>
    <w:rPr>
      <w:sz w:val="24"/>
      <w:szCs w:val="24"/>
    </w:rPr>
  </w:style>
  <w:style w:type="paragraph" w:styleId="ListNumber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3148D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3148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3148D"/>
  </w:style>
  <w:style w:type="paragraph" w:styleId="ListBullet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3148D"/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3148D"/>
    <w:rPr>
      <w:sz w:val="16"/>
      <w:szCs w:val="16"/>
    </w:rPr>
  </w:style>
  <w:style w:type="paragraph" w:styleId="NormalIndent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4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0314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48D"/>
    <w:rPr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BlockText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MacroText">
    <w:name w:val="macro"/>
    <w:link w:val="MacroTextCh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148D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3148D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OAHeading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DefaultParagraphFont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leGrid">
    <w:name w:val="Table Grid"/>
    <w:basedOn w:val="TableNormal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A2B1B-6AA0-446B-A642-882208CBB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4587</TotalTime>
  <Pages>2</Pages>
  <Words>729</Words>
  <Characters>4160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González Escobedo José Luis</cp:lastModifiedBy>
  <cp:revision>68</cp:revision>
  <cp:lastPrinted>2015-05-12T18:31:00Z</cp:lastPrinted>
  <dcterms:created xsi:type="dcterms:W3CDTF">2018-05-26T08:49:00Z</dcterms:created>
  <dcterms:modified xsi:type="dcterms:W3CDTF">2019-03-28T11:15:00Z</dcterms:modified>
</cp:coreProperties>
</file>