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4D1862" w:rsidRDefault="004D1862" w:rsidP="004D1862">
      <w:pPr>
        <w:jc w:val="center"/>
        <w:rPr>
          <w:rStyle w:val="Enfasigrassetto"/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r w:rsidRPr="004D1862">
        <w:rPr>
          <w:rStyle w:val="Enfasigrassetto"/>
          <w:rFonts w:asciiTheme="minorHAnsi" w:hAnsiTheme="minorHAnsi" w:cstheme="minorHAnsi"/>
          <w:sz w:val="28"/>
          <w:szCs w:val="28"/>
          <w:lang w:val="en-US"/>
        </w:rPr>
        <w:t>Nanocellulose Based, facilitated transport membranes for carbon capture applications</w:t>
      </w:r>
      <w:bookmarkEnd w:id="0"/>
    </w:p>
    <w:p w:rsidR="00666629" w:rsidRDefault="00666629" w:rsidP="004D1862">
      <w:pPr>
        <w:jc w:val="center"/>
        <w:rPr>
          <w:rStyle w:val="Enfasigrassetto"/>
          <w:rFonts w:asciiTheme="minorHAnsi" w:hAnsiTheme="minorHAnsi" w:cstheme="minorHAnsi"/>
          <w:sz w:val="28"/>
          <w:szCs w:val="28"/>
          <w:lang w:val="en-US"/>
        </w:rPr>
      </w:pPr>
    </w:p>
    <w:p w:rsidR="004D1862" w:rsidRDefault="004D1862" w:rsidP="004D1862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4D1862">
        <w:rPr>
          <w:rFonts w:asciiTheme="minorHAnsi" w:hAnsiTheme="minorHAnsi" w:cstheme="minorHAnsi"/>
          <w:sz w:val="24"/>
          <w:szCs w:val="24"/>
          <w:lang w:val="it-IT"/>
        </w:rPr>
        <w:t>Davide Venturi</w:t>
      </w:r>
      <w:r w:rsidRPr="004D1862">
        <w:rPr>
          <w:rFonts w:asciiTheme="minorHAnsi" w:hAnsiTheme="minorHAnsi" w:cstheme="minorHAnsi"/>
          <w:sz w:val="24"/>
          <w:szCs w:val="24"/>
          <w:vertAlign w:val="superscript"/>
          <w:lang w:val="it-IT"/>
        </w:rPr>
        <w:t>1</w:t>
      </w:r>
      <w:r w:rsidRPr="004D1862">
        <w:rPr>
          <w:rFonts w:asciiTheme="minorHAnsi" w:hAnsiTheme="minorHAnsi" w:cstheme="minorHAnsi"/>
          <w:sz w:val="24"/>
          <w:szCs w:val="24"/>
          <w:lang w:val="it-IT"/>
        </w:rPr>
        <w:t>, Benjamin Dhuiège</w:t>
      </w:r>
      <w:r w:rsidRPr="004D1862">
        <w:rPr>
          <w:rFonts w:asciiTheme="minorHAnsi" w:hAnsiTheme="minorHAnsi" w:cstheme="minorHAnsi"/>
          <w:sz w:val="24"/>
          <w:szCs w:val="24"/>
          <w:vertAlign w:val="superscript"/>
          <w:lang w:val="it-IT"/>
        </w:rPr>
        <w:t>2</w:t>
      </w:r>
      <w:r w:rsidRPr="004D1862">
        <w:rPr>
          <w:rFonts w:asciiTheme="minorHAnsi" w:hAnsiTheme="minorHAnsi" w:cstheme="minorHAnsi"/>
          <w:sz w:val="24"/>
          <w:szCs w:val="24"/>
          <w:lang w:val="it-IT"/>
        </w:rPr>
        <w:t>, Karim Missoum</w:t>
      </w:r>
      <w:r w:rsidRPr="004D1862">
        <w:rPr>
          <w:rFonts w:asciiTheme="minorHAnsi" w:hAnsiTheme="minorHAnsi" w:cstheme="minorHAnsi"/>
          <w:sz w:val="24"/>
          <w:szCs w:val="24"/>
          <w:vertAlign w:val="superscript"/>
          <w:lang w:val="it-IT"/>
        </w:rPr>
        <w:t>2</w:t>
      </w:r>
      <w:r w:rsidRPr="004D1862">
        <w:rPr>
          <w:rFonts w:asciiTheme="minorHAnsi" w:hAnsiTheme="minorHAnsi" w:cstheme="minorHAnsi"/>
          <w:sz w:val="24"/>
          <w:szCs w:val="24"/>
          <w:lang w:val="it-IT"/>
        </w:rPr>
        <w:t>, Marco Giacinti Baschetti</w:t>
      </w:r>
      <w:r w:rsidRPr="004D1862">
        <w:rPr>
          <w:rFonts w:asciiTheme="minorHAnsi" w:hAnsiTheme="minorHAnsi" w:cstheme="minorHAnsi"/>
          <w:sz w:val="24"/>
          <w:szCs w:val="24"/>
          <w:vertAlign w:val="superscript"/>
          <w:lang w:val="it-IT"/>
        </w:rPr>
        <w:t>1</w:t>
      </w:r>
      <w:r w:rsidRPr="004D1862">
        <w:rPr>
          <w:rFonts w:asciiTheme="minorHAnsi" w:hAnsiTheme="minorHAnsi" w:cstheme="minorHAnsi"/>
          <w:sz w:val="24"/>
          <w:szCs w:val="24"/>
          <w:lang w:val="it-IT"/>
        </w:rPr>
        <w:t>,</w:t>
      </w:r>
    </w:p>
    <w:p w:rsidR="004D1862" w:rsidRPr="004D1862" w:rsidRDefault="004D1862" w:rsidP="004D1862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66629" w:rsidRDefault="004D1862" w:rsidP="00666629">
      <w:pPr>
        <w:rPr>
          <w:rFonts w:asciiTheme="minorHAnsi" w:hAnsiTheme="minorHAnsi" w:cstheme="minorHAnsi"/>
          <w:i/>
          <w:sz w:val="20"/>
          <w:lang w:val="it-IT"/>
        </w:rPr>
      </w:pPr>
      <w:r w:rsidRPr="004D1862">
        <w:rPr>
          <w:rFonts w:asciiTheme="minorHAnsi" w:hAnsiTheme="minorHAnsi" w:cstheme="minorHAnsi"/>
          <w:i/>
          <w:sz w:val="20"/>
          <w:lang w:val="it-IT"/>
        </w:rPr>
        <w:t xml:space="preserve">1) Alma Mater </w:t>
      </w:r>
      <w:proofErr w:type="spellStart"/>
      <w:r w:rsidRPr="004D1862">
        <w:rPr>
          <w:rFonts w:asciiTheme="minorHAnsi" w:hAnsiTheme="minorHAnsi" w:cstheme="minorHAnsi"/>
          <w:i/>
          <w:sz w:val="20"/>
          <w:lang w:val="it-IT"/>
        </w:rPr>
        <w:t>Studiorum</w:t>
      </w:r>
      <w:proofErr w:type="spellEnd"/>
      <w:r w:rsidRPr="004D1862">
        <w:rPr>
          <w:rFonts w:asciiTheme="minorHAnsi" w:hAnsiTheme="minorHAnsi" w:cstheme="minorHAnsi"/>
          <w:i/>
          <w:sz w:val="20"/>
          <w:lang w:val="it-IT"/>
        </w:rPr>
        <w:t xml:space="preserve"> – Università di Bologna, Via Terracini, 28, 40131 Bologna, Italy</w:t>
      </w:r>
    </w:p>
    <w:p w:rsidR="004D1862" w:rsidRDefault="004D1862" w:rsidP="00666629">
      <w:pPr>
        <w:rPr>
          <w:rFonts w:asciiTheme="minorHAnsi" w:hAnsiTheme="minorHAnsi" w:cstheme="minorHAnsi"/>
          <w:i/>
          <w:sz w:val="20"/>
          <w:lang w:val="en-US"/>
        </w:rPr>
      </w:pPr>
      <w:r w:rsidRPr="004D1862">
        <w:rPr>
          <w:rFonts w:asciiTheme="minorHAnsi" w:hAnsiTheme="minorHAnsi" w:cstheme="minorHAnsi"/>
          <w:i/>
          <w:sz w:val="20"/>
          <w:lang w:val="en-US"/>
        </w:rPr>
        <w:t xml:space="preserve">2) INOFIB 461 rue de la </w:t>
      </w:r>
      <w:proofErr w:type="spellStart"/>
      <w:r w:rsidRPr="004D1862">
        <w:rPr>
          <w:rFonts w:asciiTheme="minorHAnsi" w:hAnsiTheme="minorHAnsi" w:cstheme="minorHAnsi"/>
          <w:i/>
          <w:sz w:val="20"/>
          <w:lang w:val="en-US"/>
        </w:rPr>
        <w:t>Papeterie</w:t>
      </w:r>
      <w:proofErr w:type="spellEnd"/>
      <w:r w:rsidRPr="004D1862">
        <w:rPr>
          <w:rFonts w:asciiTheme="minorHAnsi" w:hAnsiTheme="minorHAnsi" w:cstheme="minorHAnsi"/>
          <w:i/>
          <w:sz w:val="20"/>
          <w:lang w:val="en-US"/>
        </w:rPr>
        <w:t xml:space="preserve"> CS-10065 38402 Saint-Martin-</w:t>
      </w:r>
      <w:proofErr w:type="spellStart"/>
      <w:r w:rsidRPr="004D1862">
        <w:rPr>
          <w:rFonts w:asciiTheme="minorHAnsi" w:hAnsiTheme="minorHAnsi" w:cstheme="minorHAnsi"/>
          <w:i/>
          <w:sz w:val="20"/>
          <w:lang w:val="en-US"/>
        </w:rPr>
        <w:t>d’Hères</w:t>
      </w:r>
      <w:proofErr w:type="spellEnd"/>
      <w:r w:rsidRPr="004D1862">
        <w:rPr>
          <w:rFonts w:asciiTheme="minorHAnsi" w:hAnsiTheme="minorHAnsi" w:cstheme="minorHAnsi"/>
          <w:i/>
          <w:sz w:val="20"/>
          <w:lang w:val="en-US"/>
        </w:rPr>
        <w:t xml:space="preserve"> Cedex</w:t>
      </w:r>
    </w:p>
    <w:p w:rsidR="00666629" w:rsidRPr="00666629" w:rsidRDefault="00666629" w:rsidP="00666629">
      <w:pPr>
        <w:rPr>
          <w:rFonts w:asciiTheme="minorHAnsi" w:hAnsiTheme="minorHAnsi" w:cstheme="minorHAnsi"/>
          <w:i/>
          <w:sz w:val="20"/>
          <w:lang w:val="it-IT"/>
        </w:rPr>
      </w:pPr>
    </w:p>
    <w:p w:rsidR="004D1862" w:rsidRPr="004D1862" w:rsidRDefault="004D1862" w:rsidP="004D186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4D186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4D186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4D186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Pr="004D1862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marco.giacinti@unibo.it</w:t>
        </w:r>
      </w:hyperlink>
      <w:r w:rsidRPr="004D186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F3126" w:rsidRDefault="0058628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Nanofibrillated</w:t>
      </w:r>
      <w:proofErr w:type="spellEnd"/>
      <w:r>
        <w:rPr>
          <w:rFonts w:asciiTheme="minorHAnsi" w:hAnsiTheme="minorHAnsi"/>
        </w:rPr>
        <w:t xml:space="preserve"> cellulose was used to prepare facilitated transport membrane</w:t>
      </w:r>
      <w:r w:rsidR="007E6D26">
        <w:rPr>
          <w:rFonts w:asciiTheme="minorHAnsi" w:hAnsiTheme="minorHAnsi"/>
        </w:rPr>
        <w:t xml:space="preserve"> for CO2 capture</w:t>
      </w:r>
    </w:p>
    <w:p w:rsidR="007F3126" w:rsidRDefault="007E6D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PVAm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Naocelllulose</w:t>
      </w:r>
      <w:proofErr w:type="spellEnd"/>
      <w:r>
        <w:rPr>
          <w:rFonts w:asciiTheme="minorHAnsi" w:hAnsiTheme="minorHAnsi"/>
        </w:rPr>
        <w:t xml:space="preserve"> membrane showed interesting separation performance close to the 2008 upper bound for CO2/N2 separation. </w:t>
      </w:r>
    </w:p>
    <w:p w:rsidR="007F3126" w:rsidRDefault="007E6D2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Arginine-Nanocellulose membranes were able to overcome 2008 upper bound for CO2/N2 separation.</w:t>
      </w:r>
    </w:p>
    <w:p w:rsidR="00660D08" w:rsidRDefault="00660D08" w:rsidP="00660D08">
      <w:pPr>
        <w:pStyle w:val="AbstractBody"/>
        <w:ind w:left="0"/>
        <w:rPr>
          <w:rFonts w:asciiTheme="minorHAnsi" w:hAnsiTheme="minorHAnsi"/>
        </w:rPr>
      </w:pPr>
    </w:p>
    <w:p w:rsidR="00704BDF" w:rsidRPr="008D0BEB" w:rsidRDefault="00704BDF" w:rsidP="00FC773E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919EB" w:rsidRDefault="000919EB" w:rsidP="000919EB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capture and storage (CCS) technologies represent an interesting medium-term solution to tackle climate change and CO2 emissions, removing the greenhouse gas before its release in the atmosphere. In order to make it a viable solution, high performance separation techniques must be applied, and gas separation membranes are a strongly investigated solution. </w:t>
      </w:r>
    </w:p>
    <w:p w:rsidR="000919EB" w:rsidRPr="000919EB" w:rsidRDefault="000919EB" w:rsidP="000919EB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this work a new family of</w:t>
      </w:r>
      <w:r w:rsidR="004D1862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facilitated transport membranes 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(FTM)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investigated that uses </w:t>
      </w:r>
      <w:proofErr w:type="spellStart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fibrillated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ulose (NFC) has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matrix for the CO2 carriers. T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hanks to its high hydrophilicity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high mechanical resistance and the 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already interesting separation performances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materials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seems indeed a very interesting candidate to obtain high performing and stable Hybrid Facilitated transport membranes (HFTM)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586289" w:rsidRPr="00090D03" w:rsidRDefault="000919EB" w:rsidP="00586289">
      <w:pPr>
        <w:keepNext/>
        <w:snapToGrid w:val="0"/>
        <w:spacing w:after="120"/>
        <w:rPr>
          <w:rFonts w:asciiTheme="minorHAnsi" w:hAnsiTheme="minorHAnsi" w:cstheme="minorHAnsi"/>
          <w:b/>
          <w:color w:val="000000" w:themeColor="text1"/>
        </w:rPr>
      </w:pP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series of membranes loaded with different amounts 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amine based carriers such as 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L-Arginine and </w:t>
      </w:r>
      <w:proofErr w:type="spellStart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polyvinylamine</w:t>
      </w:r>
      <w:proofErr w:type="spellEnd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proofErr w:type="gramStart"/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</w:t>
      </w:r>
      <w:r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humid conditions for CO2 and N2 permeability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assess their potential for post combustion carbon capture applications.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86289" w:rsidRDefault="00EC4D33" w:rsidP="0058628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different types of nanocellulose were produced at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inofib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starting from the raw materials, namely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Carboxymethlated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nanocellulose 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(NFC-CMC)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some of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idroxyl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 on the fiber surface were substitute with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carboxilyc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acids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aminosilane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modified</w:t>
      </w:r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Nanocellulose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(NFC-AEAPTMS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L-Arginine was purchased from sigma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adrich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</w:t>
      </w:r>
      <w:proofErr w:type="spellStart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 through a </w:t>
      </w:r>
      <w:proofErr w:type="gramStart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 step</w:t>
      </w:r>
      <w:proofErr w:type="gramEnd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purification form the commercial product </w:t>
      </w:r>
      <w:proofErr w:type="spellStart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>Lupamin</w:t>
      </w:r>
      <w:proofErr w:type="spellEnd"/>
      <w:r w:rsidR="007E6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 9095 kindly provided by BASF Italia. </w:t>
      </w:r>
    </w:p>
    <w:p w:rsidR="007E6D26" w:rsidRDefault="007E6D26" w:rsidP="0058628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membranes were produced by solvent casting from an aqueous solution obtained by adding the amine compound solution in </w:t>
      </w:r>
      <w:r w:rsidR="00EC4D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dispersion of nanocellulose. </w:t>
      </w:r>
      <w:r w:rsidR="007C6AD7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Permeation</w:t>
      </w:r>
      <w:r w:rsidR="00EC4D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 were carried out in humid condition in order to exploit the facilitated transport mechanisms which needs water </w:t>
      </w:r>
      <w:r w:rsidR="00EC4D3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to be fully active. To that aim a purposely built apparatus was used [1] able to use well known barometric technique for gas permeability evaluation ls in presence of water vapor. </w:t>
      </w:r>
    </w:p>
    <w:p w:rsidR="001E1CC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86289" w:rsidRDefault="001E1CC2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4D3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data obtained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 w:rsidR="00EC4D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rom the different experiments are shown in figure 1 a and b for the NFC-Arginine and </w:t>
      </w:r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amonosilane</w:t>
      </w:r>
      <w:proofErr w:type="spellEnd"/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treated NFC. </w:t>
      </w:r>
      <w:proofErr w:type="gramStart"/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can be seen that the</w:t>
      </w:r>
      <w:proofErr w:type="gramEnd"/>
      <w:r w:rsidR="004D18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ddition of the amino acid resulted in a significant increment of both permeability (from 29 to 220 </w:t>
      </w:r>
      <w:proofErr w:type="spellStart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Barrer</w:t>
      </w:r>
      <w:proofErr w:type="spellEnd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ideal selectivity (from 56 to 185). Introduction of </w:t>
      </w:r>
      <w:proofErr w:type="spellStart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the formation of strong interactions with the NFC matrix, which reduced permeability respect to a pure mobile carrier, but improved stability at high relative humidity. Lastly, a chemically modified NFC, with amine-bearing moieties grafted onto the surface (NFC-AEAPTMS) was tested with a content of 20 </w:t>
      </w:r>
      <w:proofErr w:type="spellStart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proofErr w:type="spellStart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PVAm</w:t>
      </w:r>
      <w:proofErr w:type="spellEnd"/>
      <w:r w:rsidR="00586289" w:rsidRPr="00091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also showing promising performances. </w:t>
      </w: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6289">
        <w:rPr>
          <w:rFonts w:eastAsia="MS P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579745" cy="2811780"/>
            <wp:effectExtent l="0" t="0" r="190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Default="00586289" w:rsidP="00586289">
      <w:pPr>
        <w:keepNext/>
        <w:snapToGrid w:val="0"/>
        <w:spacing w:after="120"/>
        <w:ind w:left="212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586289" w:rsidRPr="00586289" w:rsidRDefault="00586289" w:rsidP="00586289">
      <w:pPr>
        <w:keepNext/>
        <w:snapToGrid w:val="0"/>
        <w:spacing w:after="120"/>
        <w:ind w:left="212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                                   a)</w:t>
      </w:r>
      <w:r w:rsidRPr="00586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                               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                                     </w:t>
      </w:r>
      <w:r w:rsidRPr="00586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b)</w:t>
      </w:r>
    </w:p>
    <w:p w:rsidR="00586289" w:rsidRPr="00586289" w:rsidRDefault="00586289" w:rsidP="00586289">
      <w:pPr>
        <w:keepNext/>
        <w:snapToGrid w:val="0"/>
        <w:spacing w:after="120"/>
        <w:jc w:val="center"/>
        <w:rPr>
          <w:rFonts w:asciiTheme="minorHAnsi" w:eastAsia="MS PGothic" w:hAnsiTheme="minorHAnsi"/>
          <w:color w:val="000000"/>
          <w:sz w:val="20"/>
          <w:lang w:val="en-US"/>
        </w:rPr>
      </w:pPr>
      <w:r w:rsidRPr="00586289">
        <w:rPr>
          <w:rFonts w:asciiTheme="minorHAnsi" w:eastAsia="MS PGothic" w:hAnsiTheme="minorHAnsi"/>
          <w:b/>
          <w:color w:val="000000"/>
          <w:sz w:val="20"/>
          <w:lang w:val="en-US"/>
        </w:rPr>
        <w:t>Figure 1</w:t>
      </w:r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a) </w:t>
      </w:r>
      <w:r w:rsidRPr="00586289">
        <w:rPr>
          <w:rFonts w:asciiTheme="minorHAnsi" w:eastAsia="MS PGothic" w:hAnsiTheme="minorHAnsi"/>
          <w:color w:val="000000"/>
          <w:sz w:val="20"/>
          <w:lang w:val="en-US"/>
        </w:rPr>
        <w:t>CM</w:t>
      </w:r>
      <w:r w:rsidR="004D1862">
        <w:rPr>
          <w:rFonts w:asciiTheme="minorHAnsi" w:eastAsia="MS PGothic" w:hAnsiTheme="minorHAnsi"/>
          <w:color w:val="000000"/>
          <w:sz w:val="20"/>
          <w:lang w:val="en-US"/>
        </w:rPr>
        <w:t>C</w:t>
      </w:r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-NFC </w:t>
      </w:r>
      <w:proofErr w:type="spellStart"/>
      <w:r w:rsidRPr="00586289">
        <w:rPr>
          <w:rFonts w:asciiTheme="minorHAnsi" w:eastAsia="MS PGothic" w:hAnsiTheme="minorHAnsi"/>
          <w:color w:val="000000"/>
          <w:sz w:val="20"/>
          <w:lang w:val="en-US"/>
        </w:rPr>
        <w:t>permselectivity</w:t>
      </w:r>
      <w:proofErr w:type="spellEnd"/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 at different loadings of L-Arginine and relative humidity and 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b) </w:t>
      </w:r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of aminated NFC plus </w:t>
      </w:r>
      <w:proofErr w:type="spellStart"/>
      <w:r w:rsidRPr="00586289">
        <w:rPr>
          <w:rFonts w:asciiTheme="minorHAnsi" w:eastAsia="MS PGothic" w:hAnsiTheme="minorHAnsi"/>
          <w:color w:val="000000"/>
          <w:sz w:val="20"/>
          <w:lang w:val="en-US"/>
        </w:rPr>
        <w:t>polyvinylamine</w:t>
      </w:r>
      <w:proofErr w:type="spellEnd"/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 at 100 RH% </w:t>
      </w:r>
      <w:proofErr w:type="gramStart"/>
      <w:r>
        <w:rPr>
          <w:rFonts w:asciiTheme="minorHAnsi" w:eastAsia="MS PGothic" w:hAnsiTheme="minorHAnsi"/>
          <w:color w:val="000000"/>
          <w:sz w:val="20"/>
          <w:lang w:val="en-US"/>
        </w:rPr>
        <w:t xml:space="preserve">with  </w:t>
      </w:r>
      <w:r w:rsidRPr="00586289">
        <w:rPr>
          <w:rFonts w:asciiTheme="minorHAnsi" w:eastAsia="MS PGothic" w:hAnsiTheme="minorHAnsi"/>
          <w:color w:val="000000"/>
          <w:sz w:val="20"/>
          <w:lang w:val="en-US"/>
        </w:rPr>
        <w:t>respect</w:t>
      </w:r>
      <w:proofErr w:type="gramEnd"/>
      <w:r w:rsidRPr="00586289">
        <w:rPr>
          <w:rFonts w:asciiTheme="minorHAnsi" w:eastAsia="MS PGothic" w:hAnsiTheme="minorHAnsi"/>
          <w:color w:val="000000"/>
          <w:sz w:val="20"/>
          <w:lang w:val="en-US"/>
        </w:rPr>
        <w:t xml:space="preserve"> to Robeson’s Upper Bound [2]</w:t>
      </w:r>
    </w:p>
    <w:p w:rsidR="00704BDF" w:rsidRDefault="00FC773E" w:rsidP="0058628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D1862" w:rsidRDefault="004D1862" w:rsidP="0091741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works a new type of nanocellulose based facilitated transport membranes were investigated for their use in post combustion carbon capture application. The general results showed that nanocellulose thanks to its hydrophilicity is a good candidate to be sed in facilitated transport membranes and is coupled with mobile carrier such as L-arginine it allows to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obtine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mebrane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 separation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 well above the 2008 Robeson’s Upper Bound. </w:t>
      </w:r>
    </w:p>
    <w:p w:rsidR="00917414" w:rsidRPr="00917414" w:rsidRDefault="00917414" w:rsidP="0091741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Acknowledgements: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This work has been performed in the framework of the European Project H2020 NANOMEM</w:t>
      </w:r>
      <w:r>
        <w:rPr>
          <w:rFonts w:ascii="URWPalladioL-Roma" w:eastAsiaTheme="minorHAnsi" w:hAnsi="URWPalladioL-Roma" w:cs="URWPalladioL-Roma"/>
          <w:szCs w:val="18"/>
          <w:lang w:val="en-US"/>
        </w:rPr>
        <w:t>C</w:t>
      </w:r>
      <w:r w:rsidRPr="00917414">
        <w:rPr>
          <w:rFonts w:ascii="URWPalladioL-Roma" w:eastAsiaTheme="minorHAnsi" w:hAnsi="URWPalladioL-Roma" w:cs="URWPalladioL-Roma"/>
          <w:szCs w:val="18"/>
          <w:vertAlign w:val="superscript"/>
          <w:lang w:val="en-US"/>
        </w:rPr>
        <w:t>2</w:t>
      </w:r>
      <w:r>
        <w:rPr>
          <w:rFonts w:ascii="URWPalladioL-Roma" w:eastAsiaTheme="minorHAnsi" w:hAnsi="URWPalladioL-Roma" w:cs="URWPalladioL-Roma"/>
          <w:sz w:val="14"/>
          <w:szCs w:val="14"/>
          <w:lang w:val="en-US"/>
        </w:rPr>
        <w:t xml:space="preserve">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“</w:t>
      </w:r>
      <w:proofErr w:type="spellStart"/>
      <w:r w:rsidRPr="00917414">
        <w:rPr>
          <w:rFonts w:ascii="URWPalladioL-Roma" w:eastAsiaTheme="minorHAnsi" w:hAnsi="URWPalladioL-Roma" w:cs="URWPalladioL-Roma"/>
          <w:szCs w:val="18"/>
          <w:lang w:val="en-US"/>
        </w:rPr>
        <w:t>NanoMaterials</w:t>
      </w:r>
      <w:proofErr w:type="spellEnd"/>
      <w:r w:rsidRPr="00917414">
        <w:rPr>
          <w:rFonts w:ascii="URWPalladioL-Roma" w:eastAsiaTheme="minorHAnsi" w:hAnsi="URWPalladioL-Roma" w:cs="URWPalladioL-Roma"/>
          <w:szCs w:val="18"/>
          <w:lang w:val="en-US"/>
        </w:rPr>
        <w:t xml:space="preserve"> Enhanced Membranes for Carbon Capture”, funded by the Innovation and Networks Executive</w:t>
      </w:r>
      <w:r>
        <w:rPr>
          <w:rFonts w:ascii="URWPalladioL-Roma" w:eastAsiaTheme="minorHAnsi" w:hAnsi="URWPalladioL-Roma" w:cs="URWPalladioL-Roma"/>
          <w:szCs w:val="18"/>
          <w:lang w:val="en-US"/>
        </w:rPr>
        <w:t xml:space="preserve"> </w:t>
      </w:r>
      <w:r w:rsidRPr="00917414">
        <w:rPr>
          <w:rFonts w:ascii="URWPalladioL-Roma" w:eastAsiaTheme="minorHAnsi" w:hAnsi="URWPalladioL-Roma" w:cs="URWPalladioL-Roma"/>
          <w:szCs w:val="18"/>
          <w:lang w:val="en-US"/>
        </w:rPr>
        <w:t>Agency (INEA) Grant Agreement Number: 727734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4D1862" w:rsidRPr="004D1862" w:rsidRDefault="008C10F4" w:rsidP="004D186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 w:val="20"/>
          <w:szCs w:val="24"/>
        </w:rPr>
      </w:pPr>
      <w:r>
        <w:rPr>
          <w:rFonts w:asciiTheme="minorHAnsi" w:eastAsia="SimSun" w:hAnsiTheme="minorHAnsi"/>
          <w:szCs w:val="22"/>
          <w:lang w:eastAsia="zh-CN"/>
        </w:rPr>
        <w:fldChar w:fldCharType="begin" w:fldLock="1"/>
      </w:r>
      <w:r>
        <w:rPr>
          <w:rFonts w:asciiTheme="minorHAnsi" w:eastAsia="SimSun" w:hAnsiTheme="minorHAnsi"/>
          <w:szCs w:val="22"/>
          <w:lang w:eastAsia="zh-CN"/>
        </w:rPr>
        <w:instrText xml:space="preserve">ADDIN Mendeley Bibliography CSL_BIBLIOGRAPHY </w:instrText>
      </w:r>
      <w:r>
        <w:rPr>
          <w:rFonts w:asciiTheme="minorHAnsi" w:eastAsia="SimSun" w:hAnsiTheme="minorHAnsi"/>
          <w:szCs w:val="22"/>
          <w:lang w:eastAsia="zh-CN"/>
        </w:rPr>
        <w:fldChar w:fldCharType="separate"/>
      </w:r>
      <w:r w:rsidR="004D1862" w:rsidRPr="004D1862">
        <w:rPr>
          <w:rFonts w:ascii="Calibri" w:hAnsi="Calibri" w:cs="Calibri"/>
          <w:noProof/>
          <w:sz w:val="20"/>
          <w:szCs w:val="24"/>
        </w:rPr>
        <w:t>[1]</w:t>
      </w:r>
      <w:r w:rsidR="004D1862" w:rsidRPr="004D1862">
        <w:rPr>
          <w:rFonts w:ascii="Calibri" w:hAnsi="Calibri" w:cs="Calibri"/>
          <w:noProof/>
          <w:sz w:val="20"/>
          <w:szCs w:val="24"/>
        </w:rPr>
        <w:tab/>
        <w:t>D. Venturi, D. Grupkovic, L. Sisti, M.G. Baschetti, Effect of humidity and nanocellulose content on Polyvinylamine-nanocellulose hybrid membranes for CO2capture, J. Memb. Sci. 548 (2018) 263–274.</w:t>
      </w:r>
    </w:p>
    <w:p w:rsidR="00917414" w:rsidRPr="00704BDF" w:rsidRDefault="004D1862" w:rsidP="004D186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4D1862">
        <w:rPr>
          <w:rFonts w:ascii="Calibri" w:hAnsi="Calibri" w:cs="Calibri"/>
          <w:noProof/>
          <w:sz w:val="20"/>
          <w:szCs w:val="24"/>
        </w:rPr>
        <w:t>[2]</w:t>
      </w:r>
      <w:r w:rsidRPr="004D1862">
        <w:rPr>
          <w:rFonts w:ascii="Calibri" w:hAnsi="Calibri" w:cs="Calibri"/>
          <w:noProof/>
          <w:sz w:val="20"/>
          <w:szCs w:val="24"/>
        </w:rPr>
        <w:tab/>
        <w:t xml:space="preserve">L.M. Robeson, The upper bound revisited, J. Memb. Sci. 320 (2008) 390–400. </w:t>
      </w:r>
      <w:r w:rsidR="008C10F4">
        <w:rPr>
          <w:rFonts w:asciiTheme="minorHAnsi" w:eastAsia="SimSun" w:hAnsiTheme="minorHAnsi"/>
          <w:szCs w:val="22"/>
          <w:lang w:eastAsia="zh-CN"/>
        </w:rPr>
        <w:fldChar w:fldCharType="end"/>
      </w:r>
    </w:p>
    <w:sectPr w:rsidR="00917414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83A" w:rsidRDefault="003F783A" w:rsidP="004F5E36">
      <w:r>
        <w:separator/>
      </w:r>
    </w:p>
  </w:endnote>
  <w:endnote w:type="continuationSeparator" w:id="0">
    <w:p w:rsidR="003F783A" w:rsidRDefault="003F783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83A" w:rsidRDefault="003F783A" w:rsidP="004F5E36">
      <w:r>
        <w:separator/>
      </w:r>
    </w:p>
  </w:footnote>
  <w:footnote w:type="continuationSeparator" w:id="0">
    <w:p w:rsidR="003F783A" w:rsidRDefault="003F783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7AAE"/>
    <w:multiLevelType w:val="hybridMultilevel"/>
    <w:tmpl w:val="042AFA5C"/>
    <w:lvl w:ilvl="0" w:tplc="D4EE374E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6CD2732A"/>
    <w:multiLevelType w:val="hybridMultilevel"/>
    <w:tmpl w:val="0F52099A"/>
    <w:lvl w:ilvl="0" w:tplc="52980EAA">
      <w:start w:val="1"/>
      <w:numFmt w:val="lowerLetter"/>
      <w:lvlText w:val="%1)"/>
      <w:lvlJc w:val="left"/>
      <w:pPr>
        <w:ind w:left="24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3" w:hanging="360"/>
      </w:pPr>
    </w:lvl>
    <w:lvl w:ilvl="2" w:tplc="0410001B" w:tentative="1">
      <w:start w:val="1"/>
      <w:numFmt w:val="lowerRoman"/>
      <w:lvlText w:val="%3."/>
      <w:lvlJc w:val="right"/>
      <w:pPr>
        <w:ind w:left="3893" w:hanging="180"/>
      </w:pPr>
    </w:lvl>
    <w:lvl w:ilvl="3" w:tplc="0410000F" w:tentative="1">
      <w:start w:val="1"/>
      <w:numFmt w:val="decimal"/>
      <w:lvlText w:val="%4."/>
      <w:lvlJc w:val="left"/>
      <w:pPr>
        <w:ind w:left="4613" w:hanging="360"/>
      </w:pPr>
    </w:lvl>
    <w:lvl w:ilvl="4" w:tplc="04100019" w:tentative="1">
      <w:start w:val="1"/>
      <w:numFmt w:val="lowerLetter"/>
      <w:lvlText w:val="%5."/>
      <w:lvlJc w:val="left"/>
      <w:pPr>
        <w:ind w:left="5333" w:hanging="360"/>
      </w:pPr>
    </w:lvl>
    <w:lvl w:ilvl="5" w:tplc="0410001B" w:tentative="1">
      <w:start w:val="1"/>
      <w:numFmt w:val="lowerRoman"/>
      <w:lvlText w:val="%6."/>
      <w:lvlJc w:val="right"/>
      <w:pPr>
        <w:ind w:left="6053" w:hanging="180"/>
      </w:pPr>
    </w:lvl>
    <w:lvl w:ilvl="6" w:tplc="0410000F" w:tentative="1">
      <w:start w:val="1"/>
      <w:numFmt w:val="decimal"/>
      <w:lvlText w:val="%7."/>
      <w:lvlJc w:val="left"/>
      <w:pPr>
        <w:ind w:left="6773" w:hanging="360"/>
      </w:pPr>
    </w:lvl>
    <w:lvl w:ilvl="7" w:tplc="04100019" w:tentative="1">
      <w:start w:val="1"/>
      <w:numFmt w:val="lowerLetter"/>
      <w:lvlText w:val="%8."/>
      <w:lvlJc w:val="left"/>
      <w:pPr>
        <w:ind w:left="7493" w:hanging="360"/>
      </w:pPr>
    </w:lvl>
    <w:lvl w:ilvl="8" w:tplc="0410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90D03"/>
    <w:rsid w:val="000919EB"/>
    <w:rsid w:val="000A03B2"/>
    <w:rsid w:val="000D34BE"/>
    <w:rsid w:val="000D4F86"/>
    <w:rsid w:val="000E36F1"/>
    <w:rsid w:val="000E3A73"/>
    <w:rsid w:val="000E414A"/>
    <w:rsid w:val="0013121F"/>
    <w:rsid w:val="00134DE4"/>
    <w:rsid w:val="00150E59"/>
    <w:rsid w:val="00165AAC"/>
    <w:rsid w:val="00184AD6"/>
    <w:rsid w:val="001A1498"/>
    <w:rsid w:val="001B65C1"/>
    <w:rsid w:val="001C684B"/>
    <w:rsid w:val="001D53FC"/>
    <w:rsid w:val="001E1CC2"/>
    <w:rsid w:val="001F2EC7"/>
    <w:rsid w:val="002065DB"/>
    <w:rsid w:val="0023256F"/>
    <w:rsid w:val="002447EF"/>
    <w:rsid w:val="00251550"/>
    <w:rsid w:val="0027221A"/>
    <w:rsid w:val="00275B61"/>
    <w:rsid w:val="002A32C0"/>
    <w:rsid w:val="002D1F12"/>
    <w:rsid w:val="002F7292"/>
    <w:rsid w:val="003009B7"/>
    <w:rsid w:val="0030469C"/>
    <w:rsid w:val="00310B31"/>
    <w:rsid w:val="00316E19"/>
    <w:rsid w:val="003723D4"/>
    <w:rsid w:val="00382D2C"/>
    <w:rsid w:val="003A7D1C"/>
    <w:rsid w:val="003C7325"/>
    <w:rsid w:val="003D16F7"/>
    <w:rsid w:val="003F783A"/>
    <w:rsid w:val="0046164A"/>
    <w:rsid w:val="00462DCD"/>
    <w:rsid w:val="004D1162"/>
    <w:rsid w:val="004D1862"/>
    <w:rsid w:val="004E4DD6"/>
    <w:rsid w:val="004F5E36"/>
    <w:rsid w:val="005005CC"/>
    <w:rsid w:val="005119A5"/>
    <w:rsid w:val="005278B7"/>
    <w:rsid w:val="005346C8"/>
    <w:rsid w:val="005471B5"/>
    <w:rsid w:val="0058055D"/>
    <w:rsid w:val="00586289"/>
    <w:rsid w:val="00594E9F"/>
    <w:rsid w:val="005B61E6"/>
    <w:rsid w:val="005C77E1"/>
    <w:rsid w:val="005D6A2F"/>
    <w:rsid w:val="005E1A82"/>
    <w:rsid w:val="005F0A28"/>
    <w:rsid w:val="005F0E5E"/>
    <w:rsid w:val="006129E7"/>
    <w:rsid w:val="00620DEE"/>
    <w:rsid w:val="00625639"/>
    <w:rsid w:val="0064184D"/>
    <w:rsid w:val="00660D08"/>
    <w:rsid w:val="00660E3E"/>
    <w:rsid w:val="00662E74"/>
    <w:rsid w:val="00666629"/>
    <w:rsid w:val="006A58D2"/>
    <w:rsid w:val="006B3F81"/>
    <w:rsid w:val="006C5579"/>
    <w:rsid w:val="006E7284"/>
    <w:rsid w:val="00704BDF"/>
    <w:rsid w:val="00736B13"/>
    <w:rsid w:val="007447F3"/>
    <w:rsid w:val="007661C8"/>
    <w:rsid w:val="007B6944"/>
    <w:rsid w:val="007C6AD7"/>
    <w:rsid w:val="007D52CD"/>
    <w:rsid w:val="007E6D26"/>
    <w:rsid w:val="007F3126"/>
    <w:rsid w:val="00813288"/>
    <w:rsid w:val="008168FC"/>
    <w:rsid w:val="008479A2"/>
    <w:rsid w:val="0087637F"/>
    <w:rsid w:val="00886CC2"/>
    <w:rsid w:val="008A1512"/>
    <w:rsid w:val="008C10F4"/>
    <w:rsid w:val="008D0BEB"/>
    <w:rsid w:val="008E566E"/>
    <w:rsid w:val="00901EB6"/>
    <w:rsid w:val="00917414"/>
    <w:rsid w:val="009450CE"/>
    <w:rsid w:val="0095164B"/>
    <w:rsid w:val="00996483"/>
    <w:rsid w:val="009E788A"/>
    <w:rsid w:val="00A1763D"/>
    <w:rsid w:val="00A17CEC"/>
    <w:rsid w:val="00A27EF0"/>
    <w:rsid w:val="00A76EFC"/>
    <w:rsid w:val="00A87CD9"/>
    <w:rsid w:val="00A9626B"/>
    <w:rsid w:val="00A97F29"/>
    <w:rsid w:val="00AB0964"/>
    <w:rsid w:val="00AB3823"/>
    <w:rsid w:val="00AE377D"/>
    <w:rsid w:val="00B008AB"/>
    <w:rsid w:val="00B61DBF"/>
    <w:rsid w:val="00B924F9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0D53"/>
    <w:rsid w:val="00C94434"/>
    <w:rsid w:val="00CA1C95"/>
    <w:rsid w:val="00CA5A9C"/>
    <w:rsid w:val="00CD4437"/>
    <w:rsid w:val="00CD5FE2"/>
    <w:rsid w:val="00D02B4C"/>
    <w:rsid w:val="00D03A25"/>
    <w:rsid w:val="00D84576"/>
    <w:rsid w:val="00D87EBD"/>
    <w:rsid w:val="00DE0019"/>
    <w:rsid w:val="00DE264A"/>
    <w:rsid w:val="00E041E7"/>
    <w:rsid w:val="00E23CA1"/>
    <w:rsid w:val="00E409A8"/>
    <w:rsid w:val="00E7209D"/>
    <w:rsid w:val="00EA50E1"/>
    <w:rsid w:val="00EB5EB8"/>
    <w:rsid w:val="00EC4D33"/>
    <w:rsid w:val="00EE0131"/>
    <w:rsid w:val="00F23555"/>
    <w:rsid w:val="00F30C64"/>
    <w:rsid w:val="00F63423"/>
    <w:rsid w:val="00FB730C"/>
    <w:rsid w:val="00FC2695"/>
    <w:rsid w:val="00FC3E03"/>
    <w:rsid w:val="00FC773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700A8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6129E7"/>
    <w:rPr>
      <w:vertAlign w:val="superscript"/>
    </w:rPr>
  </w:style>
  <w:style w:type="paragraph" w:styleId="Paragrafoelenco">
    <w:name w:val="List Paragraph"/>
    <w:basedOn w:val="Normale"/>
    <w:uiPriority w:val="34"/>
    <w:qFormat/>
    <w:locked/>
    <w:rsid w:val="005862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locked/>
    <w:rsid w:val="004D186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86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locked/>
    <w:rsid w:val="004D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marco.giacinti@unib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F4EA-3722-44C4-9EE5-C8F1DCA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2) INOFIB 461 rue de la Papeterie CS-10065 38402 Saint-Martin-d’Hères Cedex</vt:lpstr>
    </vt:vector>
  </TitlesOfParts>
  <Company>Dipartimento CMIC - Politecnico di Milano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Marco Giacinti Baschetti</cp:lastModifiedBy>
  <cp:revision>6</cp:revision>
  <cp:lastPrinted>2015-05-12T18:31:00Z</cp:lastPrinted>
  <dcterms:created xsi:type="dcterms:W3CDTF">2019-02-28T15:32:00Z</dcterms:created>
  <dcterms:modified xsi:type="dcterms:W3CDTF">2019-02-28T16:58:00Z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http://www.zotero.org/styles/journal-of-membrane-science</vt:lpwstr>
  </property>
  <property fmtid="{D5CDD505-2E9C-101B-9397-08002B2CF9AE}" pid="4" name="Mendeley Unique User Id_1">
    <vt:lpwstr>3a823f7c-34d1-3a92-bf74-dc617e65c442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http://www.zotero.org/styles/journal-of-membrane-science</vt:lpwstr>
  </property>
  <property fmtid="{D5CDD505-2E9C-101B-9397-08002B2CF9AE}" pid="18" name="Mendeley Recent Style Name 6_1">
    <vt:lpwstr>Journal of Membrane Science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