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77461" w:rsidP="00DC02A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852C4A">
        <w:rPr>
          <w:rFonts w:asciiTheme="minorHAnsi" w:eastAsia="MS PGothic" w:hAnsiTheme="minorHAnsi"/>
          <w:b/>
          <w:bCs/>
          <w:sz w:val="28"/>
          <w:szCs w:val="28"/>
          <w:lang w:val="en-US"/>
        </w:rPr>
        <w:t>cenario</w:t>
      </w:r>
      <w:r w:rsidR="00DC02A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</w:t>
      </w:r>
      <w:r w:rsidR="002C695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nalysis of carbon capture, utilization (particularly </w:t>
      </w:r>
      <w:r w:rsidR="007B768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producing </w:t>
      </w:r>
      <w:r w:rsidR="002C695E">
        <w:rPr>
          <w:rFonts w:asciiTheme="minorHAnsi" w:eastAsia="MS PGothic" w:hAnsiTheme="minorHAnsi"/>
          <w:b/>
          <w:bCs/>
          <w:sz w:val="28"/>
          <w:szCs w:val="28"/>
          <w:lang w:val="en-US"/>
        </w:rPr>
        <w:t>methane and methanol) and storage</w:t>
      </w:r>
      <w:r w:rsidR="007B768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(CCUS)</w:t>
      </w:r>
      <w:r w:rsidR="00E53F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783620">
        <w:rPr>
          <w:rFonts w:asciiTheme="minorHAnsi" w:eastAsia="MS PGothic" w:hAnsiTheme="minorHAnsi"/>
          <w:b/>
          <w:bCs/>
          <w:sz w:val="28"/>
          <w:szCs w:val="28"/>
          <w:lang w:val="en-US"/>
        </w:rPr>
        <w:t>system</w:t>
      </w:r>
      <w:r w:rsidR="007B768F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</w:p>
    <w:p w:rsidR="00DE0019" w:rsidRPr="00D979ED" w:rsidRDefault="00871987" w:rsidP="00704BDF">
      <w:pPr>
        <w:snapToGrid w:val="0"/>
        <w:spacing w:after="120"/>
        <w:jc w:val="center"/>
        <w:rPr>
          <w:rFonts w:eastAsia="SimSun"/>
          <w:color w:val="000000"/>
          <w:sz w:val="24"/>
          <w:szCs w:val="24"/>
          <w:lang w:val="it-IT" w:eastAsia="zh-CN"/>
        </w:rPr>
      </w:pPr>
      <w:r w:rsidRPr="00D979ED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Grazia Leonzio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David Bogle</w:t>
      </w:r>
      <w:r w:rsidR="00704BDF" w:rsidRPr="00D979ED">
        <w:rPr>
          <w:rFonts w:eastAsia="SimSun"/>
          <w:color w:val="000000"/>
          <w:sz w:val="24"/>
          <w:szCs w:val="24"/>
          <w:vertAlign w:val="superscript"/>
          <w:lang w:val="it-IT" w:eastAsia="zh-CN"/>
        </w:rPr>
        <w:t>2</w:t>
      </w:r>
      <w:r w:rsidR="00D979ED" w:rsidRPr="00D979ED">
        <w:rPr>
          <w:rFonts w:eastAsia="SimSun"/>
          <w:color w:val="000000"/>
          <w:sz w:val="24"/>
          <w:szCs w:val="24"/>
          <w:lang w:val="it-IT" w:eastAsia="zh-CN"/>
        </w:rPr>
        <w:t xml:space="preserve">, 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Edwin Zondervan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3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Pier Ugo Foscolo</w:t>
      </w:r>
      <w:r w:rsidR="00D979ED" w:rsidRPr="00D979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E0019" w:rsidRPr="00D979ED">
        <w:rPr>
          <w:rFonts w:eastAsia="SimSun"/>
          <w:color w:val="000000"/>
          <w:sz w:val="24"/>
          <w:szCs w:val="24"/>
          <w:lang w:val="it-IT" w:eastAsia="zh-CN"/>
        </w:rPr>
        <w:t xml:space="preserve"> </w:t>
      </w:r>
    </w:p>
    <w:p w:rsidR="00704BDF" w:rsidRPr="00871987" w:rsidRDefault="00704BDF" w:rsidP="00D979E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871987" w:rsidRPr="0087198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Industrial and Information Engineering and Economics, University of L’Aquila, </w:t>
      </w:r>
      <w:r w:rsidR="0087198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L’Aquila, Italy; </w:t>
      </w:r>
      <w:r w:rsid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D979ED" w:rsidRP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Centre for Process Systems Engineering, Department of Chemical Engineer</w:t>
      </w:r>
      <w:r w:rsid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ing, University College London, </w:t>
      </w:r>
      <w:r w:rsidR="00D979ED" w:rsidRP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London</w:t>
      </w:r>
      <w:r w:rsidR="00F749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D979ED" w:rsidRP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UK</w:t>
      </w:r>
      <w:r w:rsidR="00D979E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3</w:t>
      </w:r>
      <w:r w:rsidR="0087198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71987" w:rsidRPr="0087198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Laboratory of Process Systems Engineering, Department of Production Engineering, Universität Bremen, </w:t>
      </w:r>
      <w:r w:rsidR="00F749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Bremen, </w:t>
      </w:r>
      <w:r w:rsidR="00871987" w:rsidRPr="0087198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979ED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grazia.leonzio@graduate.univaq.it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B768F" w:rsidRDefault="00852C4A" w:rsidP="00B211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Exploring</w:t>
      </w:r>
      <w:r w:rsidR="007B768F">
        <w:rPr>
          <w:rFonts w:asciiTheme="minorHAnsi" w:hAnsiTheme="minorHAnsi"/>
        </w:rPr>
        <w:t xml:space="preserve"> new </w:t>
      </w:r>
      <w:r>
        <w:rPr>
          <w:rFonts w:asciiTheme="minorHAnsi" w:hAnsiTheme="minorHAnsi"/>
        </w:rPr>
        <w:t>proposed model for</w:t>
      </w:r>
      <w:r w:rsidR="007B768F">
        <w:rPr>
          <w:rFonts w:asciiTheme="minorHAnsi" w:hAnsiTheme="minorHAnsi"/>
        </w:rPr>
        <w:t xml:space="preserve"> the </w:t>
      </w:r>
      <w:r w:rsidR="00C43583" w:rsidRPr="00F76D61">
        <w:rPr>
          <w:rFonts w:asciiTheme="minorHAnsi" w:hAnsiTheme="minorHAnsi"/>
        </w:rPr>
        <w:t xml:space="preserve">carbon capture utilization </w:t>
      </w:r>
      <w:r w:rsidR="008944D0">
        <w:rPr>
          <w:rFonts w:asciiTheme="minorHAnsi" w:hAnsiTheme="minorHAnsi"/>
        </w:rPr>
        <w:t xml:space="preserve">and storage </w:t>
      </w:r>
      <w:r w:rsidR="00C43583" w:rsidRPr="00F76D61">
        <w:rPr>
          <w:rFonts w:asciiTheme="minorHAnsi" w:hAnsiTheme="minorHAnsi"/>
        </w:rPr>
        <w:t>supply chain.</w:t>
      </w:r>
    </w:p>
    <w:p w:rsidR="00704BDF" w:rsidRPr="00F76D61" w:rsidRDefault="00852C4A" w:rsidP="00B211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B768F">
        <w:rPr>
          <w:rFonts w:asciiTheme="minorHAnsi" w:hAnsiTheme="minorHAnsi"/>
        </w:rPr>
        <w:t xml:space="preserve">ptimal </w:t>
      </w:r>
      <w:r>
        <w:rPr>
          <w:rFonts w:asciiTheme="minorHAnsi" w:hAnsiTheme="minorHAnsi"/>
        </w:rPr>
        <w:t xml:space="preserve">layouts for carbon supply chains </w:t>
      </w:r>
      <w:r w:rsidR="007B768F">
        <w:rPr>
          <w:rFonts w:asciiTheme="minorHAnsi" w:hAnsiTheme="minorHAnsi"/>
        </w:rPr>
        <w:t>in Germany and Italy</w:t>
      </w:r>
      <w:r w:rsidR="00C43583" w:rsidRPr="00F76D61">
        <w:rPr>
          <w:rFonts w:asciiTheme="minorHAnsi" w:hAnsiTheme="minorHAnsi"/>
        </w:rPr>
        <w:t xml:space="preserve"> </w:t>
      </w:r>
    </w:p>
    <w:p w:rsidR="00704BDF" w:rsidRPr="00EC66CC" w:rsidRDefault="00852C4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86CB8">
        <w:rPr>
          <w:rFonts w:asciiTheme="minorHAnsi" w:hAnsiTheme="minorHAnsi"/>
        </w:rPr>
        <w:t>roduct revenue</w:t>
      </w:r>
      <w:r w:rsidR="00982F83">
        <w:rPr>
          <w:rFonts w:asciiTheme="minorHAnsi" w:hAnsiTheme="minorHAnsi"/>
        </w:rPr>
        <w:t>s</w:t>
      </w:r>
      <w:r w:rsidR="00F74911">
        <w:rPr>
          <w:rFonts w:asciiTheme="minorHAnsi" w:hAnsiTheme="minorHAnsi"/>
        </w:rPr>
        <w:t xml:space="preserve"> and incentives</w:t>
      </w:r>
      <w:r>
        <w:rPr>
          <w:rFonts w:asciiTheme="minorHAnsi" w:hAnsiTheme="minorHAnsi"/>
        </w:rPr>
        <w:t xml:space="preserve"> strongly influence the supply chain design</w:t>
      </w:r>
      <w:r w:rsidR="00F74911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5E507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900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dioxide economy </w:t>
      </w:r>
      <w:r w:rsidR="00CE4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proposed, </w:t>
      </w:r>
      <w:r w:rsidR="00B900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characterized by the use of renewable energies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the basis for a </w:t>
      </w:r>
      <w:r w:rsidR="00B900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circular economy.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Atmospheric c</w:t>
      </w:r>
      <w:r w:rsidR="00113C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arbon dioxide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 can be</w:t>
      </w:r>
      <w:r w:rsidR="00113C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achieved by storage or by utilization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113C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production of methanol</w:t>
      </w:r>
      <w:r w:rsidR="007B76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methane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range of other products </w:t>
      </w:r>
      <w:r w:rsidR="00113CE1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76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5753">
        <w:rPr>
          <w:rFonts w:asciiTheme="minorHAnsi" w:eastAsia="MS PGothic" w:hAnsiTheme="minorHAnsi"/>
          <w:color w:val="000000"/>
          <w:sz w:val="22"/>
          <w:szCs w:val="22"/>
          <w:lang w:val="en-US"/>
        </w:rPr>
        <w:t>Leonzio et al. [2, 3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developed a CCUS supply chain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including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options of storage and utilization.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 has been developed for Germany including 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methanol, concrete, wheat, lignin, polyurethane, calcium carbonate, urea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also for Italy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 methane is produced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paper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evaluated 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tax, economic incentives and revenue on </w:t>
      </w:r>
      <w:r w:rsidR="00E57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04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 </w:t>
      </w:r>
      <w:r w:rsidR="006C6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output</w:t>
      </w:r>
      <w:r w:rsidR="00ED1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supply chain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in Germany and Italy.</w:t>
      </w:r>
      <w:r w:rsidR="007464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5E507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8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mathematical model </w:t>
      </w:r>
      <w:r w:rsidR="00CE4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7B76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used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</w:t>
      </w:r>
      <w:r w:rsidR="0088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optimal volumes of </w:t>
      </w:r>
      <w:r w:rsidR="009A1E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captured CO</w:t>
      </w:r>
      <w:r w:rsidR="009A1E1A" w:rsidRPr="00CE44A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A1E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products</w:t>
      </w:r>
      <w:r w:rsidR="0088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5753">
        <w:rPr>
          <w:rFonts w:asciiTheme="minorHAnsi" w:eastAsia="MS PGothic" w:hAnsiTheme="minorHAnsi"/>
          <w:color w:val="000000"/>
          <w:sz w:val="22"/>
          <w:szCs w:val="22"/>
          <w:lang w:val="en-US"/>
        </w:rPr>
        <w:t>[2, 3</w:t>
      </w:r>
      <w:r w:rsidR="0088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42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9A1E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9A1E1A" w:rsidRPr="00CE44A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42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sources they should be taken from</w:t>
      </w:r>
      <w:r w:rsidR="0088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bookmarkStart w:id="0" w:name="_Hlk1401483"/>
      <w:r w:rsidR="00E57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objective function is the sum of total costs less the revenues, carb</w:t>
      </w:r>
      <w:r w:rsidR="0031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tax and economic incentives. </w:t>
      </w:r>
      <w:bookmarkEnd w:id="0"/>
      <w:r w:rsidR="00314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mixed integer linear programming models are solved in AIMMS software.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C008F" w:rsidRPr="00711454" w:rsidRDefault="00C45791" w:rsidP="007546B0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local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sensitivity analysis </w:t>
      </w:r>
      <w:r w:rsidR="007B768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carried out for the CCUS supply chain in Italy considering three</w:t>
      </w:r>
      <w:r w:rsidR="002D0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levels </w:t>
      </w:r>
      <w:r w:rsidR="002D09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tax (20 euro/ton, 40 euro/ton and 80 euro/ton) and economic incentives (</w:t>
      </w:r>
      <w:r w:rsidRPr="00C45791">
        <w:rPr>
          <w:rFonts w:asciiTheme="minorHAnsi" w:eastAsia="MS PGothic" w:hAnsiTheme="minorHAnsi"/>
          <w:color w:val="000000"/>
          <w:sz w:val="22"/>
          <w:szCs w:val="22"/>
          <w:lang w:val="en-US"/>
        </w:rPr>
        <w:t>240 euro/MWh, 270 euro/MWh and 300 euro/MWh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56E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minimum target for CO</w:t>
      </w:r>
      <w:r w:rsidR="00F65B85" w:rsidRPr="00F65B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is 77 Mton/year; CO2 that is not captured is released into the atmosphere. </w:t>
      </w:r>
      <w:r w:rsidR="006314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7B76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(Table 1) </w:t>
      </w:r>
      <w:r w:rsidR="006314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 that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</w:t>
      </w:r>
      <w:r w:rsidR="00592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locations</w:t>
      </w:r>
      <w:r w:rsidR="00ED11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1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change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2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tax rates</w:t>
      </w:r>
      <w:r w:rsidR="000010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economic incentives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the </w:t>
      </w:r>
      <w:r w:rsidR="00304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 </w:t>
      </w:r>
      <w:r w:rsidR="002D0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methane production are </w:t>
      </w:r>
      <w:r w:rsidR="0081128E">
        <w:rPr>
          <w:rFonts w:asciiTheme="minorHAnsi" w:eastAsia="MS PGothic" w:hAnsiTheme="minorHAnsi"/>
          <w:color w:val="000000"/>
          <w:sz w:val="22"/>
          <w:szCs w:val="22"/>
          <w:lang w:val="en-US"/>
        </w:rPr>
        <w:t>affected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: a</w:t>
      </w:r>
      <w:r w:rsidR="002D0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low, average and high level </w:t>
      </w:r>
      <w:r w:rsidR="006C6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these parameters 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35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values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 12.8 billion euro/year, -2.43 billion euro/year and -70.7 billion euro/year, while methane production is 22.5 Mton/year, 22.5 Mton/year and 101.8 Mton/year. </w:t>
      </w:r>
      <w:r w:rsidR="00C42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2D0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value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6D6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of tax and economic incentives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op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imal profit 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possible CO</w:t>
      </w:r>
      <w:r w:rsidR="009A754F" w:rsidRPr="003600C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captured and sent to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A75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utilization section.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for c</w:t>
      </w:r>
      <w:r w:rsidR="002D096B">
        <w:rPr>
          <w:rFonts w:asciiTheme="minorHAnsi" w:eastAsia="MS PGothic" w:hAnsiTheme="minorHAnsi"/>
          <w:color w:val="000000"/>
          <w:sz w:val="22"/>
          <w:szCs w:val="22"/>
        </w:rPr>
        <w:t>ha</w:t>
      </w:r>
      <w:r w:rsidR="00DC02AD">
        <w:rPr>
          <w:rFonts w:asciiTheme="minorHAnsi" w:eastAsia="MS PGothic" w:hAnsiTheme="minorHAnsi"/>
          <w:color w:val="000000"/>
          <w:sz w:val="22"/>
          <w:szCs w:val="22"/>
        </w:rPr>
        <w:t xml:space="preserve">nging only carbon tax </w:t>
      </w:r>
      <w:r w:rsidR="0081128E" w:rsidRPr="00A56E68">
        <w:rPr>
          <w:rFonts w:asciiTheme="minorHAnsi" w:eastAsia="MS PGothic" w:hAnsiTheme="minorHAnsi"/>
          <w:color w:val="000000"/>
          <w:sz w:val="22"/>
          <w:szCs w:val="22"/>
        </w:rPr>
        <w:t xml:space="preserve">show that only the total </w:t>
      </w:r>
      <w:r w:rsidR="00304B0C">
        <w:rPr>
          <w:rFonts w:asciiTheme="minorHAnsi" w:eastAsia="MS PGothic" w:hAnsiTheme="minorHAnsi"/>
          <w:color w:val="000000"/>
          <w:sz w:val="22"/>
          <w:szCs w:val="22"/>
        </w:rPr>
        <w:t>value</w:t>
      </w:r>
      <w:r w:rsidR="00F65B85">
        <w:rPr>
          <w:rFonts w:asciiTheme="minorHAnsi" w:eastAsia="MS PGothic" w:hAnsiTheme="minorHAnsi"/>
          <w:color w:val="000000"/>
          <w:sz w:val="22"/>
          <w:szCs w:val="22"/>
        </w:rPr>
        <w:t xml:space="preserve"> is affected</w:t>
      </w:r>
      <w:r w:rsidR="0081128E" w:rsidRPr="00A56E68">
        <w:rPr>
          <w:rFonts w:asciiTheme="minorHAnsi" w:eastAsia="MS PGothic" w:hAnsiTheme="minorHAnsi"/>
          <w:color w:val="000000"/>
          <w:sz w:val="22"/>
          <w:szCs w:val="22"/>
        </w:rPr>
        <w:t xml:space="preserve">, while </w:t>
      </w:r>
      <w:r w:rsidR="008944D0">
        <w:rPr>
          <w:rFonts w:asciiTheme="minorHAnsi" w:eastAsia="MS PGothic" w:hAnsiTheme="minorHAnsi"/>
          <w:color w:val="000000"/>
          <w:sz w:val="22"/>
          <w:szCs w:val="22"/>
        </w:rPr>
        <w:t xml:space="preserve">system </w:t>
      </w:r>
      <w:r w:rsidR="00F65B85">
        <w:rPr>
          <w:rFonts w:asciiTheme="minorHAnsi" w:eastAsia="MS PGothic" w:hAnsiTheme="minorHAnsi"/>
          <w:color w:val="000000"/>
          <w:sz w:val="22"/>
          <w:szCs w:val="22"/>
        </w:rPr>
        <w:t>topology</w:t>
      </w:r>
      <w:r w:rsidR="0081128E" w:rsidRPr="00A56E6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3646">
        <w:rPr>
          <w:rFonts w:asciiTheme="minorHAnsi" w:eastAsia="MS PGothic" w:hAnsiTheme="minorHAnsi"/>
          <w:color w:val="000000"/>
          <w:sz w:val="22"/>
          <w:szCs w:val="22"/>
        </w:rPr>
        <w:t>(CO</w:t>
      </w:r>
      <w:r w:rsidR="000C3646" w:rsidRPr="000C364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0C364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2A4D">
        <w:rPr>
          <w:rFonts w:asciiTheme="minorHAnsi" w:eastAsia="MS PGothic" w:hAnsiTheme="minorHAnsi"/>
          <w:color w:val="000000"/>
          <w:sz w:val="22"/>
          <w:szCs w:val="22"/>
        </w:rPr>
        <w:t>source locations</w:t>
      </w:r>
      <w:r w:rsidR="000C3646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81128E" w:rsidRPr="00A56E68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81128E">
        <w:rPr>
          <w:rFonts w:asciiTheme="minorHAnsi" w:eastAsia="MS PGothic" w:hAnsiTheme="minorHAnsi"/>
          <w:color w:val="000000"/>
          <w:sz w:val="22"/>
          <w:szCs w:val="22"/>
        </w:rPr>
        <w:t>methane production are constant.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51"/>
        <w:gridCol w:w="509"/>
        <w:gridCol w:w="554"/>
        <w:gridCol w:w="613"/>
        <w:gridCol w:w="872"/>
        <w:gridCol w:w="987"/>
        <w:gridCol w:w="855"/>
        <w:gridCol w:w="1120"/>
        <w:gridCol w:w="884"/>
      </w:tblGrid>
      <w:tr w:rsidR="0081128E" w:rsidRPr="00407966" w:rsidTr="00D84567">
        <w:trPr>
          <w:trHeight w:val="300"/>
        </w:trPr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235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To utilization</w:t>
            </w:r>
            <w:r w:rsidR="00F76D61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 (methane production)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To storage</w:t>
            </w:r>
          </w:p>
        </w:tc>
      </w:tr>
      <w:tr w:rsidR="00407966" w:rsidRPr="00407966" w:rsidTr="00D84567">
        <w:trPr>
          <w:trHeight w:val="450"/>
        </w:trPr>
        <w:tc>
          <w:tcPr>
            <w:tcW w:w="1023" w:type="pct"/>
            <w:shd w:val="clear" w:color="auto" w:fill="auto"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Carbon tax/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br/>
              <w:t>Economic incentives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20785C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Low values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Average values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High value</w:t>
            </w:r>
            <w:r w:rsidR="0020785C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Low value</w:t>
            </w:r>
            <w:r w:rsidR="0020785C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Average value</w:t>
            </w:r>
            <w:r w:rsidR="0020785C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High value</w:t>
            </w:r>
            <w:r w:rsidR="0020785C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</w:t>
            </w:r>
          </w:p>
        </w:tc>
      </w:tr>
      <w:tr w:rsidR="008944D0" w:rsidRPr="00407966" w:rsidTr="00D84567">
        <w:trPr>
          <w:trHeight w:val="300"/>
        </w:trPr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vertAlign w:val="subscript"/>
                <w:lang w:val="it-IT" w:eastAsia="it-IT"/>
              </w:rPr>
              <w:t>2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 source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Puglia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Sicily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Sicily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Veneto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EB544B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Sardinia</w:t>
            </w:r>
          </w:p>
        </w:tc>
        <w:tc>
          <w:tcPr>
            <w:tcW w:w="5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All regions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Lombardy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Lombardy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</w:tr>
      <w:tr w:rsidR="008944D0" w:rsidRPr="00407966" w:rsidTr="00D84567">
        <w:trPr>
          <w:trHeight w:val="450"/>
        </w:trPr>
        <w:tc>
          <w:tcPr>
            <w:tcW w:w="1023" w:type="pct"/>
            <w:shd w:val="clear" w:color="auto" w:fill="auto"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Capture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br/>
              <w:t xml:space="preserve"> technology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PSA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</w:tr>
      <w:tr w:rsidR="008944D0" w:rsidRPr="00407966" w:rsidTr="00D84567">
        <w:trPr>
          <w:trHeight w:val="300"/>
        </w:trPr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</w:t>
            </w:r>
            <w:r w:rsidRPr="003600CC">
              <w:rPr>
                <w:rFonts w:ascii="Calibri" w:hAnsi="Calibri"/>
                <w:color w:val="000000"/>
                <w:sz w:val="16"/>
                <w:szCs w:val="16"/>
                <w:vertAlign w:val="subscript"/>
                <w:lang w:val="it-IT" w:eastAsia="it-IT"/>
              </w:rPr>
              <w:t>2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="000010AD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captured</w:t>
            </w: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 (Mton/year)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61.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0.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024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37.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20.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4.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5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279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15.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07966" w:rsidRPr="00407966" w:rsidRDefault="00D84567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15.</w:t>
            </w:r>
            <w:r w:rsidR="00407966" w:rsidRPr="00407966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07966" w:rsidRPr="00407966" w:rsidRDefault="00407966" w:rsidP="00407966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</w:tr>
    </w:tbl>
    <w:p w:rsidR="00407966" w:rsidRDefault="00407966" w:rsidP="007546B0">
      <w:pPr>
        <w:snapToGrid w:val="0"/>
        <w:spacing w:after="24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Results of sensitivity analysis for CCUS supply chain in Italy with Malossa San Bartolomeo as storage site</w:t>
      </w:r>
    </w:p>
    <w:p w:rsidR="007546B0" w:rsidRDefault="00852C4A" w:rsidP="007546B0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 results</w:t>
      </w:r>
      <w:r w:rsidR="000C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found for the CCUS supply chain producing only methanol in Germany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able 2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minimum target for</w:t>
      </w:r>
      <w:r w:rsidR="000066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00662C" w:rsidRPr="00C42A4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066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is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160 Mton/year and </w:t>
      </w:r>
      <w:r w:rsidR="006C6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6C62E4" w:rsidRPr="000C364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C6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captured is released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0066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atmosphere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total value is </w:t>
      </w:r>
      <w:r w:rsidR="00CE2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16.3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billion euro/year, -</w:t>
      </w:r>
      <w:r w:rsidR="00CE2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30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billion euro/year and -</w:t>
      </w:r>
      <w:r w:rsidR="00CE2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0.197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trillion euro/year respectively for the low,</w:t>
      </w:r>
      <w:r w:rsidR="006C6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average and high level of the 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parameters, while methanol production is respectively 203 Mton/year, 968 Mton/year and 968 Mton/year. </w:t>
      </w:r>
      <w:r w:rsidR="000C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sensitivity analysis </w:t>
      </w:r>
      <w:r w:rsidR="00C42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again</w:t>
      </w:r>
      <w:r w:rsidR="0089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0C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esults show that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2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CF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changing the price of methanol the total value is</w:t>
      </w:r>
      <w:r w:rsidR="000C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changed</w:t>
      </w:r>
      <w:r w:rsidR="00B86C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0066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topology</w:t>
      </w:r>
      <w:r w:rsidR="000C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tbl>
      <w:tblPr>
        <w:tblW w:w="886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08"/>
        <w:gridCol w:w="1331"/>
        <w:gridCol w:w="1042"/>
        <w:gridCol w:w="1119"/>
        <w:gridCol w:w="1266"/>
        <w:gridCol w:w="1055"/>
      </w:tblGrid>
      <w:tr w:rsidR="0081128E" w:rsidRPr="0081128E" w:rsidTr="00D84567">
        <w:trPr>
          <w:trHeight w:val="3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4"/>
                <w:lang w:val="en-US" w:eastAsia="it-IT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To utilization</w:t>
            </w:r>
            <w:r w:rsidR="00F76D61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 xml:space="preserve"> (methanol production)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To storage</w:t>
            </w:r>
          </w:p>
        </w:tc>
      </w:tr>
      <w:tr w:rsidR="0081128E" w:rsidRPr="0081128E" w:rsidTr="00D84567">
        <w:trPr>
          <w:trHeight w:val="465"/>
        </w:trPr>
        <w:tc>
          <w:tcPr>
            <w:tcW w:w="2040" w:type="dxa"/>
            <w:shd w:val="clear" w:color="auto" w:fill="auto"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Carbon tax/</w:t>
            </w: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br/>
              <w:t>Economic incentives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Low values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Average values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High values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en-US" w:eastAsia="it-IT"/>
              </w:rPr>
              <w:t>L</w:t>
            </w: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ow values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Average value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High values</w:t>
            </w:r>
          </w:p>
        </w:tc>
      </w:tr>
      <w:tr w:rsidR="0081128E" w:rsidRPr="0081128E" w:rsidTr="00D84567">
        <w:trPr>
          <w:trHeight w:val="3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CO</w:t>
            </w:r>
            <w:r w:rsidRPr="003600CC">
              <w:rPr>
                <w:rFonts w:asciiTheme="minorHAnsi" w:hAnsiTheme="minorHAnsi"/>
                <w:color w:val="000000"/>
                <w:sz w:val="16"/>
                <w:szCs w:val="16"/>
                <w:vertAlign w:val="subscript"/>
                <w:lang w:val="it-IT" w:eastAsia="it-IT"/>
              </w:rPr>
              <w:t>2</w:t>
            </w: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 xml:space="preserve"> source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CF5BAA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Dusseldorf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All regions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All regions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CF5BAA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Magdeburg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sz w:val="20"/>
                <w:lang w:val="it-IT" w:eastAsia="it-IT"/>
              </w:rPr>
            </w:pPr>
            <w:r>
              <w:rPr>
                <w:rFonts w:asciiTheme="minorHAnsi" w:hAnsiTheme="minorHAnsi"/>
                <w:sz w:val="20"/>
                <w:lang w:val="it-IT" w:eastAsia="it-IT"/>
              </w:rPr>
              <w:t>-</w:t>
            </w:r>
          </w:p>
        </w:tc>
      </w:tr>
      <w:tr w:rsidR="0081128E" w:rsidRPr="0081128E" w:rsidTr="00D84567">
        <w:trPr>
          <w:trHeight w:val="3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Capture technology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MEA</w:t>
            </w:r>
            <w:r w:rsidR="003600CC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B86CB8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MEA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sz w:val="20"/>
                <w:lang w:val="it-IT" w:eastAsia="it-IT"/>
              </w:rPr>
            </w:pPr>
            <w:r>
              <w:rPr>
                <w:rFonts w:asciiTheme="minorHAnsi" w:hAnsiTheme="minorHAnsi"/>
                <w:sz w:val="20"/>
                <w:lang w:val="it-IT" w:eastAsia="it-IT"/>
              </w:rPr>
              <w:t>-</w:t>
            </w:r>
          </w:p>
        </w:tc>
      </w:tr>
      <w:tr w:rsidR="0081128E" w:rsidRPr="0081128E" w:rsidTr="00D84567">
        <w:trPr>
          <w:trHeight w:val="3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CO</w:t>
            </w:r>
            <w:r w:rsidRPr="003600CC">
              <w:rPr>
                <w:rFonts w:asciiTheme="minorHAnsi" w:hAnsiTheme="minorHAnsi"/>
                <w:color w:val="000000"/>
                <w:sz w:val="16"/>
                <w:szCs w:val="16"/>
                <w:vertAlign w:val="subscript"/>
                <w:lang w:val="it-IT" w:eastAsia="it-IT"/>
              </w:rPr>
              <w:t>2</w:t>
            </w: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="0007071A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captured</w:t>
            </w: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 xml:space="preserve"> (Mton/year)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140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665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81128E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665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20.</w:t>
            </w:r>
            <w:r w:rsidR="0081128E" w:rsidRPr="0081128E"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81128E" w:rsidRPr="0081128E" w:rsidRDefault="00D84567" w:rsidP="0081128E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/>
                <w:sz w:val="20"/>
                <w:lang w:val="it-IT" w:eastAsia="it-IT"/>
              </w:rPr>
            </w:pPr>
            <w:r>
              <w:rPr>
                <w:rFonts w:asciiTheme="minorHAnsi" w:hAnsiTheme="minorHAnsi"/>
                <w:sz w:val="20"/>
                <w:lang w:val="it-IT" w:eastAsia="it-IT"/>
              </w:rPr>
              <w:t>-</w:t>
            </w:r>
          </w:p>
        </w:tc>
      </w:tr>
    </w:tbl>
    <w:p w:rsidR="00D84567" w:rsidRDefault="000C008F" w:rsidP="007546B0">
      <w:pPr>
        <w:snapToGrid w:val="0"/>
        <w:spacing w:after="24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 2</w:t>
      </w:r>
      <w:r w:rsidR="00D84567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D84567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84567"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Results of sensitivity analysis for CCUS supply chain producing only methanol in Germany</w:t>
      </w:r>
    </w:p>
    <w:p w:rsidR="000C008F" w:rsidRPr="0028793D" w:rsidRDefault="000C008F" w:rsidP="004475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CCUS supply chain producing different products in Germany 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D14A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D14A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 found carbon tax and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revenue</w:t>
      </w:r>
      <w:r w:rsidR="00711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14A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lead to a full </w:t>
      </w:r>
      <w:r w:rsidR="005D4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possible </w:t>
      </w:r>
      <w:bookmarkStart w:id="1" w:name="_GoBack"/>
      <w:bookmarkEnd w:id="1"/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capture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447593" w:rsidRPr="003600C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447593" w:rsidRPr="003600C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sent to utilization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150B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i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ncreas</w:t>
      </w:r>
      <w:r w:rsidR="000150B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tax </w:t>
      </w:r>
      <w:r w:rsidR="001468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total </w:t>
      </w:r>
      <w:r w:rsidR="0089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increased.</w:t>
      </w:r>
      <w:r w:rsidR="001468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Changing 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="005D4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852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les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prices of products 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1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market value</w:t>
      </w:r>
      <w:r w:rsidR="00070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18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causes </w:t>
      </w:r>
      <w:r w:rsidR="0007071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</w:t>
      </w:r>
      <w:r w:rsidR="002A6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070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values for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lignin and wheat production</w:t>
      </w:r>
      <w:r w:rsidR="00070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</w:t>
      </w:r>
      <w:r w:rsidR="000C3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57CEB" w:rsidRPr="0028793D" w:rsidRDefault="000C3646" w:rsidP="0028793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cases studied </w:t>
      </w:r>
      <w:r w:rsidR="007546B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tax affect</w:t>
      </w:r>
      <w:r w:rsidR="00A7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only the total </w:t>
      </w:r>
      <w:r w:rsidR="00232AA4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changing 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 incentives </w:t>
      </w:r>
      <w:r w:rsidR="00B86C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product revenues </w:t>
      </w:r>
      <w:r w:rsidR="00A666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</w:t>
      </w:r>
      <w:r w:rsidR="0044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change</w:t>
      </w:r>
      <w:r w:rsidR="002A6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666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topology</w:t>
      </w:r>
      <w:r w:rsidR="002879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optimization </w:t>
      </w:r>
      <w:r w:rsidR="000150B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useful decision support tool for CCUS investment decision</w:t>
      </w:r>
      <w:r w:rsidR="000150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1776E4" w:rsidRDefault="00704BDF" w:rsidP="001776E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1776E4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525AC1" w:rsidRPr="00525AC1" w:rsidRDefault="00113CE1" w:rsidP="00525AC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525AC1">
        <w:rPr>
          <w:rFonts w:asciiTheme="minorHAnsi" w:eastAsia="SimSun" w:hAnsiTheme="minorHAnsi"/>
          <w:lang w:eastAsia="zh-CN"/>
        </w:rPr>
        <w:t>[1] J. Patricioa, A. Angelis-Dimakisb, A. Castillo-Castillo, Y. Kalmykovaa, L. Rosadoa, Region prioritization for the development of carbon capture and utilization technologies, Journal of CO2 Utilization 17 (2017) 50–59</w:t>
      </w:r>
      <w:r w:rsidR="001776E4" w:rsidRPr="00525AC1">
        <w:rPr>
          <w:rFonts w:asciiTheme="minorHAnsi" w:eastAsia="SimSun" w:hAnsiTheme="minorHAnsi"/>
          <w:lang w:eastAsia="zh-CN"/>
        </w:rPr>
        <w:t xml:space="preserve">. </w:t>
      </w:r>
      <w:r w:rsidR="00C45791">
        <w:rPr>
          <w:rFonts w:asciiTheme="minorHAnsi" w:eastAsia="SimSun" w:hAnsiTheme="minorHAnsi"/>
          <w:lang w:eastAsia="zh-CN"/>
        </w:rPr>
        <w:t>[2</w:t>
      </w:r>
      <w:r w:rsidR="00525AC1" w:rsidRPr="00525AC1">
        <w:rPr>
          <w:rFonts w:asciiTheme="minorHAnsi" w:eastAsia="SimSun" w:hAnsiTheme="minorHAnsi"/>
          <w:lang w:eastAsia="zh-CN"/>
        </w:rPr>
        <w:t xml:space="preserve">] G. </w:t>
      </w:r>
      <w:r w:rsidR="00525AC1" w:rsidRPr="00525AC1">
        <w:rPr>
          <w:rFonts w:asciiTheme="minorHAnsi" w:eastAsia="SimSun" w:hAnsiTheme="minorHAnsi"/>
          <w:lang w:val="en-GB" w:eastAsia="zh-CN"/>
        </w:rPr>
        <w:t xml:space="preserve">Leonzio, P.U. Foscolo, E. Zondervan, </w:t>
      </w:r>
      <w:r w:rsidR="00232AA4" w:rsidRPr="00232AA4">
        <w:rPr>
          <w:rFonts w:asciiTheme="minorHAnsi" w:eastAsia="SimSun" w:hAnsiTheme="minorHAnsi"/>
          <w:lang w:val="en-GB" w:eastAsia="zh-CN"/>
        </w:rPr>
        <w:t>An outlook towards 2030: optimization and design of a CCUS supply chain in Germany</w:t>
      </w:r>
      <w:r w:rsidR="00232AA4">
        <w:rPr>
          <w:rFonts w:asciiTheme="minorHAnsi" w:eastAsia="SimSun" w:hAnsiTheme="minorHAnsi"/>
          <w:lang w:val="en-GB" w:eastAsia="zh-CN"/>
        </w:rPr>
        <w:t xml:space="preserve">. </w:t>
      </w:r>
      <w:r w:rsidR="00086FAD">
        <w:rPr>
          <w:rFonts w:asciiTheme="minorHAnsi" w:eastAsia="SimSun" w:hAnsiTheme="minorHAnsi"/>
          <w:lang w:val="en-GB" w:eastAsia="zh-CN"/>
        </w:rPr>
        <w:t>CCE</w:t>
      </w:r>
      <w:r w:rsidR="0059216E">
        <w:rPr>
          <w:rFonts w:asciiTheme="minorHAnsi" w:eastAsia="SimSun" w:hAnsiTheme="minorHAnsi"/>
          <w:lang w:val="en-GB" w:eastAsia="zh-CN"/>
        </w:rPr>
        <w:t xml:space="preserve"> (u</w:t>
      </w:r>
      <w:r w:rsidR="00525AC1" w:rsidRPr="00525AC1">
        <w:rPr>
          <w:rFonts w:asciiTheme="minorHAnsi" w:eastAsia="SimSun" w:hAnsiTheme="minorHAnsi"/>
          <w:lang w:val="en-GB" w:eastAsia="zh-CN"/>
        </w:rPr>
        <w:t>nder review</w:t>
      </w:r>
      <w:r w:rsidR="0059216E">
        <w:rPr>
          <w:rFonts w:asciiTheme="minorHAnsi" w:eastAsia="SimSun" w:hAnsiTheme="minorHAnsi"/>
          <w:lang w:val="en-GB" w:eastAsia="zh-CN"/>
        </w:rPr>
        <w:t>)</w:t>
      </w:r>
      <w:r w:rsidR="00E57CEB">
        <w:rPr>
          <w:rFonts w:asciiTheme="minorHAnsi" w:eastAsia="SimSun" w:hAnsiTheme="minorHAnsi"/>
          <w:lang w:val="en-GB" w:eastAsia="zh-CN"/>
        </w:rPr>
        <w:t xml:space="preserve"> </w:t>
      </w:r>
      <w:r w:rsidR="00525AC1" w:rsidRPr="00525AC1">
        <w:rPr>
          <w:rFonts w:asciiTheme="minorHAnsi" w:eastAsia="SimSun" w:hAnsiTheme="minorHAnsi"/>
          <w:lang w:eastAsia="zh-CN"/>
        </w:rPr>
        <w:t>[</w:t>
      </w:r>
      <w:r w:rsidR="00C45791">
        <w:rPr>
          <w:rFonts w:asciiTheme="minorHAnsi" w:eastAsia="SimSun" w:hAnsiTheme="minorHAnsi"/>
          <w:lang w:eastAsia="zh-CN"/>
        </w:rPr>
        <w:t>3</w:t>
      </w:r>
      <w:r w:rsidR="00525AC1" w:rsidRPr="00525AC1">
        <w:rPr>
          <w:rFonts w:asciiTheme="minorHAnsi" w:eastAsia="SimSun" w:hAnsiTheme="minorHAnsi"/>
          <w:lang w:eastAsia="zh-CN"/>
        </w:rPr>
        <w:t>] G. Leonzio, P.U. Foscolo, E. Zondervan, Under what conditions CCUS supply chain is feasible? The case of Italy</w:t>
      </w:r>
      <w:r w:rsidR="00086FAD">
        <w:rPr>
          <w:rFonts w:asciiTheme="minorHAnsi" w:eastAsia="SimSun" w:hAnsiTheme="minorHAnsi"/>
          <w:lang w:eastAsia="zh-CN"/>
        </w:rPr>
        <w:t>, C.E.R.D.,</w:t>
      </w:r>
      <w:r w:rsidR="00232AA4">
        <w:rPr>
          <w:rFonts w:asciiTheme="minorHAnsi" w:eastAsia="SimSun" w:hAnsiTheme="minorHAnsi"/>
          <w:lang w:eastAsia="zh-CN"/>
        </w:rPr>
        <w:t xml:space="preserve"> Under review.</w:t>
      </w:r>
    </w:p>
    <w:sectPr w:rsidR="00525AC1" w:rsidRPr="00525AC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43" w:rsidRDefault="001E3843" w:rsidP="004F5E36">
      <w:r>
        <w:separator/>
      </w:r>
    </w:p>
  </w:endnote>
  <w:endnote w:type="continuationSeparator" w:id="0">
    <w:p w:rsidR="001E3843" w:rsidRDefault="001E384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43" w:rsidRDefault="001E3843" w:rsidP="004F5E36">
      <w:r>
        <w:separator/>
      </w:r>
    </w:p>
  </w:footnote>
  <w:footnote w:type="continuationSeparator" w:id="0">
    <w:p w:rsidR="001E3843" w:rsidRDefault="001E384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10AD"/>
    <w:rsid w:val="000027C0"/>
    <w:rsid w:val="0000662C"/>
    <w:rsid w:val="000117CB"/>
    <w:rsid w:val="000150BC"/>
    <w:rsid w:val="0003148D"/>
    <w:rsid w:val="00062A9A"/>
    <w:rsid w:val="000672ED"/>
    <w:rsid w:val="0007071A"/>
    <w:rsid w:val="00086FAD"/>
    <w:rsid w:val="000A03B2"/>
    <w:rsid w:val="000C008F"/>
    <w:rsid w:val="000C3646"/>
    <w:rsid w:val="000D34BE"/>
    <w:rsid w:val="000E36F1"/>
    <w:rsid w:val="000E3A73"/>
    <w:rsid w:val="000E414A"/>
    <w:rsid w:val="000F5E58"/>
    <w:rsid w:val="00113CE1"/>
    <w:rsid w:val="0013121F"/>
    <w:rsid w:val="00134DE4"/>
    <w:rsid w:val="001468DD"/>
    <w:rsid w:val="00150E59"/>
    <w:rsid w:val="0015653D"/>
    <w:rsid w:val="001776E4"/>
    <w:rsid w:val="00184AD6"/>
    <w:rsid w:val="001B65C1"/>
    <w:rsid w:val="001C684B"/>
    <w:rsid w:val="001D53FC"/>
    <w:rsid w:val="001E3843"/>
    <w:rsid w:val="001F2EC7"/>
    <w:rsid w:val="002065DB"/>
    <w:rsid w:val="0020785C"/>
    <w:rsid w:val="00232AA4"/>
    <w:rsid w:val="002447EF"/>
    <w:rsid w:val="00251550"/>
    <w:rsid w:val="0027221A"/>
    <w:rsid w:val="00275B61"/>
    <w:rsid w:val="0028793D"/>
    <w:rsid w:val="002A6E73"/>
    <w:rsid w:val="002C695E"/>
    <w:rsid w:val="002D096B"/>
    <w:rsid w:val="002D1F12"/>
    <w:rsid w:val="003009B7"/>
    <w:rsid w:val="0030469C"/>
    <w:rsid w:val="00304B0C"/>
    <w:rsid w:val="00314433"/>
    <w:rsid w:val="003600CC"/>
    <w:rsid w:val="003723D4"/>
    <w:rsid w:val="003913AA"/>
    <w:rsid w:val="003A7D1C"/>
    <w:rsid w:val="003E4363"/>
    <w:rsid w:val="00407966"/>
    <w:rsid w:val="00447593"/>
    <w:rsid w:val="0046164A"/>
    <w:rsid w:val="00462DCD"/>
    <w:rsid w:val="004D1162"/>
    <w:rsid w:val="004E4DD6"/>
    <w:rsid w:val="004F39ED"/>
    <w:rsid w:val="004F563B"/>
    <w:rsid w:val="004F5E36"/>
    <w:rsid w:val="005119A5"/>
    <w:rsid w:val="00525AC1"/>
    <w:rsid w:val="005278B7"/>
    <w:rsid w:val="005346C8"/>
    <w:rsid w:val="00582A65"/>
    <w:rsid w:val="0059216E"/>
    <w:rsid w:val="00594E9F"/>
    <w:rsid w:val="005B61E6"/>
    <w:rsid w:val="005C77E1"/>
    <w:rsid w:val="005D4257"/>
    <w:rsid w:val="005D6A2F"/>
    <w:rsid w:val="005D74CE"/>
    <w:rsid w:val="005E1A82"/>
    <w:rsid w:val="005E507D"/>
    <w:rsid w:val="005F0A28"/>
    <w:rsid w:val="005F0E5E"/>
    <w:rsid w:val="00620DEE"/>
    <w:rsid w:val="00625639"/>
    <w:rsid w:val="006314BC"/>
    <w:rsid w:val="006366F8"/>
    <w:rsid w:val="0064184D"/>
    <w:rsid w:val="00660E3E"/>
    <w:rsid w:val="00662E74"/>
    <w:rsid w:val="006836FF"/>
    <w:rsid w:val="00686CA6"/>
    <w:rsid w:val="006B01AC"/>
    <w:rsid w:val="006C5579"/>
    <w:rsid w:val="006C62E4"/>
    <w:rsid w:val="00704BDF"/>
    <w:rsid w:val="00711454"/>
    <w:rsid w:val="00716771"/>
    <w:rsid w:val="0072754B"/>
    <w:rsid w:val="00735AB4"/>
    <w:rsid w:val="00736B13"/>
    <w:rsid w:val="007447F3"/>
    <w:rsid w:val="00746476"/>
    <w:rsid w:val="007546B0"/>
    <w:rsid w:val="007661C8"/>
    <w:rsid w:val="00767FC4"/>
    <w:rsid w:val="00782209"/>
    <w:rsid w:val="00783620"/>
    <w:rsid w:val="007B768F"/>
    <w:rsid w:val="007D52CD"/>
    <w:rsid w:val="007F27DC"/>
    <w:rsid w:val="0081128E"/>
    <w:rsid w:val="00813288"/>
    <w:rsid w:val="008168FC"/>
    <w:rsid w:val="008479A2"/>
    <w:rsid w:val="00852C4A"/>
    <w:rsid w:val="00871987"/>
    <w:rsid w:val="00875AC6"/>
    <w:rsid w:val="0087637F"/>
    <w:rsid w:val="00886B61"/>
    <w:rsid w:val="008944D0"/>
    <w:rsid w:val="008A1512"/>
    <w:rsid w:val="008D0BEB"/>
    <w:rsid w:val="008E566E"/>
    <w:rsid w:val="008F6900"/>
    <w:rsid w:val="00901EB6"/>
    <w:rsid w:val="00921360"/>
    <w:rsid w:val="00926B04"/>
    <w:rsid w:val="009450CE"/>
    <w:rsid w:val="0095164B"/>
    <w:rsid w:val="00982F83"/>
    <w:rsid w:val="00996483"/>
    <w:rsid w:val="009A1E1A"/>
    <w:rsid w:val="009A754F"/>
    <w:rsid w:val="009B6D96"/>
    <w:rsid w:val="009E788A"/>
    <w:rsid w:val="00A17106"/>
    <w:rsid w:val="00A1763D"/>
    <w:rsid w:val="00A17CEC"/>
    <w:rsid w:val="00A27EF0"/>
    <w:rsid w:val="00A501B3"/>
    <w:rsid w:val="00A536F2"/>
    <w:rsid w:val="00A56E68"/>
    <w:rsid w:val="00A666CD"/>
    <w:rsid w:val="00A74D70"/>
    <w:rsid w:val="00A76EFC"/>
    <w:rsid w:val="00A97F29"/>
    <w:rsid w:val="00AB0964"/>
    <w:rsid w:val="00AE377D"/>
    <w:rsid w:val="00B35753"/>
    <w:rsid w:val="00B61DBF"/>
    <w:rsid w:val="00B71DDF"/>
    <w:rsid w:val="00B86CB8"/>
    <w:rsid w:val="00B900DC"/>
    <w:rsid w:val="00BC30C9"/>
    <w:rsid w:val="00BD180B"/>
    <w:rsid w:val="00BE3E58"/>
    <w:rsid w:val="00C01616"/>
    <w:rsid w:val="00C0162B"/>
    <w:rsid w:val="00C345B1"/>
    <w:rsid w:val="00C40142"/>
    <w:rsid w:val="00C42A4D"/>
    <w:rsid w:val="00C43583"/>
    <w:rsid w:val="00C45791"/>
    <w:rsid w:val="00C57182"/>
    <w:rsid w:val="00C6072E"/>
    <w:rsid w:val="00C655FD"/>
    <w:rsid w:val="00C94434"/>
    <w:rsid w:val="00CA1C95"/>
    <w:rsid w:val="00CA5A9C"/>
    <w:rsid w:val="00CC3F4B"/>
    <w:rsid w:val="00CD5FE2"/>
    <w:rsid w:val="00CE2C03"/>
    <w:rsid w:val="00CE44A7"/>
    <w:rsid w:val="00CF5BAA"/>
    <w:rsid w:val="00D02B4C"/>
    <w:rsid w:val="00D14A1E"/>
    <w:rsid w:val="00D55290"/>
    <w:rsid w:val="00D84567"/>
    <w:rsid w:val="00D84576"/>
    <w:rsid w:val="00D979ED"/>
    <w:rsid w:val="00DC02AD"/>
    <w:rsid w:val="00DE0019"/>
    <w:rsid w:val="00DE264A"/>
    <w:rsid w:val="00E041E7"/>
    <w:rsid w:val="00E23CA1"/>
    <w:rsid w:val="00E409A8"/>
    <w:rsid w:val="00E47211"/>
    <w:rsid w:val="00E514A4"/>
    <w:rsid w:val="00E53F56"/>
    <w:rsid w:val="00E57CEB"/>
    <w:rsid w:val="00E7209D"/>
    <w:rsid w:val="00E77461"/>
    <w:rsid w:val="00EA50E1"/>
    <w:rsid w:val="00EB544B"/>
    <w:rsid w:val="00ED1154"/>
    <w:rsid w:val="00ED60CD"/>
    <w:rsid w:val="00EE0131"/>
    <w:rsid w:val="00F30C64"/>
    <w:rsid w:val="00F32C8C"/>
    <w:rsid w:val="00F65B85"/>
    <w:rsid w:val="00F72F08"/>
    <w:rsid w:val="00F74911"/>
    <w:rsid w:val="00F76D61"/>
    <w:rsid w:val="00F832B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A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7332-23D3-4DF8-8BD8-63DC9F19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Grazia</cp:lastModifiedBy>
  <cp:revision>3</cp:revision>
  <cp:lastPrinted>2015-05-12T18:31:00Z</cp:lastPrinted>
  <dcterms:created xsi:type="dcterms:W3CDTF">2019-02-27T14:23:00Z</dcterms:created>
  <dcterms:modified xsi:type="dcterms:W3CDTF">2019-02-27T14:30:00Z</dcterms:modified>
</cp:coreProperties>
</file>