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3D62EC" w:rsidRPr="003D62EC" w:rsidRDefault="003D62EC" w:rsidP="003D62EC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</w:pPr>
      <w:r w:rsidRPr="003D62EC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Investigation</w:t>
      </w:r>
      <w:r w:rsidR="00985619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s</w:t>
      </w:r>
      <w:r w:rsidRPr="003D62EC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 xml:space="preserve"> of </w:t>
      </w:r>
      <w:r w:rsidR="00985619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m</w:t>
      </w:r>
      <w:r w:rsidRPr="003D62EC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olybdenum</w:t>
      </w:r>
      <w:r w:rsidR="00985619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-</w:t>
      </w:r>
      <w:r w:rsidRPr="003D62EC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promoted manganese-based solid sorbents for H</w:t>
      </w:r>
      <w:r w:rsidRPr="00985619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bidi="nb"/>
        </w:rPr>
        <w:t>2</w:t>
      </w:r>
      <w:r w:rsidRPr="003D62EC">
        <w:rPr>
          <w:rFonts w:asciiTheme="minorHAnsi" w:eastAsia="MS PGothic" w:hAnsiTheme="minorHAnsi"/>
          <w:b/>
          <w:bCs/>
          <w:sz w:val="28"/>
          <w:szCs w:val="28"/>
          <w:lang w:val="en-US" w:bidi="nb"/>
        </w:rPr>
        <w:t>S capture</w:t>
      </w:r>
    </w:p>
    <w:p w:rsidR="00DE0019" w:rsidRPr="003D62EC" w:rsidRDefault="003D62EC" w:rsidP="00704BDF">
      <w:pPr>
        <w:snapToGrid w:val="0"/>
        <w:spacing w:after="120"/>
        <w:jc w:val="center"/>
        <w:rPr>
          <w:rFonts w:eastAsia="SimSun"/>
          <w:color w:val="000000"/>
          <w:vertAlign w:val="superscript"/>
          <w:lang w:val="en-US" w:eastAsia="zh-CN"/>
        </w:rPr>
      </w:pPr>
      <w:r w:rsidRPr="003D62E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Jianyu Ma</w:t>
      </w:r>
      <w:r w:rsidR="00704BDF" w:rsidRPr="003D62E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3D62E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Kumar R. Rout</w:t>
      </w:r>
      <w:r w:rsidRPr="003D62E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3D62E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DE0019" w:rsidRPr="003D62EC">
        <w:rPr>
          <w:rFonts w:eastAsia="SimSun"/>
          <w:color w:val="000000"/>
          <w:lang w:val="en-US" w:eastAsia="zh-CN"/>
        </w:rPr>
        <w:t xml:space="preserve"> </w:t>
      </w:r>
      <w:r w:rsidRPr="003D62EC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Maximilian Sauer</w:t>
      </w:r>
      <w:r w:rsidRPr="003D62EC"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3</w:t>
      </w:r>
      <w:r w:rsidRPr="003D62EC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</w:t>
      </w:r>
      <w:r w:rsidR="004037E7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 xml:space="preserve"> Mehdi </w:t>
      </w:r>
      <w:r w:rsidR="004037E7" w:rsidRPr="004037E7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Mahmoodinia</w:t>
      </w:r>
      <w:r w:rsidR="004037E7"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</w:t>
      </w:r>
      <w:r w:rsidR="004037E7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</w:t>
      </w:r>
      <w:r w:rsidRPr="003D62EC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 xml:space="preserve"> Edd A. Blekkan</w:t>
      </w:r>
      <w:r w:rsidRPr="003D62EC"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1*</w:t>
      </w:r>
    </w:p>
    <w:p w:rsidR="003D62EC" w:rsidRPr="003D62EC" w:rsidRDefault="003D62EC" w:rsidP="003D62EC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 w:bidi="nb"/>
        </w:rPr>
      </w:pPr>
      <w:r w:rsidRPr="003D62EC">
        <w:rPr>
          <w:rFonts w:eastAsia="MS PGothic"/>
          <w:i/>
          <w:iCs/>
          <w:color w:val="000000"/>
          <w:sz w:val="20"/>
          <w:lang w:val="en-US" w:bidi="nb"/>
        </w:rPr>
        <w:t>1</w:t>
      </w:r>
      <w:r>
        <w:rPr>
          <w:rFonts w:eastAsia="MS PGothic"/>
          <w:i/>
          <w:iCs/>
          <w:color w:val="000000"/>
          <w:sz w:val="20"/>
          <w:lang w:val="en-US" w:bidi="nb"/>
        </w:rPr>
        <w:t xml:space="preserve"> </w:t>
      </w:r>
      <w:r w:rsidRPr="003D62EC">
        <w:rPr>
          <w:rFonts w:eastAsia="MS PGothic"/>
          <w:i/>
          <w:iCs/>
          <w:color w:val="000000"/>
          <w:sz w:val="20"/>
          <w:lang w:val="en-US" w:bidi="nb"/>
        </w:rPr>
        <w:t>Dept. of Chemical Engineering, Norwegian University of Science and Technology (NTNU), NO-7491 Trondheim, Norway</w:t>
      </w:r>
    </w:p>
    <w:p w:rsidR="003D62EC" w:rsidRDefault="003D62EC" w:rsidP="003D62EC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 w:bidi="nb"/>
        </w:rPr>
      </w:pPr>
      <w:r w:rsidRPr="003D62EC">
        <w:rPr>
          <w:rFonts w:eastAsia="MS PGothic"/>
          <w:i/>
          <w:iCs/>
          <w:color w:val="000000"/>
          <w:sz w:val="20"/>
          <w:lang w:val="en-US" w:bidi="nb"/>
        </w:rPr>
        <w:t>2 SINTEF Industry, NO-7465 Trondheim, Norway</w:t>
      </w:r>
    </w:p>
    <w:p w:rsidR="003D62EC" w:rsidRPr="003D62EC" w:rsidRDefault="003D62EC" w:rsidP="003D62EC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 w:bidi="nb"/>
        </w:rPr>
      </w:pPr>
      <w:r>
        <w:rPr>
          <w:rFonts w:eastAsia="MS PGothic"/>
          <w:i/>
          <w:iCs/>
          <w:color w:val="000000"/>
          <w:sz w:val="20"/>
          <w:lang w:val="en-US" w:bidi="nb"/>
        </w:rPr>
        <w:t xml:space="preserve">3 </w:t>
      </w:r>
      <w:r w:rsidR="00BD18CE" w:rsidRPr="00BD18CE">
        <w:rPr>
          <w:rFonts w:eastAsia="MS PGothic"/>
          <w:i/>
          <w:iCs/>
          <w:color w:val="000000"/>
          <w:sz w:val="20"/>
          <w:lang w:val="en-US" w:bidi="nb"/>
        </w:rPr>
        <w:t>Technical University of Munich</w:t>
      </w:r>
      <w:r w:rsidR="00985619">
        <w:rPr>
          <w:rFonts w:eastAsia="MS PGothic"/>
          <w:i/>
          <w:iCs/>
          <w:color w:val="000000"/>
          <w:sz w:val="20"/>
          <w:lang w:val="en-US" w:bidi="nb"/>
        </w:rPr>
        <w:t>, Germany</w:t>
      </w:r>
    </w:p>
    <w:p w:rsidR="00704BDF" w:rsidRPr="00DE0019" w:rsidRDefault="003D62EC" w:rsidP="003D62EC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3D62EC">
        <w:rPr>
          <w:rFonts w:eastAsia="MS PGothic"/>
          <w:i/>
          <w:iCs/>
          <w:color w:val="000000"/>
          <w:sz w:val="20"/>
          <w:lang w:val="en-US" w:bidi="nb"/>
        </w:rPr>
        <w:t xml:space="preserve">*Corresponding author: </w:t>
      </w:r>
      <w:hyperlink r:id="rId10">
        <w:r w:rsidRPr="003D62EC">
          <w:rPr>
            <w:rStyle w:val="Hyperkobling"/>
            <w:rFonts w:eastAsia="MS PGothic"/>
            <w:i/>
            <w:iCs/>
            <w:sz w:val="20"/>
            <w:lang w:val="en-US" w:bidi="nb"/>
          </w:rPr>
          <w:t>edd.a.blekkan@ntnu.no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60748" w:rsidRDefault="0086074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Mo-promoted Mn-based solid sorbents for desulphurization were studied</w:t>
      </w:r>
    </w:p>
    <w:p w:rsidR="00860748" w:rsidRDefault="0086074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Real-time residence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 concentration was monitored on-line</w:t>
      </w:r>
    </w:p>
    <w:p w:rsidR="00860748" w:rsidRPr="00EC66CC" w:rsidRDefault="0086074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 addition promoted sorbent capacity and stability significantly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8246CF" w:rsidRPr="00386A8E" w:rsidRDefault="00704BDF" w:rsidP="00860748">
      <w:pPr>
        <w:snapToGrid w:val="0"/>
        <w:spacing w:line="300" w:lineRule="auto"/>
        <w:rPr>
          <w:rFonts w:asciiTheme="minorHAnsi" w:eastAsia="Malgun Gothic" w:hAnsiTheme="minorHAnsi"/>
          <w:b/>
          <w:bCs/>
          <w:color w:val="000000"/>
          <w:sz w:val="22"/>
          <w:szCs w:val="22"/>
          <w:lang w:val="en-US" w:eastAsia="ko-KR"/>
        </w:rPr>
      </w:pPr>
      <w:r w:rsidRPr="00386A8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246CF" w:rsidRPr="00386A8E" w:rsidRDefault="008246CF" w:rsidP="008246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Biomass gasification and subsequent fuel synthesis is a realistic route to 2nd generation biofuels. However, the produced syngas contains undesired species and contaminants (tar, alkali, 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sulfur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species etc.) that has severe detrimental effects on downstream equipment and catalysts [1]. Therefore, gas cleaning and gas conditioning are important steps. From a process design point of view high-temperature gas cleaning is beneficial in terms of energy efficiency and investment cost. A key contaminant in biomass-based syngas is hydrogen 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sulfide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, and this contaminant must be removed </w:t>
      </w:r>
      <w:proofErr w:type="gram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in order to</w:t>
      </w:r>
      <w:proofErr w:type="gram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avoid rapid deactivation of catalysts for fuel synthesis, e.g. cobalt-based Fischer-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Tropsch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catalysts [2]. Several materials have been proposed for high-temperature 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sulfur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removal and manganese is reported to be a promising candidate based on thermodynamics (calculated sorption properties at high temperatures) as well as other chemical features (resistance to reduction, volatilization and carbide formation) [3]. The properties of sorbents can be improved by addition of promoters. Molybdenum oxide is selected</w:t>
      </w:r>
      <w:r w:rsidR="003D62E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in this study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as a promoter </w:t>
      </w:r>
      <w:proofErr w:type="gram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on account of</w:t>
      </w:r>
      <w:proofErr w:type="gram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its ability to provide higher desulphurization capacity and improve stability of catalysts [4]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8246CF" w:rsidRPr="00386A8E" w:rsidRDefault="00704BDF" w:rsidP="008246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60748" w:rsidRPr="00386A8E" w:rsidRDefault="008246CF" w:rsidP="008246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86A8E">
        <w:rPr>
          <w:rFonts w:asciiTheme="minorHAnsi" w:eastAsia="MS PGothic" w:hAnsiTheme="minorHAnsi"/>
          <w:color w:val="000000"/>
          <w:sz w:val="22"/>
          <w:szCs w:val="22"/>
        </w:rPr>
        <w:t>A series of Mo-promoted manganese sorbent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supported on alumina were prepared by incipient wetness impregnation method using Mn-nitrate and ammonium molybdate as precursors. The samples were dried</w:t>
      </w:r>
      <w:r w:rsidR="008F61A5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at 90°C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and calcined at 700°C to decompose the salt. The nominal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Mn</w:t>
      </w:r>
      <w:r w:rsidR="008F61A5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loading was 15 </w:t>
      </w:r>
      <w:proofErr w:type="spellStart"/>
      <w:r w:rsidR="008F61A5" w:rsidRPr="00386A8E">
        <w:rPr>
          <w:rFonts w:asciiTheme="minorHAnsi" w:eastAsia="MS PGothic" w:hAnsiTheme="minorHAnsi"/>
          <w:color w:val="000000"/>
          <w:sz w:val="22"/>
          <w:szCs w:val="22"/>
        </w:rPr>
        <w:t>wt</w:t>
      </w:r>
      <w:proofErr w:type="spellEnd"/>
      <w:r w:rsidR="008F61A5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% and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Mo </w:t>
      </w:r>
      <w:r w:rsidR="008F61A5" w:rsidRPr="00386A8E">
        <w:rPr>
          <w:rFonts w:asciiTheme="minorHAnsi" w:eastAsia="MS PGothic" w:hAnsiTheme="minorHAnsi"/>
          <w:color w:val="000000"/>
          <w:sz w:val="22"/>
          <w:szCs w:val="22"/>
        </w:rPr>
        <w:t>loadings were 2wt%, 5wt% or 8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wt%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8wt%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made using 2-step impregnation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Their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S sorption properties were inv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estigated in a laboratory setup, 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see [5] for further details. The sorption was d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one on pre-reduced samples at 60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0°C using a dry gas mixture containing 0,4 vol%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S and 40%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, the balance being inert gases (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Ar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>, N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). The regeneration was done at </w:t>
      </w:r>
      <w:r w:rsidR="003D62EC" w:rsidRPr="00386A8E">
        <w:rPr>
          <w:rFonts w:asciiTheme="minorHAnsi" w:eastAsia="MS PGothic" w:hAnsiTheme="minorHAnsi"/>
          <w:color w:val="000000"/>
          <w:sz w:val="22"/>
          <w:szCs w:val="22"/>
        </w:rPr>
        <w:t>65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0°C and ambient pres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sure, using a gas containing 25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vol% air. The testing was performed as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10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cycles of sorption - regeneration. 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</w:rPr>
        <w:t>The resid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ual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H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S level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monitored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r w:rsidR="00821AD7" w:rsidRPr="00386A8E">
        <w:rPr>
          <w:rFonts w:asciiTheme="minorHAnsi" w:eastAsia="MS PGothic" w:hAnsiTheme="minorHAnsi"/>
          <w:color w:val="000000"/>
          <w:sz w:val="22"/>
          <w:szCs w:val="22"/>
        </w:rPr>
        <w:t>different sorpt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ion temperatures with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specific sulphur </w:t>
      </w:r>
      <w:proofErr w:type="spellStart"/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analyzer</w:t>
      </w:r>
      <w:proofErr w:type="spellEnd"/>
      <w:r w:rsidR="0074463C" w:rsidRPr="00386A8E">
        <w:rPr>
          <w:rFonts w:asciiTheme="minorHAnsi" w:eastAsia="MS PGothic" w:hAnsiTheme="minorHAnsi"/>
          <w:color w:val="000000"/>
          <w:sz w:val="22"/>
          <w:szCs w:val="22"/>
        </w:rPr>
        <w:t>, Thermo-Fisher 450i.</w:t>
      </w:r>
    </w:p>
    <w:p w:rsidR="00704BDF" w:rsidRPr="00386A8E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1B65D9" w:rsidRPr="00386A8E" w:rsidRDefault="00C314C7" w:rsidP="00B506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86A8E">
        <w:rPr>
          <w:rFonts w:asciiTheme="minorHAnsi" w:eastAsia="MS PGothic" w:hAnsiTheme="minorHAnsi"/>
          <w:color w:val="000000"/>
          <w:sz w:val="22"/>
          <w:szCs w:val="22"/>
        </w:rPr>
        <w:t>All the samples initially adsorb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ed H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S down to a very low level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. After some </w:t>
      </w:r>
      <w:proofErr w:type="gram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time</w:t>
      </w:r>
      <w:proofErr w:type="gram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the concentration of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S in the exit gas started to increase (breakthrough), the sorption was then terminated by flushing the reactor with inert gas. The sorbent capacity before breakthrough were calculated from the amount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S adsorbed. Subsequently the sorbent was regenerated </w:t>
      </w:r>
      <w:r w:rsidR="003D62EC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diluted air. The only </w:t>
      </w:r>
      <w:proofErr w:type="spellStart"/>
      <w:r w:rsidRPr="00386A8E">
        <w:rPr>
          <w:rFonts w:asciiTheme="minorHAnsi" w:eastAsia="MS PGothic" w:hAnsiTheme="minorHAnsi"/>
          <w:color w:val="000000"/>
          <w:sz w:val="22"/>
          <w:szCs w:val="22"/>
        </w:rPr>
        <w:t>sulfur</w:t>
      </w:r>
      <w:proofErr w:type="spellEnd"/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species detected in the gas phase during regeneration was SO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. The initial sorption capacities declined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in the following order: 15Mn5Mo-Al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&gt; 15Mn8Mo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&gt; 15Mn8Mo-2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step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&gt;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15Mn2Mo-Al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&gt;15Mn-Al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indicating that addition of Mo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increases sorbent initial capacity. After </w:t>
      </w:r>
      <w:r w:rsidR="001B65D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one cycle, 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the capacities for </w:t>
      </w:r>
      <w:r w:rsidR="00B50648" w:rsidRPr="00386A8E">
        <w:rPr>
          <w:rFonts w:asciiTheme="minorHAnsi" w:eastAsiaTheme="minorEastAsia" w:hAnsiTheme="minorHAnsi" w:cstheme="minorHAnsi" w:hint="cs"/>
          <w:color w:val="000000"/>
          <w:sz w:val="22"/>
          <w:szCs w:val="22"/>
          <w:lang w:eastAsia="zh-CN"/>
        </w:rPr>
        <w:t>sorbent 1</w:t>
      </w:r>
      <w:r w:rsidR="00B50648" w:rsidRPr="00386A8E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5Mn8Mo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and 15Mn8Mo2step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increased obviously and remained stable for subsequent cycles. However,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the capac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ity of 15Mn2Mo-Al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suffered large deactivation and turned to be even lower than sorbent without Mo.</w:t>
      </w:r>
      <w:r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The sorption capacity after 10 cycles declined in the following order: 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15Mn8Mo-2step-Al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&gt; 15Mn8Mo-Al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&gt; 15Mn5Mo-Al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&gt;15Mn-Al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&gt;15Mn2Mo -Al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50648" w:rsidRPr="00386A8E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850DA8" w:rsidRPr="00386A8E" w:rsidRDefault="00850DA8" w:rsidP="00B50648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386A8E">
        <w:rPr>
          <w:rFonts w:asciiTheme="minorHAnsi" w:eastAsia="MS PGothic" w:hAnsiTheme="minorHAnsi"/>
          <w:color w:val="000000"/>
          <w:sz w:val="22"/>
          <w:szCs w:val="22"/>
        </w:rPr>
        <w:t>The residence 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S concentration after sulfidation by 15Mn8Mo-Al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3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was as low as around 1.95ppm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at a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sorption temperature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400°C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600°C, the resid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ual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concentration increased to around 2.65ppm. </w:t>
      </w:r>
      <w:r w:rsidR="00985619" w:rsidRPr="00386A8E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n contrast, the 15</w:t>
      </w:r>
      <w:r w:rsidR="00CE7EA3" w:rsidRPr="00386A8E">
        <w:rPr>
          <w:rFonts w:asciiTheme="minorHAnsi" w:eastAsiaTheme="minorEastAsia" w:hAnsiTheme="minorHAnsi" w:cstheme="minorHAnsi" w:hint="cs"/>
          <w:color w:val="000000"/>
          <w:sz w:val="22"/>
          <w:szCs w:val="22"/>
          <w:lang w:eastAsia="zh-CN"/>
        </w:rPr>
        <w:t>Mn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 showed </w:t>
      </w:r>
      <w:r w:rsidR="00386A8E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similar result at 400°C, 2.4ppm, however, </w:t>
      </w:r>
      <w:r w:rsidR="00386A8E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a significantly higher value of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11ppm </w:t>
      </w:r>
      <w:r w:rsidR="00386A8E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was recorded at </w:t>
      </w:r>
      <w:r w:rsidR="00CE7EA3" w:rsidRPr="00386A8E">
        <w:rPr>
          <w:rFonts w:asciiTheme="minorHAnsi" w:eastAsia="MS PGothic" w:hAnsiTheme="minorHAnsi"/>
          <w:color w:val="000000"/>
          <w:sz w:val="22"/>
          <w:szCs w:val="22"/>
        </w:rPr>
        <w:t xml:space="preserve">600°C sorption </w:t>
      </w:r>
      <w:r w:rsidR="00EF2A51" w:rsidRPr="00386A8E">
        <w:rPr>
          <w:rFonts w:asciiTheme="minorHAnsi" w:eastAsia="MS PGothic" w:hAnsiTheme="minorHAnsi"/>
          <w:color w:val="000000"/>
          <w:sz w:val="22"/>
          <w:szCs w:val="22"/>
        </w:rPr>
        <w:t>temperature.</w:t>
      </w:r>
    </w:p>
    <w:p w:rsidR="00704BDF" w:rsidRPr="00386A8E" w:rsidRDefault="00EF2A51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noProof/>
          <w:sz w:val="22"/>
          <w:szCs w:val="22"/>
          <w:lang w:val="en-US" w:eastAsia="zh-CN"/>
        </w:rPr>
        <w:drawing>
          <wp:inline distT="0" distB="0" distL="0" distR="0" wp14:anchorId="3FE1B6E8" wp14:editId="2DEC2826">
            <wp:extent cx="3535437" cy="24213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827" cy="24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386A8E" w:rsidRDefault="00704BDF" w:rsidP="00386A8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Pr="00386A8E">
        <w:rPr>
          <w:rFonts w:asciiTheme="minorHAnsi" w:eastAsia="MS PGothic" w:hAnsiTheme="minorHAnsi"/>
          <w:b/>
          <w:color w:val="000000"/>
          <w:sz w:val="22"/>
          <w:szCs w:val="22"/>
          <w:lang w:val="en-US" w:eastAsia="ko-KR"/>
        </w:rPr>
        <w:t>.</w:t>
      </w:r>
      <w:r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86A8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Capacities of Mn-based </w:t>
      </w:r>
      <w:r w:rsidR="00EF2A51"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sorbent</w:t>
      </w:r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F2A51"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promoted with </w:t>
      </w:r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Mo.</w:t>
      </w:r>
      <w:bookmarkStart w:id="0" w:name="_GoBack"/>
      <w:bookmarkEnd w:id="0"/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386A8E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386A8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386A8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386A8E" w:rsidRDefault="00EF2A5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6A8E">
        <w:rPr>
          <w:rFonts w:asciiTheme="minorHAnsi" w:hAnsiTheme="minorHAnsi" w:cstheme="minorHAnsi"/>
          <w:position w:val="2"/>
          <w:sz w:val="22"/>
          <w:szCs w:val="22"/>
        </w:rPr>
        <w:t>The addition</w:t>
      </w:r>
      <w:r w:rsidRPr="00386A8E">
        <w:rPr>
          <w:rFonts w:asciiTheme="minorHAnsi" w:hAnsiTheme="minorHAnsi" w:cstheme="minorHAnsi"/>
          <w:spacing w:val="-15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of</w:t>
      </w:r>
      <w:r w:rsidRPr="00386A8E">
        <w:rPr>
          <w:rFonts w:asciiTheme="minorHAnsi" w:hAnsiTheme="minorHAnsi" w:cstheme="minorHAnsi"/>
          <w:spacing w:val="-18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Mo</w:t>
      </w:r>
      <w:r w:rsidRPr="00386A8E">
        <w:rPr>
          <w:rFonts w:asciiTheme="minorHAnsi" w:hAnsiTheme="minorHAnsi" w:cstheme="minorHAnsi"/>
          <w:spacing w:val="-18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is</w:t>
      </w:r>
      <w:r w:rsidRPr="00386A8E">
        <w:rPr>
          <w:rFonts w:asciiTheme="minorHAnsi" w:hAnsiTheme="minorHAnsi" w:cstheme="minorHAnsi"/>
          <w:spacing w:val="-15"/>
          <w:position w:val="2"/>
          <w:sz w:val="22"/>
          <w:szCs w:val="22"/>
        </w:rPr>
        <w:t xml:space="preserve"> </w:t>
      </w:r>
      <w:r w:rsidR="00386A8E">
        <w:rPr>
          <w:rFonts w:asciiTheme="minorHAnsi" w:hAnsiTheme="minorHAnsi" w:cstheme="minorHAnsi"/>
          <w:spacing w:val="-15"/>
          <w:position w:val="2"/>
          <w:sz w:val="22"/>
          <w:szCs w:val="22"/>
        </w:rPr>
        <w:t xml:space="preserve">found to be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beneficial</w:t>
      </w:r>
      <w:r w:rsidRPr="00386A8E">
        <w:rPr>
          <w:rFonts w:asciiTheme="minorHAnsi" w:hAnsiTheme="minorHAnsi" w:cstheme="minorHAnsi"/>
          <w:spacing w:val="-14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for</w:t>
      </w:r>
      <w:r w:rsidRPr="00386A8E">
        <w:rPr>
          <w:rFonts w:asciiTheme="minorHAnsi" w:hAnsiTheme="minorHAnsi" w:cstheme="minorHAnsi"/>
          <w:spacing w:val="-15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Mn-based</w:t>
      </w:r>
      <w:r w:rsidRPr="00386A8E">
        <w:rPr>
          <w:rFonts w:asciiTheme="minorHAnsi" w:hAnsiTheme="minorHAnsi" w:cstheme="minorHAnsi"/>
          <w:spacing w:val="-17"/>
          <w:position w:val="2"/>
          <w:sz w:val="22"/>
          <w:szCs w:val="22"/>
        </w:rPr>
        <w:t xml:space="preserve"> </w:t>
      </w:r>
      <w:r w:rsidRPr="00386A8E">
        <w:rPr>
          <w:rFonts w:asciiTheme="minorHAnsi" w:hAnsiTheme="minorHAnsi" w:cstheme="minorHAnsi"/>
          <w:position w:val="2"/>
          <w:sz w:val="22"/>
          <w:szCs w:val="22"/>
        </w:rPr>
        <w:t>sorbents</w:t>
      </w:r>
      <w:r w:rsidRPr="00386A8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in terms of capacity, stability and </w:t>
      </w:r>
      <w:r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</w:t>
      </w:r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ual </w:t>
      </w:r>
      <w:r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386A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 concentration</w:t>
      </w:r>
      <w:r w:rsid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gas phase </w:t>
      </w:r>
      <w:r w:rsidRPr="0038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sorption.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EF2A51" w:rsidRPr="00EF2A51" w:rsidRDefault="00EF2A51" w:rsidP="00EF2A51">
      <w:pPr>
        <w:pStyle w:val="Listeavsnitt"/>
        <w:numPr>
          <w:ilvl w:val="0"/>
          <w:numId w:val="17"/>
        </w:numPr>
        <w:ind w:firstLineChars="0"/>
        <w:rPr>
          <w:rFonts w:asciiTheme="minorHAnsi" w:hAnsiTheme="minorHAnsi"/>
          <w:color w:val="000000"/>
          <w:sz w:val="20"/>
          <w:lang w:val="fr-FR"/>
        </w:rPr>
      </w:pPr>
      <w:r w:rsidRPr="00EF2A51">
        <w:rPr>
          <w:rFonts w:asciiTheme="minorHAnsi" w:hAnsiTheme="minorHAnsi"/>
          <w:color w:val="000000"/>
          <w:sz w:val="20"/>
          <w:lang w:val="es-ES"/>
        </w:rPr>
        <w:t xml:space="preserve">G.W. Huber, S. Iborra, A. Corma, Catal, Eng, Chem. </w:t>
      </w:r>
      <w:r w:rsidRPr="00EF2A51">
        <w:rPr>
          <w:rFonts w:asciiTheme="minorHAnsi" w:hAnsiTheme="minorHAnsi"/>
          <w:color w:val="000000"/>
          <w:sz w:val="20"/>
          <w:lang w:val="fr-FR"/>
        </w:rPr>
        <w:t>Rev. 106 (2006) 4044–4098.</w:t>
      </w:r>
    </w:p>
    <w:p w:rsidR="00704BDF" w:rsidRPr="00EF2A51" w:rsidRDefault="00EF2A51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nb" w:eastAsia="zh-CN"/>
        </w:rPr>
      </w:pPr>
      <w:r w:rsidRPr="00EF2A51">
        <w:rPr>
          <w:rFonts w:asciiTheme="minorHAnsi" w:hAnsiTheme="minorHAnsi"/>
          <w:color w:val="000000"/>
          <w:lang w:val="fr-FR"/>
        </w:rPr>
        <w:t xml:space="preserve">[2]   A.H. Lillebø, A. Holmen, B.C. Enger, E.A. Blekkan, WIREs Energy. </w:t>
      </w:r>
      <w:r w:rsidRPr="004037E7">
        <w:rPr>
          <w:rFonts w:asciiTheme="minorHAnsi" w:hAnsiTheme="minorHAnsi"/>
          <w:color w:val="000000"/>
        </w:rPr>
        <w:t>Environ. 2 (2013), 507–524.</w:t>
      </w:r>
    </w:p>
    <w:p w:rsidR="00EF2A51" w:rsidRPr="004037E7" w:rsidRDefault="00EF2A51" w:rsidP="00EF2A51">
      <w:pPr>
        <w:pStyle w:val="FirstParagraph"/>
        <w:widowControl w:val="0"/>
        <w:tabs>
          <w:tab w:val="left" w:pos="31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4037E7">
        <w:rPr>
          <w:rFonts w:asciiTheme="minorHAnsi" w:eastAsia="SimSun" w:hAnsiTheme="minorHAnsi"/>
          <w:lang w:eastAsia="zh-CN"/>
        </w:rPr>
        <w:t>[3]</w:t>
      </w:r>
      <w:r w:rsidRPr="004037E7">
        <w:rPr>
          <w:rFonts w:asciiTheme="minorHAnsi" w:eastAsia="SimSun" w:hAnsiTheme="minorHAnsi"/>
          <w:lang w:eastAsia="zh-CN"/>
        </w:rPr>
        <w:tab/>
        <w:t xml:space="preserve">W.F. </w:t>
      </w:r>
      <w:proofErr w:type="spellStart"/>
      <w:r w:rsidRPr="004037E7">
        <w:rPr>
          <w:rFonts w:asciiTheme="minorHAnsi" w:eastAsia="SimSun" w:hAnsiTheme="minorHAnsi"/>
          <w:lang w:eastAsia="zh-CN"/>
        </w:rPr>
        <w:t>Elseviers</w:t>
      </w:r>
      <w:proofErr w:type="spellEnd"/>
      <w:r w:rsidRPr="004037E7">
        <w:rPr>
          <w:rFonts w:asciiTheme="minorHAnsi" w:eastAsia="SimSun" w:hAnsiTheme="minorHAnsi"/>
          <w:lang w:eastAsia="zh-CN"/>
        </w:rPr>
        <w:t xml:space="preserve">, H. </w:t>
      </w:r>
      <w:proofErr w:type="spellStart"/>
      <w:r w:rsidRPr="004037E7">
        <w:rPr>
          <w:rFonts w:asciiTheme="minorHAnsi" w:eastAsia="SimSun" w:hAnsiTheme="minorHAnsi"/>
          <w:lang w:eastAsia="zh-CN"/>
        </w:rPr>
        <w:t>Verelst</w:t>
      </w:r>
      <w:proofErr w:type="spellEnd"/>
      <w:r w:rsidRPr="004037E7">
        <w:rPr>
          <w:rFonts w:asciiTheme="minorHAnsi" w:eastAsia="SimSun" w:hAnsiTheme="minorHAnsi"/>
          <w:lang w:eastAsia="zh-CN"/>
        </w:rPr>
        <w:t>, Fuel 78 (1999) 601–612</w:t>
      </w:r>
    </w:p>
    <w:p w:rsidR="00EF2A51" w:rsidRPr="00EF2A51" w:rsidRDefault="00EF2A51" w:rsidP="00EF2A5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300" w:hangingChars="150" w:hanging="300"/>
        <w:rPr>
          <w:rFonts w:asciiTheme="minorHAnsi" w:eastAsia="SimSun" w:hAnsiTheme="minorHAnsi"/>
          <w:lang w:eastAsia="zh-CN"/>
        </w:rPr>
      </w:pPr>
      <w:r w:rsidRPr="00EF2A51">
        <w:rPr>
          <w:rFonts w:asciiTheme="minorHAnsi" w:eastAsia="SimSun" w:hAnsiTheme="minorHAnsi"/>
          <w:lang w:eastAsia="zh-CN"/>
        </w:rPr>
        <w:t>[4]</w:t>
      </w:r>
      <w:r w:rsidRPr="00EF2A51">
        <w:rPr>
          <w:rFonts w:asciiTheme="minorHAnsi" w:eastAsia="SimSun" w:hAnsiTheme="minorHAnsi"/>
          <w:lang w:eastAsia="zh-CN"/>
        </w:rPr>
        <w:tab/>
      </w:r>
      <w:proofErr w:type="spellStart"/>
      <w:r w:rsidRPr="00EF2A51">
        <w:rPr>
          <w:rFonts w:asciiTheme="minorHAnsi" w:eastAsia="SimSun" w:hAnsiTheme="minorHAnsi"/>
          <w:lang w:eastAsia="zh-CN"/>
        </w:rPr>
        <w:t>Laosiripojana</w:t>
      </w:r>
      <w:proofErr w:type="spellEnd"/>
      <w:r w:rsidRPr="00EF2A51">
        <w:rPr>
          <w:rFonts w:asciiTheme="minorHAnsi" w:eastAsia="SimSun" w:hAnsiTheme="minorHAnsi"/>
          <w:lang w:eastAsia="zh-CN"/>
        </w:rPr>
        <w:t xml:space="preserve">, N., and S. </w:t>
      </w:r>
      <w:proofErr w:type="spellStart"/>
      <w:r w:rsidRPr="00EF2A51">
        <w:rPr>
          <w:rFonts w:asciiTheme="minorHAnsi" w:eastAsia="SimSun" w:hAnsiTheme="minorHAnsi"/>
          <w:lang w:eastAsia="zh-CN"/>
        </w:rPr>
        <w:t>Assabumrungrat</w:t>
      </w:r>
      <w:proofErr w:type="spellEnd"/>
      <w:r w:rsidRPr="00EF2A51">
        <w:rPr>
          <w:rFonts w:asciiTheme="minorHAnsi" w:eastAsia="SimSun" w:hAnsiTheme="minorHAnsi"/>
          <w:lang w:eastAsia="zh-CN"/>
        </w:rPr>
        <w:t>. Applied Catalysis A: General, 290.1-2 (2005): 200-211.</w:t>
      </w:r>
    </w:p>
    <w:p w:rsidR="00704BDF" w:rsidRPr="00EF2A51" w:rsidRDefault="00EF2A51" w:rsidP="00EF2A51">
      <w:pPr>
        <w:pStyle w:val="FirstParagraph"/>
        <w:widowControl w:val="0"/>
        <w:tabs>
          <w:tab w:val="left" w:pos="31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nb-NO" w:eastAsia="zh-CN"/>
        </w:rPr>
      </w:pPr>
      <w:r w:rsidRPr="00EF2A51">
        <w:rPr>
          <w:rFonts w:asciiTheme="minorHAnsi" w:eastAsia="SimSun" w:hAnsiTheme="minorHAnsi"/>
          <w:lang w:val="nb-NO" w:eastAsia="zh-CN"/>
        </w:rPr>
        <w:t>[5]</w:t>
      </w:r>
      <w:r w:rsidRPr="00EF2A51">
        <w:rPr>
          <w:rFonts w:asciiTheme="minorHAnsi" w:eastAsia="SimSun" w:hAnsiTheme="minorHAnsi"/>
          <w:lang w:val="nb-NO" w:eastAsia="zh-CN"/>
        </w:rPr>
        <w:tab/>
        <w:t xml:space="preserve">S. Chytil, M. Kure, R. Lødeng, E.A. Blekkan, </w:t>
      </w:r>
      <w:proofErr w:type="spellStart"/>
      <w:r w:rsidRPr="00EF2A51">
        <w:rPr>
          <w:rFonts w:asciiTheme="minorHAnsi" w:eastAsia="SimSun" w:hAnsiTheme="minorHAnsi"/>
          <w:lang w:val="nb-NO" w:eastAsia="zh-CN"/>
        </w:rPr>
        <w:t>Fuel</w:t>
      </w:r>
      <w:proofErr w:type="spellEnd"/>
      <w:r w:rsidRPr="00EF2A51">
        <w:rPr>
          <w:rFonts w:asciiTheme="minorHAnsi" w:eastAsia="SimSun" w:hAnsiTheme="minorHAnsi"/>
          <w:lang w:val="nb-NO" w:eastAsia="zh-CN"/>
        </w:rPr>
        <w:t>, 196 (2017) 124–133.</w:t>
      </w:r>
    </w:p>
    <w:p w:rsidR="00704BDF" w:rsidRPr="00EF2A51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nb-NO" w:eastAsia="zh-CN"/>
        </w:rPr>
      </w:pPr>
    </w:p>
    <w:sectPr w:rsidR="00704BDF" w:rsidRPr="00EF2A5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80" w:rsidRDefault="00515F80" w:rsidP="004F5E36">
      <w:r>
        <w:separator/>
      </w:r>
    </w:p>
  </w:endnote>
  <w:endnote w:type="continuationSeparator" w:id="0">
    <w:p w:rsidR="00515F80" w:rsidRDefault="00515F8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80" w:rsidRDefault="00515F80" w:rsidP="004F5E36">
      <w:r>
        <w:separator/>
      </w:r>
    </w:p>
  </w:footnote>
  <w:footnote w:type="continuationSeparator" w:id="0">
    <w:p w:rsidR="00515F80" w:rsidRDefault="00515F8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Toppteks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08C5D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Topptekst"/>
    </w:pPr>
  </w:p>
  <w:p w:rsidR="00704BDF" w:rsidRDefault="00704BDF">
    <w:pPr>
      <w:pStyle w:val="Toppteks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71DC1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nkelttabell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B65D9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86A8E"/>
    <w:rsid w:val="003A7D1C"/>
    <w:rsid w:val="003D62EC"/>
    <w:rsid w:val="004037E7"/>
    <w:rsid w:val="0046164A"/>
    <w:rsid w:val="00462DCD"/>
    <w:rsid w:val="004D1162"/>
    <w:rsid w:val="004E4DD6"/>
    <w:rsid w:val="004F5E36"/>
    <w:rsid w:val="005119A5"/>
    <w:rsid w:val="00515F80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63C"/>
    <w:rsid w:val="007447F3"/>
    <w:rsid w:val="007661C8"/>
    <w:rsid w:val="007D52CD"/>
    <w:rsid w:val="00813288"/>
    <w:rsid w:val="008168FC"/>
    <w:rsid w:val="00821AD7"/>
    <w:rsid w:val="008246CF"/>
    <w:rsid w:val="008479A2"/>
    <w:rsid w:val="00850DA8"/>
    <w:rsid w:val="00860748"/>
    <w:rsid w:val="0087637F"/>
    <w:rsid w:val="008A1512"/>
    <w:rsid w:val="008D0BEB"/>
    <w:rsid w:val="008E566E"/>
    <w:rsid w:val="008F61A5"/>
    <w:rsid w:val="00901EB6"/>
    <w:rsid w:val="009450CE"/>
    <w:rsid w:val="0095164B"/>
    <w:rsid w:val="00985619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50648"/>
    <w:rsid w:val="00B61DBF"/>
    <w:rsid w:val="00BC30C9"/>
    <w:rsid w:val="00BD18CE"/>
    <w:rsid w:val="00BE3E58"/>
    <w:rsid w:val="00C01616"/>
    <w:rsid w:val="00C0162B"/>
    <w:rsid w:val="00C314C7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CE7EA3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EF2A51"/>
    <w:rsid w:val="00F30C64"/>
    <w:rsid w:val="00F61B4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6FC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Overskrift1">
    <w:name w:val="heading 1"/>
    <w:basedOn w:val="CETHeading1"/>
    <w:next w:val="Normal"/>
    <w:link w:val="Overskrift1Teg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nkelttabell1">
    <w:name w:val="Table Simple 1"/>
    <w:basedOn w:val="Vanligtabel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03148D"/>
  </w:style>
  <w:style w:type="paragraph" w:styleId="Brdtekst2">
    <w:name w:val="Body Text 2"/>
    <w:basedOn w:val="Normal"/>
    <w:link w:val="Brdtekst2Tegn"/>
    <w:uiPriority w:val="99"/>
    <w:semiHidden/>
    <w:unhideWhenUsed/>
    <w:rsid w:val="000314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3148D"/>
  </w:style>
  <w:style w:type="paragraph" w:styleId="Brdtekst3">
    <w:name w:val="Body Text 3"/>
    <w:basedOn w:val="Normal"/>
    <w:link w:val="Brdtekst3Teg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3148D"/>
    <w:rPr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03148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3148D"/>
  </w:style>
  <w:style w:type="paragraph" w:styleId="Dato">
    <w:name w:val="Date"/>
    <w:basedOn w:val="Normal"/>
    <w:next w:val="Normal"/>
    <w:link w:val="DatoTegn"/>
    <w:uiPriority w:val="99"/>
    <w:semiHidden/>
    <w:unhideWhenUsed/>
    <w:locked/>
    <w:rsid w:val="0003148D"/>
  </w:style>
  <w:style w:type="character" w:customStyle="1" w:styleId="DatoTegn">
    <w:name w:val="Dato Tegn"/>
    <w:basedOn w:val="Standardskriftforavsnitt"/>
    <w:link w:val="Dato"/>
    <w:uiPriority w:val="99"/>
    <w:semiHidden/>
    <w:rsid w:val="0003148D"/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3148D"/>
  </w:style>
  <w:style w:type="paragraph" w:styleId="E-postsignatur">
    <w:name w:val="E-mail Signature"/>
    <w:basedOn w:val="Normal"/>
    <w:link w:val="E-postsignaturTegn"/>
    <w:uiPriority w:val="99"/>
    <w:semiHidden/>
    <w:unhideWhenUsed/>
    <w:locked/>
    <w:rsid w:val="0003148D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3148D"/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locked/>
    <w:rsid w:val="000314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3148D"/>
  </w:style>
  <w:style w:type="paragraph" w:styleId="Hilsen">
    <w:name w:val="Closing"/>
    <w:basedOn w:val="Normal"/>
    <w:link w:val="HilsenTeg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3148D"/>
  </w:style>
  <w:style w:type="paragraph" w:styleId="Indeks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locked/>
    <w:rsid w:val="0003148D"/>
  </w:style>
  <w:style w:type="paragraph" w:styleId="Kildeliste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Konvoluttadress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adresse">
    <w:name w:val="HTML Address"/>
    <w:basedOn w:val="Normal"/>
    <w:link w:val="HTML-adresseTeg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3148D"/>
    <w:rPr>
      <w:i/>
      <w:iCs/>
    </w:rPr>
  </w:style>
  <w:style w:type="paragraph" w:styleId="Avsenderadress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ldingshode">
    <w:name w:val="Message Header"/>
    <w:basedOn w:val="Normal"/>
    <w:link w:val="MeldingshodeTeg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locked/>
    <w:rsid w:val="0003148D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3148D"/>
  </w:style>
  <w:style w:type="paragraph" w:styleId="Dokumentkart">
    <w:name w:val="Document Map"/>
    <w:basedOn w:val="Normal"/>
    <w:link w:val="DokumentkartTeg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merertliste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3148D"/>
  </w:style>
  <w:style w:type="paragraph" w:styleId="Brdtekstinnrykk">
    <w:name w:val="Body Text Indent"/>
    <w:basedOn w:val="Normal"/>
    <w:link w:val="BrdtekstinnrykkTeg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3148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3148D"/>
  </w:style>
  <w:style w:type="paragraph" w:styleId="Punktliste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rdtekstinnrykk2">
    <w:name w:val="Body Text Indent 2"/>
    <w:basedOn w:val="Normal"/>
    <w:link w:val="Brdtekstinnrykk2Teg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3148D"/>
  </w:style>
  <w:style w:type="paragraph" w:styleId="Brdtekstinnrykk3">
    <w:name w:val="Body Text Indent 3"/>
    <w:basedOn w:val="Normal"/>
    <w:link w:val="Brdtekstinnrykk3Teg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3148D"/>
    <w:rPr>
      <w:sz w:val="16"/>
      <w:szCs w:val="16"/>
    </w:rPr>
  </w:style>
  <w:style w:type="paragraph" w:styleId="Vanliginnrykk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03148D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14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0314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148D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kkteks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kst">
    <w:name w:val="macro"/>
    <w:link w:val="MakrotekstTeg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locked/>
    <w:rsid w:val="0003148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3148D"/>
    <w:rPr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locked/>
    <w:rsid w:val="0003148D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3148D"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ildelisteoverskrift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skriftforavsnit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opptekst">
    <w:name w:val="header"/>
    <w:basedOn w:val="Normal"/>
    <w:link w:val="TopptekstTeg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rutenett">
    <w:name w:val="Table Grid"/>
    <w:basedOn w:val="Vanligtabel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avsnitt">
    <w:name w:val="List Paragraph"/>
    <w:basedOn w:val="Normal"/>
    <w:uiPriority w:val="34"/>
    <w:qFormat/>
    <w:locked/>
    <w:rsid w:val="00EF2A51"/>
    <w:pPr>
      <w:ind w:firstLineChars="200" w:firstLine="420"/>
    </w:pPr>
  </w:style>
  <w:style w:type="character" w:styleId="Hyperkobling">
    <w:name w:val="Hyperlink"/>
    <w:basedOn w:val="Standardskriftforavsnitt"/>
    <w:uiPriority w:val="99"/>
    <w:unhideWhenUsed/>
    <w:locked/>
    <w:rsid w:val="003D6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dd.a.blekkan@ntnu.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A6B0-659E-421F-A079-35097D8C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4187</Characters>
  <Application>Microsoft Office Word</Application>
  <DocSecurity>0</DocSecurity>
  <Lines>34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Edd A. Blekkan</cp:lastModifiedBy>
  <cp:revision>2</cp:revision>
  <cp:lastPrinted>2015-05-12T18:31:00Z</cp:lastPrinted>
  <dcterms:created xsi:type="dcterms:W3CDTF">2019-02-27T14:40:00Z</dcterms:created>
  <dcterms:modified xsi:type="dcterms:W3CDTF">2019-02-27T14:40:00Z</dcterms:modified>
</cp:coreProperties>
</file>